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RFI Review Summary</w:t>
      </w:r>
    </w:p>
    <w:p>
      <w:pPr>
        <w:jc w:val="left"/>
      </w:pPr>
      <w:r>
        <w:rPr>
          <w:b/>
          <w:color w:val="0070C0"/>
          <w:sz w:val="32"/>
        </w:rPr>
        <w:t>Price</w:t>
      </w:r>
    </w:p>
    <w:p>
      <w:pPr/>
      <w:r>
        <w:t xml:space="preserve">### Summary of Pricing, Fees, and Cost-Related Information  </w:t>
        <w:br/>
        <w:br/>
        <w:t xml:space="preserve">#### **1. Fund Fees and Expenses**  </w:t>
        <w:br/>
        <w:t xml:space="preserve">- **Operating Expenses**: Detailed by share class in the Fund’s Prospectus (Appendix F).  </w:t>
        <w:br/>
        <w:t xml:space="preserve">- **Shareholder Fees**: Includes sales loads, redemption fees, and other charges (see Prospectus).  </w:t>
        <w:br/>
        <w:t xml:space="preserve">- **Expense Ratios**: Vary by share class (e.g., Institutional, Investor, etc.).  </w:t>
        <w:br/>
        <w:br/>
        <w:t xml:space="preserve">#### **2. Performance-Based Fees**  </w:t>
        <w:br/>
        <w:t xml:space="preserve">- The Fund does not charge performance-based fees.  </w:t>
        <w:br/>
        <w:br/>
        <w:t xml:space="preserve">#### **3. Fee Waivers and Expense Caps**  </w:t>
        <w:br/>
        <w:t xml:space="preserve">- BlackRock may waive fees or cap expenses temporarily to limit costs for shareholders (details in Prospectus).  </w:t>
        <w:br/>
        <w:br/>
        <w:t xml:space="preserve">#### **4. Trading and Execution Costs**  </w:t>
        <w:br/>
        <w:t xml:space="preserve">- **Best Execution Policy**: Trades are executed to minimize costs, leveraging BlackRock’s scale and technology (Aladdin).  </w:t>
        <w:br/>
        <w:t xml:space="preserve">- **Soft Dollar Arrangements**: Used for research/services compliant with Section 28(e) of the Securities Exchange Act.  </w:t>
        <w:br/>
        <w:br/>
        <w:t xml:space="preserve">#### **5. Share Class Conversions**  </w:t>
        <w:br/>
        <w:t xml:space="preserve">- **C to A Shares**: Automatic conversion after ~8 years (holding period includes predecessor fund ownership).  </w:t>
        <w:br/>
        <w:br/>
        <w:t xml:space="preserve">#### **6. Liquidity and Cash Management**  </w:t>
        <w:br/>
        <w:t xml:space="preserve">- The Fund maintains liquidity to meet redemptions, with a maximum 5% cash position.  </w:t>
        <w:br/>
        <w:br/>
        <w:t xml:space="preserve">#### **7. Interfund Lending**  </w:t>
        <w:br/>
        <w:t xml:space="preserve">- Permitted under SEC guidelines for short-term liquidity needs, with safeguards to protect shareholders.  </w:t>
        <w:br/>
        <w:br/>
        <w:t xml:space="preserve">#### **8. Fee Negotiation**  </w:t>
        <w:br/>
        <w:t xml:space="preserve">- Truist may access the lowest-fee share classes (e.g., K-share or Institutional class) based on platform availability.  </w:t>
        <w:br/>
        <w:br/>
        <w:t xml:space="preserve">#### **9. Regulatory Compliance**  </w:t>
        <w:br/>
        <w:t xml:space="preserve">- Fees and expenses comply with SEC regulations, disclosed in ADV filings and Fund documents.  </w:t>
        <w:br/>
        <w:br/>
        <w:t xml:space="preserve">For exact figures, refer to the **Fund Prospectus (Appendix F)** and **SAI (Appendix A)**.  </w:t>
        <w:br/>
        <w:br/>
        <w:t>**Key Takeaway**: BlackRock emphasizes cost efficiency, transparency, and regulatory adherence, with no performance fees and options for lower-cost share classes.</w:t>
      </w:r>
    </w:p>
    <w:p/>
    <w:p>
      <w:pPr>
        <w:jc w:val="left"/>
      </w:pPr>
      <w:r>
        <w:rPr>
          <w:b/>
          <w:color w:val="7030A0"/>
          <w:sz w:val="32"/>
        </w:rPr>
        <w:t>People</w:t>
      </w:r>
    </w:p>
    <w:p>
      <w:pPr/>
      <w:r>
        <w:t xml:space="preserve">### **Summary of People Involved, Team Structure, and Key Personnel**  </w:t>
        <w:br/>
        <w:br/>
        <w:t xml:space="preserve">#### **1. Key Contacts &amp; Team Structure**  </w:t>
        <w:br/>
        <w:t xml:space="preserve">- **Primary Contact**: Wesley Urick (Director)  </w:t>
        <w:br/>
        <w:t xml:space="preserve">- **Backup Contact**: Anne Hull (Vice President)  </w:t>
        <w:br/>
        <w:t xml:space="preserve">- **Portfolio Managers**:  </w:t>
        <w:br/>
        <w:t xml:space="preserve">  - **Lawrence Kemp, CFA** (Managing Director): Head of the US Growth Team, also manages Large Cap Growth strategies.  </w:t>
        <w:br/>
        <w:t xml:space="preserve">  - **Phil Ruvinsky, CFA** (Managing Director): Deputy Head of US Growth Team, leads Mid-Cap Growth, SMID-Cap Growth, and Innovation Growth strategies.  </w:t>
        <w:br/>
        <w:t xml:space="preserve">  - **William Broadbent** (Director): Co-PM for Mid-Cap Growth and SMID-Cap Growth strategies.  </w:t>
        <w:br/>
        <w:t xml:space="preserve">- **Supporting Analysts**: 12 dedicated research analysts specializing in sector-specific fundamental analysis.  </w:t>
        <w:br/>
        <w:br/>
        <w:t xml:space="preserve">#### **2. Investment Team Diversity &amp; Compensation**  </w:t>
        <w:br/>
        <w:t xml:space="preserve">- **Diversity**:  </w:t>
        <w:br/>
        <w:t xml:space="preserve">  - 54.9% diverse (women or racially/ethnically diverse).  </w:t>
        <w:br/>
        <w:t xml:space="preserve">  - 31.1% women, 41.6% racially/ethnically diverse.  </w:t>
        <w:br/>
        <w:t xml:space="preserve">- **Compensation**:  </w:t>
        <w:br/>
        <w:t xml:space="preserve">  - Base salary + discretionary bonus tied to firm, business area, and individual performance.  </w:t>
        <w:br/>
        <w:t xml:space="preserve">  - Senior roles include equity awards (restricted stock vesting over 3 years).  </w:t>
        <w:br/>
        <w:br/>
        <w:t xml:space="preserve">#### **3. Turnover &amp; Succession Planning**  </w:t>
        <w:br/>
        <w:t xml:space="preserve">- **Recent Departures (Past 5 Years)**:  </w:t>
        <w:br/>
        <w:t xml:space="preserve">  - Kathryn Mongelli (Director, resigned in 2019).  </w:t>
        <w:br/>
        <w:t xml:space="preserve">  - Danny Arnouk and Daniel Beale (Research Analysts, resigned in 2018 and 2019).  </w:t>
        <w:br/>
        <w:t xml:space="preserve">- **Succession**: Team-based approach ensures continuity; leadership development programs in place.  </w:t>
        <w:br/>
        <w:br/>
        <w:t xml:space="preserve">#### **4. Compliance &amp; Ethics**  </w:t>
        <w:br/>
        <w:t xml:space="preserve">- **Code of Ethics**: All employees must adhere to BlackRock’s **Code of Business Conduct and Ethics**, including personal trading restrictions.  </w:t>
        <w:br/>
        <w:t xml:space="preserve">- **Regulatory Oversight**: SEC-registered (BlackRock Advisors, LLC); last SEC examination noted no material unresolved issues.  </w:t>
        <w:br/>
        <w:br/>
        <w:t xml:space="preserve">#### **5. Governance &amp; Oversight**  </w:t>
        <w:br/>
        <w:t xml:space="preserve">- **Board of Directors**: Independent oversight with regular meetings (e.g., Audit Committee met 14 times in 2021).  </w:t>
        <w:br/>
        <w:t xml:space="preserve">- **Risk Management**:  </w:t>
        <w:br/>
        <w:t xml:space="preserve">  - **Risk &amp; Quantitative Analysis (RQA) Group** (284 professionals) monitors portfolio risks daily.  </w:t>
        <w:br/>
        <w:t xml:space="preserve">  - Uses **Aladdin** for real-time risk analytics and compliance.  </w:t>
        <w:br/>
        <w:br/>
        <w:t>#### **6.</w:t>
      </w:r>
    </w:p>
    <w:p/>
    <w:p>
      <w:pPr>
        <w:jc w:val="left"/>
      </w:pPr>
      <w:r>
        <w:rPr>
          <w:b/>
          <w:color w:val="00B050"/>
          <w:sz w:val="32"/>
        </w:rPr>
        <w:t>Philosophy</w:t>
      </w:r>
    </w:p>
    <w:p>
      <w:pPr/>
      <w:r>
        <w:t xml:space="preserve">### **Investment Philosophy &amp; Guiding Principles Summary**  </w:t>
        <w:br/>
        <w:t xml:space="preserve">**Firm:** BlackRock Advisors, LLC  </w:t>
        <w:br/>
        <w:t xml:space="preserve">**Strategy:** BlackRock Mid-Cap Growth Equity Portfolio  </w:t>
        <w:br/>
        <w:br/>
        <w:t xml:space="preserve">#### **Core Philosophy:**  </w:t>
        <w:br/>
        <w:t xml:space="preserve">1. **Objective:** Long-term capital appreciation by investing in U.S. mid-cap growth companies with sustainable competitive advantages and above-average earnings potential.  </w:t>
        <w:br/>
        <w:t xml:space="preserve">2. **Focus:**  </w:t>
        <w:br/>
        <w:t xml:space="preserve">   - **Free Cash Flow (FCF) Growth:** Targets companies with:  </w:t>
        <w:br/>
        <w:t xml:space="preserve">     - Large, underpenetrated addressable markets.  </w:t>
        <w:br/>
        <w:t xml:space="preserve">     - Recurring demand for products/services.  </w:t>
        <w:br/>
        <w:t xml:space="preserve">     - Stable/expanding margins and strong management.  </w:t>
        <w:br/>
        <w:t xml:space="preserve">   - **Quality Metrics:** High return on invested capital (ROIC), incremental margins, and FCF conversion.  </w:t>
        <w:br/>
        <w:br/>
        <w:t xml:space="preserve">#### **Portfolio Construction:**  </w:t>
        <w:br/>
        <w:t xml:space="preserve">- **Bottom-Up Approach:** Fundamental research drives stock selection, emphasizing:  </w:t>
        <w:br/>
        <w:t xml:space="preserve">  - **Valuation Discipline:** Identifies mispriced growth opportunities.  </w:t>
        <w:br/>
        <w:t xml:space="preserve">  - **Diversification:** Balances three growth categories:  </w:t>
        <w:br/>
        <w:t xml:space="preserve">    1. **Superior Growth:** High-multiple companies with durable advantages.  </w:t>
        <w:br/>
        <w:t xml:space="preserve">    2. **Durable Growth:** Margin-improving or cash-returning businesses.  </w:t>
        <w:br/>
        <w:t xml:space="preserve">    3. **Periodic Growth:** Cyclical companies with unique assets.  </w:t>
        <w:br/>
        <w:t xml:space="preserve">- **Risk Management:** Limits downside via low leverage, strategic assets, and low disruption risk.  </w:t>
        <w:br/>
        <w:br/>
        <w:t xml:space="preserve">#### **ESG Integration:**  </w:t>
        <w:br/>
        <w:t xml:space="preserve">- ESG risks/opportunities are embedded in fundamental analysis using tools like BlackRock’s ESG Risk Window (MSCI data).  </w:t>
        <w:br/>
        <w:t xml:space="preserve">- Engages with management teams and leverages BlackRock’s Investment Stewardship team for governance oversight.  </w:t>
        <w:br/>
        <w:br/>
        <w:t xml:space="preserve">#### **Differentiators:**  </w:t>
        <w:br/>
        <w:t xml:space="preserve">- **Strategic Balance:** Combines high-growth and undervalued growth stocks to perform across market cycles.  </w:t>
        <w:br/>
        <w:t xml:space="preserve">- **Team Expertise:** Veteran portfolio managers with a disciplined, research-driven process.  </w:t>
        <w:br/>
        <w:t xml:space="preserve">- **Risk Control:** Active monitoring of correlated exposures and stock-specific risks.  </w:t>
        <w:br/>
        <w:br/>
        <w:t xml:space="preserve">#### **Guiding Principles:**  </w:t>
        <w:br/>
        <w:t xml:space="preserve">- **Alpha Generation:** Seeks opportunities across the valuation spectrum, not confined to traditional growth metrics.  </w:t>
        <w:br/>
        <w:t xml:space="preserve">- **Client Alignment:** Compensation tied to long-term performance; equity ownership aligns interests.  </w:t>
        <w:br/>
        <w:t xml:space="preserve">- **Transparency:** Regular reporting on holdings, performance, and risk metrics.  </w:t>
        <w:br/>
        <w:br/>
        <w:t xml:space="preserve">**Key Metrics (as of 30 June 2022):**  </w:t>
        <w:br/>
        <w:t xml:space="preserve">- **Active Share:** 81%  </w:t>
        <w:br/>
        <w:t xml:space="preserve">- **Tracking Error:** 5.3%  </w:t>
        <w:br/>
        <w:t xml:space="preserve">- **Turnover:** 22% (2020–2021)  </w:t>
        <w:br/>
        <w:br/>
        <w:t>**Benchmark</w:t>
      </w:r>
    </w:p>
    <w:p/>
    <w:p>
      <w:pPr>
        <w:jc w:val="left"/>
      </w:pPr>
      <w:r>
        <w:rPr>
          <w:b/>
          <w:color w:val="FFC000"/>
          <w:sz w:val="32"/>
        </w:rPr>
        <w:t>Process</w:t>
      </w:r>
    </w:p>
    <w:p>
      <w:pPr/>
      <w:r>
        <w:t xml:space="preserve">### **Investment Process Summary: BlackRock Mid-Cap Growth Equity Portfolio**  </w:t>
        <w:br/>
        <w:br/>
        <w:t xml:space="preserve">#### **1. Investment Philosophy**  </w:t>
        <w:br/>
        <w:t xml:space="preserve">- **Objective**: Long-term capital appreciation through a disciplined growth equity strategy.  </w:t>
        <w:br/>
        <w:t xml:space="preserve">- **Focus**: High-quality mid-cap companies with sustainable free cash flow (FCF) growth, driven by:  </w:t>
        <w:br/>
        <w:t xml:space="preserve">  - Large, underpenetrated addressable markets.  </w:t>
        <w:br/>
        <w:t xml:space="preserve">  - Recurring demand for products/services.  </w:t>
        <w:br/>
        <w:t xml:space="preserve">  - Stable/expanding margins and strong management.  </w:t>
        <w:br/>
        <w:t xml:space="preserve">- **Key Metrics**: High return on invested capital (ROIC), incremental margins, and FCF conversion.  </w:t>
        <w:br/>
        <w:br/>
        <w:t xml:space="preserve">#### **2. Portfolio Construction**  </w:t>
        <w:br/>
        <w:t xml:space="preserve">- **Universe**: Primarily the Russell Mid-Cap Growth Index, but flexible to invest outside the benchmark.  </w:t>
        <w:br/>
        <w:t xml:space="preserve">- **Holdings**: 55–85 stocks, with:  </w:t>
        <w:br/>
        <w:t xml:space="preserve">  - **Max active weight**: 500 bps (typical initial position: 350 bps).  </w:t>
        <w:br/>
        <w:t xml:space="preserve">  - **Max position size**: 8% of the portfolio.  </w:t>
        <w:br/>
        <w:t xml:space="preserve">  - **Sector limits**: Max 15% under/overweight vs. benchmark.  </w:t>
        <w:br/>
        <w:t xml:space="preserve">- **Cash Allocation**: Limited to 5%.  </w:t>
        <w:br/>
        <w:br/>
        <w:t xml:space="preserve">#### **3. Three Growth Categories**  </w:t>
        <w:br/>
        <w:t xml:space="preserve">1. **Superior Growth**: High-multiple companies with durable competitive advantages.  </w:t>
        <w:br/>
        <w:t xml:space="preserve">2. **Durable Growth**: Stable margin improvements or cash-returning businesses.  </w:t>
        <w:br/>
        <w:t xml:space="preserve">3. **Periodic Growth**: Cyclical companies with unique assets at attractive valuations.  </w:t>
        <w:br/>
        <w:br/>
        <w:t xml:space="preserve">#### **4. Research &amp; Security Selection**  </w:t>
        <w:br/>
        <w:t xml:space="preserve">- **Bottom-Up Approach**: Fundamental analysis of competitive positioning, sustainability, and valuation.  </w:t>
        <w:br/>
        <w:t xml:space="preserve">- **Valuation**: Bull/base/bear case scenarios to assess risk/reward.  </w:t>
        <w:br/>
        <w:t xml:space="preserve">- **ESG Integration**: MSCI ESG Risk Window screens for governance, environmental, and social risks.  </w:t>
        <w:br/>
        <w:br/>
        <w:t xml:space="preserve">#### **5. Risk Management**  </w:t>
        <w:br/>
        <w:t xml:space="preserve">- **Active Risk Control**: Ex-ante tracking error monitored via BlackRock’s proprietary risk models.  </w:t>
        <w:br/>
        <w:t xml:space="preserve">- **Liquidity Management**: Daily oversight to meet redemption needs.  </w:t>
        <w:br/>
        <w:t xml:space="preserve">- **Compliance**: Automated pre- and post-trade checks via Aladdin.  </w:t>
        <w:br/>
        <w:br/>
        <w:t xml:space="preserve">#### **6. Trading &amp; Execution**  </w:t>
        <w:br/>
        <w:t xml:space="preserve">- **Best Execution**: Centralized global trading desk leveraging BlackRock’s scale for liquidity.  </w:t>
        <w:br/>
        <w:t xml:space="preserve">- **Soft Dollars**: Used for research under Section 28(e) compliance.  </w:t>
        <w:br/>
        <w:br/>
        <w:t xml:space="preserve">#### **7. Performance Drivers**  </w:t>
        <w:br/>
        <w:t xml:space="preserve">- **Alpha Sources**: Stock-specific insights, diversified growth exposures, and disciplined valuation.  </w:t>
        <w:br/>
        <w:t>- **Challenges**: Short-term under</w:t>
      </w:r>
    </w:p>
    <w:p/>
    <w:p>
      <w:pPr>
        <w:jc w:val="left"/>
      </w:pPr>
      <w:r>
        <w:rPr>
          <w:b/>
          <w:color w:val="C00000"/>
          <w:sz w:val="32"/>
        </w:rPr>
        <w:t>Performance</w:t>
      </w:r>
    </w:p>
    <w:p>
      <w:pPr/>
      <w:r>
        <w:t xml:space="preserve">### **Performance Summary: BlackRock Mid-Cap Growth Equity Portfolio**  </w:t>
        <w:br/>
        <w:br/>
        <w:t xml:space="preserve">#### **Historical and Recent Performance Metrics**  </w:t>
        <w:br/>
        <w:t xml:space="preserve">1. **Benchmark**: Russell Mid-Cap Growth Index  </w:t>
        <w:br/>
        <w:t xml:space="preserve">2. **Peer Group**: Lipper Mid-Cap Growth Funds / Morningstar Mid-Cap Growth  </w:t>
        <w:br/>
        <w:t xml:space="preserve">3. **Key Performance Drivers**:  </w:t>
        <w:br/>
        <w:t xml:space="preserve">   - **Investment Philosophy**: Focuses on high-quality, sustainable free cash flow (FCF) growth companies with competitive advantages.  </w:t>
        <w:br/>
        <w:t xml:space="preserve">   - **Alpha Generation**: Achieved through a diversified portfolio of "Superior Growth," "Durable Growth," and "Periodic Growth" stocks.  </w:t>
        <w:br/>
        <w:t xml:space="preserve">   - **Risk Management**: Utilizes BlackRock’s proprietary Aladdin platform for risk analytics and compliance.  </w:t>
        <w:br/>
        <w:br/>
        <w:t xml:space="preserve">4. **Recent Performance (as of August 2022)**:  </w:t>
        <w:br/>
        <w:t xml:space="preserve">   - **Active Share**: 81% (indicating high differentiation from the benchmark).  </w:t>
        <w:br/>
        <w:t xml:space="preserve">   - **Tracking Error (1-year)**: 5.3%.  </w:t>
        <w:br/>
        <w:t xml:space="preserve">   - **Portfolio Turnover (2020-2021)**: 22% (down from 81% in 2016, reflecting a more disciplined approach).  </w:t>
        <w:br/>
        <w:br/>
        <w:t xml:space="preserve">5. **Performance Attribution**:  </w:t>
        <w:br/>
        <w:t xml:space="preserve">   - **Sector &amp; Stock Selection**: Performance driven by bottom-up stock picking, with emphasis on companies with strong FCF growth potential.  </w:t>
        <w:br/>
        <w:t xml:space="preserve">   - **Market Conditions**: Outperformance in growth-favorable markets; short-term underperformance during factor rotations (e.g., value rallies).  </w:t>
        <w:br/>
        <w:br/>
        <w:t xml:space="preserve">6. **Drawdowns &amp; Lessons Learned**:  </w:t>
        <w:br/>
        <w:t xml:space="preserve">   - **Max Drawdown (YTD 2022)**: Driven by macroeconomic volatility (inflation, Fed tightening).  </w:t>
        <w:br/>
        <w:t xml:space="preserve">   - **Adaptation**: Maintained focus on high-quality growth stocks while avoiding overexposure to speculative names.  </w:t>
        <w:br/>
        <w:br/>
        <w:t xml:space="preserve">7. **ESG Integration**:  </w:t>
        <w:br/>
        <w:t xml:space="preserve">   - ESG risks assessed via BlackRock’s proprietary ESG Risk Window.  </w:t>
        <w:br/>
        <w:t xml:space="preserve">   - Engagement with company management on sustainability issues.  </w:t>
        <w:br/>
        <w:br/>
        <w:t xml:space="preserve">8. **Capacity &amp; Liquidity**:  </w:t>
        <w:br/>
        <w:t xml:space="preserve">   - **AUM (Strategy)**: $14.5B (as of 2022).  </w:t>
        <w:br/>
        <w:t xml:space="preserve">   - **Liquidity Management**: Daily liquidity with rigorous risk controls via BlackRock’s Risk &amp; Quantitative Analysis (RQA) team.  </w:t>
        <w:br/>
        <w:br/>
        <w:t xml:space="preserve">#### **Conclusion**  </w:t>
        <w:br/>
        <w:t>The strategy aims for long-term capital appreciation through a disciplined, research-driven approach. While recent performance faced headwinds from macro volatility, the team’s focus on high-quality growth businesses and risk-aware portfolio construction positions it for potential outperformance over full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