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0F172A"/>
          <w:sz w:val="56"/>
          <w:szCs w:val="56"/>
        </w:rPr>
        <w:t xml:space="preserve">CPM with Margin</w:t>
      </w:r>
    </w:p>
    <w:p>
      <w:pPr>
        <w:spacing w:after="60"/>
      </w:pPr>
      <w:r>
        <w:rPr>
          <w:rFonts w:ascii="Arial" w:cs="Arial" w:eastAsia="Arial" w:hAnsi="Arial"/>
          <w:color w:val="64748B"/>
          <w:sz w:val="28"/>
          <w:szCs w:val="28"/>
        </w:rPr>
        <w:t xml:space="preserve">A Margin-Aware Extension of Clarkson’s Change Propagation Method</w:t>
      </w:r>
    </w:p>
    <w:p>
      <w:pPr>
        <w:pBdr>
          <w:bottom w:val="single" w:color="F97316" w:sz="12" w:space="4"/>
        </w:pBdr>
        <w:spacing w:after="120"/>
      </w:pPr>
    </w:p>
    <w:p>
      <w:pPr>
        <w:spacing w:after="40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Technical Reference  ·  MARVIN Probabilistic Margin Analysis Module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Document generated: 16 April 2026</w:t>
      </w:r>
    </w:p>
    <w:p>
      <w:pPr>
        <w:spacing w:after="120" w:line="276"/>
        <w:jc w:val="both"/>
      </w:pPr>
      <w:r>
        <w:rPr>
          <w:color w:val="0F172A"/>
        </w:rPr>
        <w:t xml:space="preserve">This document provides a complete mathematical description of the </w:t>
      </w:r>
      <w:r>
        <w:rPr>
          <w:b/>
          <w:bCs/>
        </w:rPr>
        <w:t xml:space="preserve">CPM with Margin</w:t>
      </w:r>
      <w:r>
        <w:rPr>
          <w:color w:val="0F172A"/>
        </w:rPr>
        <w:t xml:space="preserve"> (MA-CPM) method implemented in MARVIN’s Probabilistic Margin Analysis module. MA-CPM is a deterministic, analytical extension of Clarkson’s Change Propagation Method (CPM) that introduces a per-node </w:t>
      </w:r>
      <w:r>
        <w:rPr>
          <w:i/>
          <w:iCs/>
        </w:rPr>
        <w:t xml:space="preserve">margin gate</w:t>
      </w:r>
      <w:r>
        <w:rPr>
          <w:color w:val="0F172A"/>
        </w:rPr>
        <w:t xml:space="preserve"> — the exceedance probability P(δ₁ &gt; m) — directly into the CPM or-combination formula. The method quantifies how design margins attenuate change propagation risk through a system modelled as a Design Structure Matrix (DSM). When all margins are zero, MA-CPM recovers Clarkson’s original results exactly.</w:t>
      </w:r>
    </w:p>
    <w:p>
      <w:pPr>
        <w:spacing w:after="160"/>
      </w:pP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D4ED8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1  Background and Motivation</w:t>
      </w:r>
    </w:p>
    <w:p>
      <w:pPr>
        <w:spacing w:after="120" w:line="276"/>
        <w:jc w:val="both"/>
      </w:pPr>
      <w:r>
        <w:rPr>
          <w:color w:val="0F172A"/>
        </w:rPr>
        <w:t xml:space="preserve">In engineering design, </w:t>
      </w:r>
      <w:r>
        <w:rPr>
          <w:b/>
          <w:bCs/>
        </w:rPr>
        <w:t xml:space="preserve">change propagation</w:t>
      </w:r>
      <w:r>
        <w:rPr>
          <w:color w:val="0F172A"/>
        </w:rPr>
        <w:t xml:space="preserve"> refers to the risk that a design change initiated in one component will cascade through interfaces to affect other components — causing unplanned redesign work, schedule delays, and cost overruns. Understanding and quantifying this risk is essential for robust system design and margin allocation.</w:t>
      </w:r>
    </w:p>
    <w:p>
      <w:pPr>
        <w:spacing w:after="80"/>
      </w:pPr>
    </w:p>
    <w:p>
      <w:pPr>
        <w:spacing w:after="120" w:line="276"/>
        <w:jc w:val="both"/>
      </w:pPr>
      <w:r>
        <w:rPr>
          <w:color w:val="0F172A"/>
        </w:rPr>
        <w:t xml:space="preserve">Clarkson’s </w:t>
      </w:r>
      <w:r>
        <w:rPr>
          <w:b/>
          <w:bCs/>
        </w:rPr>
        <w:t xml:space="preserve">Change Propagation Method</w:t>
      </w:r>
      <w:r>
        <w:rPr>
          <w:color w:val="0F172A"/>
        </w:rPr>
        <w:t xml:space="preserve"> (CPM) — developed by Clarkson, Simons, and Eckert at Cambridge — provides a systematic way to quantify this risk using two Design Structure Matrices: a </w:t>
      </w:r>
      <w:r>
        <w:rPr>
          <w:i/>
          <w:iCs/>
        </w:rPr>
        <w:t xml:space="preserve">likelihood DSM</w:t>
      </w:r>
      <w:r>
        <w:rPr>
          <w:color w:val="0F172A"/>
        </w:rPr>
        <w:t xml:space="preserve"> and an </w:t>
      </w:r>
      <w:r>
        <w:rPr>
          <w:i/>
          <w:iCs/>
        </w:rPr>
        <w:t xml:space="preserve">impact DSM</w:t>
      </w:r>
      <w:r>
        <w:rPr>
          <w:color w:val="0F172A"/>
        </w:rPr>
        <w:t xml:space="preserve">. The method propagates risk along all acyclic paths up to a user-defined depth d and combines parallel paths using an or-combination formula derived from probability theory.</w:t>
      </w:r>
    </w:p>
    <w:p>
      <w:pPr>
        <w:spacing w:after="80"/>
      </w:pPr>
    </w:p>
    <w:p>
      <w:pPr>
        <w:spacing w:after="120" w:line="276"/>
        <w:jc w:val="both"/>
      </w:pPr>
      <w:r>
        <w:rPr>
          <w:color w:val="0F172A"/>
        </w:rPr>
        <w:t xml:space="preserve">Classic CPM captures the </w:t>
      </w:r>
      <w:r>
        <w:rPr>
          <w:i/>
          <w:iCs/>
        </w:rPr>
        <w:t xml:space="preserve">structural</w:t>
      </w:r>
      <w:r>
        <w:rPr>
          <w:color w:val="0F172A"/>
        </w:rPr>
        <w:t xml:space="preserve"> coupling in the design but does not account for </w:t>
      </w:r>
      <w:r>
        <w:rPr>
          <w:b/>
          <w:bCs/>
        </w:rPr>
        <w:t xml:space="preserve">design margins</w:t>
      </w:r>
      <w:r>
        <w:rPr>
          <w:color w:val="0F172A"/>
        </w:rPr>
        <w:t xml:space="preserve"> — the buffer deliberately built into parameters (e.g. excess structural capacity, thermal headroom, stress reserves) that absorb small changes before they propagate. A component with a large design margin will not pass on a change unless the incoming disturbance </w:t>
      </w:r>
      <w:r>
        <w:rPr>
          <w:i/>
          <w:iCs/>
        </w:rPr>
        <w:t xml:space="preserve">exceeds</w:t>
      </w:r>
      <w:r>
        <w:rPr>
          <w:color w:val="0F172A"/>
        </w:rPr>
        <w:t xml:space="preserve"> that margin.</w:t>
      </w:r>
    </w:p>
    <w:p>
      <w:pPr>
        <w:spacing w:after="80"/>
      </w:pPr>
    </w:p>
    <w:p>
      <w:pPr>
        <w:spacing w:after="120" w:line="276"/>
        <w:jc w:val="both"/>
      </w:pPr>
      <w:r>
        <w:rPr>
          <w:b/>
          <w:bCs/>
        </w:rPr>
        <w:t xml:space="preserve">CPM with Margin</w:t>
      </w:r>
      <w:r>
        <w:rPr>
          <w:color w:val="0F172A"/>
        </w:rPr>
        <w:t xml:space="preserve"> fills this gap analytically. For each node, it computes the probability that an incoming change magnitude δ₁ exceeds the node’s margin threshold m — the </w:t>
      </w:r>
      <w:r>
        <w:rPr>
          <w:i/>
          <w:iCs/>
        </w:rPr>
        <w:t xml:space="preserve">exceedance probability</w:t>
      </w:r>
      <w:r>
        <w:rPr>
          <w:color w:val="0F172A"/>
        </w:rPr>
        <w:t xml:space="preserve"> or </w:t>
      </w:r>
      <w:r>
        <w:rPr>
          <w:i/>
          <w:iCs/>
        </w:rPr>
        <w:t xml:space="preserve">margin gate</w:t>
      </w:r>
      <w:r>
        <w:rPr>
          <w:color w:val="0F172A"/>
        </w:rPr>
        <w:t xml:space="preserve"> g = P(δ₁ &gt; m). This gate is multiplied into Clarkson’s or-combination at each intermediate node, scaling the propagation risk by the chance that the change is large enough to cross the design margin.</w:t>
      </w:r>
    </w:p>
    <w:p>
      <w:pPr>
        <w:spacing w:after="160"/>
      </w:pPr>
    </w:p>
    <w:p>
      <w:pPr>
        <w:pStyle w:val="Heading1"/>
        <w:pBdr>
          <w:bottom w:val="single" w:color="1D4ED8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2  Notation</w:t>
      </w:r>
    </w:p>
    <w:p>
      <w:pPr>
        <w:spacing w:after="80"/>
      </w:pP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4"/>
        <w:gridCol w:w="7256"/>
      </w:tblGrid>
      <w:tr>
        <w:tc>
          <w:tcPr>
            <w:tcW w:type="dxa" w:w="18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Symbol</w:t>
            </w:r>
          </w:p>
        </w:tc>
        <w:tc>
          <w:tcPr>
            <w:tcW w:type="dxa" w:w="7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Meaning</w:t>
            </w:r>
          </w:p>
        </w:tc>
      </w:tr>
      <w:tr>
        <w:tc>
          <w:tcPr>
            <w:tcW w:type="dxa" w:w="18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</w:t>
            </w:r>
          </w:p>
        </w:tc>
        <w:tc>
          <w:tcPr>
            <w:tcW w:type="dxa" w:w="7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color w:val="0F172A"/>
              </w:rPr>
              <w:t xml:space="preserve">Number of system elements (components/subsystems)</w:t>
            </w:r>
          </w:p>
        </w:tc>
      </w:tr>
      <w:tr>
        <w:tc>
          <w:tcPr>
            <w:tcW w:type="dxa" w:w="18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i, j, k</w:t>
            </w:r>
          </w:p>
        </w:tc>
        <w:tc>
          <w:tcPr>
            <w:tcW w:type="dxa" w:w="7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color w:val="0F172A"/>
              </w:rPr>
              <w:t xml:space="preserve">Element indices in {1, ..., n}</w:t>
            </w:r>
          </w:p>
        </w:tc>
      </w:tr>
      <w:tr>
        <w:tc>
          <w:tcPr>
            <w:tcW w:type="dxa" w:w="18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L[i][j]</w:t>
            </w:r>
          </w:p>
        </w:tc>
        <w:tc>
          <w:tcPr>
            <w:tcW w:type="dxa" w:w="7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color w:val="0F172A"/>
              </w:rPr>
              <w:t xml:space="preserve">Direct (elicited) likelihood of change propagating from j to i;  L[i][j] in [0, 1]</w:t>
            </w:r>
          </w:p>
        </w:tc>
      </w:tr>
      <w:tr>
        <w:tc>
          <w:tcPr>
            <w:tcW w:type="dxa" w:w="18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I[i][j]</w:t>
            </w:r>
          </w:p>
        </w:tc>
        <w:tc>
          <w:tcPr>
            <w:tcW w:type="dxa" w:w="7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color w:val="0F172A"/>
              </w:rPr>
              <w:t xml:space="preserve">Direct (elicited) impact of change propagating from j to i;  I[i][j] in [0, 1]</w:t>
            </w:r>
          </w:p>
        </w:tc>
      </w:tr>
      <w:tr>
        <w:tc>
          <w:tcPr>
            <w:tcW w:type="dxa" w:w="18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</w:t>
            </w:r>
          </w:p>
        </w:tc>
        <w:tc>
          <w:tcPr>
            <w:tcW w:type="dxa" w:w="7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color w:val="0F172A"/>
              </w:rPr>
              <w:t xml:space="preserve">Maximum propagation depth (search depth); typically 3–4</w:t>
            </w:r>
          </w:p>
        </w:tc>
      </w:tr>
      <w:tr>
        <w:tc>
          <w:tcPr>
            <w:tcW w:type="dxa" w:w="18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R(s,t)</w:t>
            </w:r>
          </w:p>
        </w:tc>
        <w:tc>
          <w:tcPr>
            <w:tcW w:type="dxa" w:w="7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color w:val="0F172A"/>
              </w:rPr>
              <w:t xml:space="preserve">Combined risk of change propagating from source s to target t (Classic CPM)</w:t>
            </w:r>
          </w:p>
        </w:tc>
      </w:tr>
      <w:tr>
        <w:tc>
          <w:tcPr>
            <w:tcW w:type="dxa" w:w="18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P(s,t)</w:t>
            </w:r>
          </w:p>
        </w:tc>
        <w:tc>
          <w:tcPr>
            <w:tcW w:type="dxa" w:w="7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color w:val="0F172A"/>
              </w:rPr>
              <w:t xml:space="preserve">Combined likelihood of change propagating from s to t (Classic CPM)</w:t>
            </w:r>
          </w:p>
        </w:tc>
      </w:tr>
      <w:tr>
        <w:tc>
          <w:tcPr>
            <w:tcW w:type="dxa" w:w="18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m_i</w:t>
            </w:r>
          </w:p>
        </w:tc>
        <w:tc>
          <w:tcPr>
            <w:tcW w:type="dxa" w:w="7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color w:val="0F172A"/>
              </w:rPr>
              <w:t xml:space="preserve">Margin threshold for element i;  m_i in [0, 1]</w:t>
            </w:r>
          </w:p>
        </w:tc>
      </w:tr>
      <w:tr>
        <w:tc>
          <w:tcPr>
            <w:tcW w:type="dxa" w:w="18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δ₁</w:t>
            </w:r>
          </w:p>
        </w:tc>
        <w:tc>
          <w:tcPr>
            <w:tcW w:type="dxa" w:w="7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color w:val="0F172A"/>
              </w:rPr>
              <w:t xml:space="preserve">Random variable: change magnitude arriving at a node, in [0, 1]</w:t>
            </w:r>
          </w:p>
        </w:tc>
      </w:tr>
      <w:tr>
        <w:tc>
          <w:tcPr>
            <w:tcW w:type="dxa" w:w="18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g_i</w:t>
            </w:r>
          </w:p>
        </w:tc>
        <w:tc>
          <w:tcPr>
            <w:tcW w:type="dxa" w:w="7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color w:val="0F172A"/>
              </w:rPr>
              <w:t xml:space="preserve">Margin gate (exceedance probability) at node i:  g_i = P(δ₁ &gt; m_i)</w:t>
            </w:r>
          </w:p>
        </w:tc>
      </w:tr>
      <w:tr>
        <w:tc>
          <w:tcPr>
            <w:tcW w:type="dxa" w:w="18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R*(s,t)</w:t>
            </w:r>
          </w:p>
        </w:tc>
        <w:tc>
          <w:tcPr>
            <w:tcW w:type="dxa" w:w="7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color w:val="0F172A"/>
              </w:rPr>
              <w:t xml:space="preserve">Combined risk under CPM with Margin (MA-CPM)</w:t>
            </w:r>
          </w:p>
        </w:tc>
      </w:tr>
      <w:tr>
        <w:tc>
          <w:tcPr>
            <w:tcW w:type="dxa" w:w="18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P*(s,t)</w:t>
            </w:r>
          </w:p>
        </w:tc>
        <w:tc>
          <w:tcPr>
            <w:tcW w:type="dxa" w:w="7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color w:val="0F172A"/>
              </w:rPr>
              <w:t xml:space="preserve">Combined likelihood under MA-CPM</w:t>
            </w:r>
          </w:p>
        </w:tc>
      </w:tr>
      <w:tr>
        <w:tc>
          <w:tcPr>
            <w:tcW w:type="dxa" w:w="18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L*[i][j]</w:t>
            </w:r>
          </w:p>
        </w:tc>
        <w:tc>
          <w:tcPr>
            <w:tcW w:type="dxa" w:w="7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color w:val="0F172A"/>
              </w:rPr>
              <w:t xml:space="preserve">Effective likelihood:  L*[i][j] = g_i × L[i][j]</w:t>
            </w:r>
          </w:p>
        </w:tc>
      </w:tr>
      <w:tr>
        <w:tc>
          <w:tcPr>
            <w:tcW w:type="dxa" w:w="18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Φ(x)</w:t>
            </w:r>
          </w:p>
        </w:tc>
        <w:tc>
          <w:tcPr>
            <w:tcW w:type="dxa" w:w="7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color w:val="0F172A"/>
              </w:rPr>
              <w:t xml:space="preserve">Standard normal CDF:  Φ(x) = ½ · erfc(−x/√2)</w:t>
            </w:r>
          </w:p>
        </w:tc>
      </w:tr>
      <w:tr>
        <w:tc>
          <w:tcPr>
            <w:tcW w:type="dxa" w:w="18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μ, σ</w:t>
            </w:r>
          </w:p>
        </w:tc>
        <w:tc>
          <w:tcPr>
            <w:tcW w:type="dxa" w:w="7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color w:val="0F172A"/>
              </w:rPr>
              <w:t xml:space="preserve">Mean and standard deviation of the change magnitude distribution</w:t>
            </w:r>
          </w:p>
        </w:tc>
      </w:tr>
      <w:tr>
        <w:tc>
          <w:tcPr>
            <w:tcW w:type="dxa" w:w="18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α, β</w:t>
            </w:r>
          </w:p>
        </w:tc>
        <w:tc>
          <w:tcPr>
            <w:tcW w:type="dxa" w:w="7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color w:val="0F172A"/>
              </w:rPr>
              <w:t xml:space="preserve">Shape parameters for Beta distribution</w:t>
            </w:r>
          </w:p>
        </w:tc>
      </w:tr>
      <w:tr>
        <w:tc>
          <w:tcPr>
            <w:tcW w:type="dxa" w:w="18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Z</w:t>
            </w:r>
          </w:p>
        </w:tc>
        <w:tc>
          <w:tcPr>
            <w:tcW w:type="dxa" w:w="7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color w:val="0F172A"/>
              </w:rPr>
              <w:t xml:space="preserve">Truncated-normal normalisation constant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D4ED8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3  Classic CPM — Clarkson’s Method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3.1  Design Structure Matrices</w:t>
      </w:r>
    </w:p>
    <w:p>
      <w:pPr>
        <w:spacing w:after="120" w:line="276"/>
        <w:jc w:val="both"/>
      </w:pPr>
      <w:r>
        <w:rPr>
          <w:color w:val="0F172A"/>
        </w:rPr>
        <w:t xml:space="preserve">Classic CPM requires two n × n matrices, both with values in [0, 1] and zeros on the diagonal: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0F172A"/>
        </w:rPr>
        <w:t xml:space="preserve">L —</w:t>
      </w:r>
      <w:r>
        <w:rPr>
          <w:color w:val="0F172A"/>
        </w:rPr>
        <w:t xml:space="preserve">  Likelihood DSM  L:  L[i][j] is the analyst-estimated probability that a change in element j directly causes a change in element i.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0F172A"/>
        </w:rPr>
        <w:t xml:space="preserve">I —</w:t>
      </w:r>
      <w:r>
        <w:rPr>
          <w:color w:val="0F172A"/>
        </w:rPr>
        <w:t xml:space="preserve">  Impact DSM  I:  I[i][j] is the analyst-estimated magnitude of impact on element i given that a direct change from j reaches i.</w:t>
      </w:r>
    </w:p>
    <w:p>
      <w:pPr>
        <w:spacing w:after="80"/>
      </w:pP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1D4ED8" w:sz="1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i/>
                <w:iCs/>
                <w:color w:val="1D4ED8"/>
              </w:rPr>
              <w:t xml:space="preserve">Convention: by default, columns are the instigators of change (column → row), so L[i][j] means “column j instigates a change in row i”. A row convention is also supported, which is equivalent to transposing the matrix before computation.</w:t>
            </w:r>
          </w:p>
        </w:tc>
      </w:tr>
    </w:tbl>
    <w:p>
      <w:pPr>
        <w:spacing w:after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3.2  The Change Propagation Tree (BFS)</w:t>
      </w:r>
    </w:p>
    <w:p>
      <w:pPr>
        <w:spacing w:after="120" w:line="276"/>
        <w:jc w:val="both"/>
      </w:pPr>
      <w:r>
        <w:rPr>
          <w:color w:val="0F172A"/>
        </w:rPr>
        <w:t xml:space="preserve">For every ordered pair (s, t) with s ≠ t, a </w:t>
      </w:r>
      <w:r>
        <w:rPr>
          <w:b/>
          <w:bCs/>
        </w:rPr>
        <w:t xml:space="preserve">Change Propagation Tree</w:t>
      </w:r>
      <w:r>
        <w:rPr>
          <w:color w:val="0F172A"/>
        </w:rPr>
        <w:t xml:space="preserve"> is built by breadth-first search (BFS) on the likelihood graph, starting at source s and exploring all acyclic paths that reach target t within depth d. Cycles are avoided by back-tracing the current path.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0F172A"/>
        </w:rPr>
        <w:t xml:space="preserve">Each leaf in the tree represents a node reached during BFS.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0F172A"/>
        </w:rPr>
        <w:t xml:space="preserve">A leaf whose node index equals t is a terminal leaf; it is registered and its path back-propagated.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0F172A"/>
        </w:rPr>
        <w:t xml:space="preserve">Leaves at depth &gt; d are pruned (not explored further).</w:t>
      </w:r>
    </w:p>
    <w:p>
      <w:pPr>
        <w:spacing w:after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3.3  Or-Combination Formula</w:t>
      </w:r>
    </w:p>
    <w:p>
      <w:pPr>
        <w:spacing w:after="120" w:line="276"/>
        <w:jc w:val="both"/>
      </w:pPr>
      <w:r>
        <w:rPr>
          <w:color w:val="0F172A"/>
        </w:rPr>
        <w:t xml:space="preserve">Risk and likelihood are computed recursively from the root leaf (at s) using an </w:t>
      </w:r>
      <w:r>
        <w:rPr>
          <w:b/>
          <w:bCs/>
        </w:rPr>
        <w:t xml:space="preserve">or-combination</w:t>
      </w:r>
      <w:r>
        <w:rPr>
          <w:color w:val="0F172A"/>
        </w:rPr>
        <w:t xml:space="preserve">: the probability that at least one of the possible onward paths successfully reaches t. Let k be any non-terminal node with children c₁, c₂, ..., cᵣ in the propagation tree.</w:t>
      </w:r>
    </w:p>
    <w:p>
      <w:pPr>
        <w:spacing w:after="8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i/>
          <w:iCs/>
          <w:color w:val="334155"/>
          <w:sz w:val="22"/>
          <w:szCs w:val="22"/>
        </w:rPr>
        <w:t xml:space="preserve">3.3.1  Combined Likelihood P(s, t)</w:t>
      </w:r>
    </w:p>
    <w:p>
      <w:pPr>
        <w:spacing w:after="120" w:line="276"/>
        <w:jc w:val="both"/>
      </w:pPr>
      <w:r>
        <w:rPr>
          <w:color w:val="0F172A"/>
        </w:rPr>
        <w:t xml:space="preserve">Base cases: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0F172A"/>
        </w:rPr>
        <w:t xml:space="preserve">If k = s and no paths exist:  P(s, t) = 0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0F172A"/>
        </w:rPr>
        <w:t xml:space="preserve">If k is a terminal leaf (k = t):  return 1  (contributes full probability to its parent)</w:t>
      </w:r>
    </w:p>
    <w:p>
      <w:pPr>
        <w:spacing w:after="80"/>
      </w:pPr>
    </w:p>
    <w:p>
      <w:pPr>
        <w:spacing w:after="120" w:line="276"/>
        <w:jc w:val="both"/>
      </w:pPr>
      <w:r>
        <w:rPr>
          <w:color w:val="0F172A"/>
        </w:rPr>
        <w:t xml:space="preserve">Recursive case at intermediate node k:</w:t>
      </w:r>
    </w:p>
    <w:p>
      <w:pPr>
        <w:pBdr>
          <w:left w:val="single" w:color="1D4ED8" w:sz="12" w:space="6"/>
        </w:pBdr>
        <w:shd w:fill="F1F5F9" w:val="clear"/>
        <w:spacing w:after="80" w:before="80"/>
        <w:ind w:left="720" w:right="720"/>
      </w:pPr>
      <w:r>
        <w:rPr>
          <w:rFonts w:ascii="Courier New" w:cs="Courier New" w:eastAsia="Courier New" w:hAnsi="Courier New"/>
          <w:sz w:val="18"/>
          <w:szCs w:val="18"/>
        </w:rPr>
        <w:t xml:space="preserve">P(k, t) = 1 - ∏_{c ∈ children(k)}  [ 1 - L[c][k] × P(c, t) ]</w:t>
      </w:r>
    </w:p>
    <w:p>
      <w:pPr>
        <w:spacing w:after="120"/>
        <w:ind w:left="720"/>
      </w:pPr>
      <w:r>
        <w:rPr>
          <w:i/>
          <w:iCs/>
          <w:color w:val="64748B"/>
        </w:rPr>
        <w:t xml:space="preserve">Eq. 3.1 — Or-combination for likelihood</w:t>
      </w:r>
    </w:p>
    <w:p>
      <w:pPr>
        <w:spacing w:after="120" w:line="276"/>
        <w:jc w:val="both"/>
      </w:pPr>
      <w:r>
        <w:rPr>
          <w:color w:val="0F172A"/>
        </w:rPr>
        <w:t xml:space="preserve">Here, L[c][k] is the direct likelihood of propagation from k to its child c in the BFS tree, and P(c, t) is the recursive likelihood from c to t.</w:t>
      </w:r>
    </w:p>
    <w:p>
      <w:pPr>
        <w:spacing w:after="8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i/>
          <w:iCs/>
          <w:color w:val="334155"/>
          <w:sz w:val="22"/>
          <w:szCs w:val="22"/>
        </w:rPr>
        <w:t xml:space="preserve">3.3.2  Combined Risk R(s, t)</w:t>
      </w:r>
    </w:p>
    <w:p>
      <w:pPr>
        <w:spacing w:after="120" w:line="276"/>
        <w:jc w:val="both"/>
      </w:pPr>
      <w:r>
        <w:rPr>
          <w:color w:val="0F172A"/>
        </w:rPr>
        <w:t xml:space="preserve">Base cases: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0F172A"/>
        </w:rPr>
        <w:t xml:space="preserve">If k = s and no paths exist:  R(s, t) = 0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0F172A"/>
        </w:rPr>
        <w:t xml:space="preserve">If k is a terminal leaf (k = t):  return I[t][parent] — the direct impact of the last edge</w:t>
      </w:r>
    </w:p>
    <w:p>
      <w:pPr>
        <w:spacing w:after="80"/>
      </w:pPr>
    </w:p>
    <w:p>
      <w:pPr>
        <w:spacing w:after="120" w:line="276"/>
        <w:jc w:val="both"/>
      </w:pPr>
      <w:r>
        <w:rPr>
          <w:color w:val="0F172A"/>
        </w:rPr>
        <w:t xml:space="preserve">Recursive case at intermediate node k:</w:t>
      </w:r>
    </w:p>
    <w:p>
      <w:pPr>
        <w:pBdr>
          <w:left w:val="single" w:color="1D4ED8" w:sz="12" w:space="6"/>
        </w:pBdr>
        <w:shd w:fill="F1F5F9" w:val="clear"/>
        <w:spacing w:after="80" w:before="80"/>
        <w:ind w:left="720" w:right="720"/>
      </w:pPr>
      <w:r>
        <w:rPr>
          <w:rFonts w:ascii="Courier New" w:cs="Courier New" w:eastAsia="Courier New" w:hAnsi="Courier New"/>
          <w:sz w:val="18"/>
          <w:szCs w:val="18"/>
        </w:rPr>
        <w:t xml:space="preserve">R(k, t) = 1 - ∏_{c ∈ children(k)}  [ 1 - L[c][k] × R(c, t) ]</w:t>
      </w:r>
    </w:p>
    <w:p>
      <w:pPr>
        <w:spacing w:after="120"/>
        <w:ind w:left="720"/>
      </w:pPr>
      <w:r>
        <w:rPr>
          <w:i/>
          <w:iCs/>
          <w:color w:val="64748B"/>
        </w:rPr>
        <w:t xml:space="preserve">Eq. 3.2 — Or-combination for risk</w:t>
      </w:r>
    </w:p>
    <w:p>
      <w:pPr>
        <w:spacing w:after="120" w:line="276"/>
        <w:jc w:val="both"/>
      </w:pPr>
      <w:r>
        <w:rPr>
          <w:color w:val="0F172A"/>
        </w:rPr>
        <w:t xml:space="preserve">Note that the recursion for risk has the same algebraic structure as for likelihood. The difference arises only at the base case (terminal leaf), where impact I replaces the constant 1. This means R(s, t) blends likelihood-weighted impact across all paths simultaneously.</w:t>
      </w:r>
    </w:p>
    <w:p>
      <w:pPr>
        <w:spacing w:after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3.4  Node-Level Aggregation</w:t>
      </w:r>
    </w:p>
    <w:p>
      <w:pPr>
        <w:spacing w:after="120" w:line="276"/>
        <w:jc w:val="both"/>
      </w:pPr>
      <w:r>
        <w:rPr>
          <w:color w:val="0F172A"/>
        </w:rPr>
        <w:t xml:space="preserve">Once the full n × n combined risk matrix R and likelihood matrix P are computed, each node is assigned two scalar scores:</w:t>
      </w:r>
    </w:p>
    <w:p>
      <w:pPr>
        <w:spacing w:after="80"/>
      </w:pPr>
    </w:p>
    <w:p>
      <w:pPr>
        <w:pBdr>
          <w:left w:val="single" w:color="1D4ED8" w:sz="12" w:space="6"/>
        </w:pBdr>
        <w:shd w:fill="F1F5F9" w:val="clear"/>
        <w:spacing w:after="80" w:before="80"/>
        <w:ind w:left="720" w:right="720"/>
      </w:pPr>
      <w:r>
        <w:rPr>
          <w:rFonts w:ascii="Courier New" w:cs="Courier New" w:eastAsia="Courier New" w:hAnsi="Courier New"/>
          <w:sz w:val="18"/>
          <w:szCs w:val="18"/>
        </w:rPr>
        <w:t xml:space="preserve">Outgoing(i) = ⅓ × Σ_{j ≠ i}  R(i, j)    [averaged over n−1 targets]</w:t>
      </w:r>
    </w:p>
    <w:p>
      <w:pPr>
        <w:spacing w:after="120"/>
        <w:ind w:left="720"/>
      </w:pPr>
      <w:r>
        <w:rPr>
          <w:i/>
          <w:iCs/>
          <w:color w:val="64748B"/>
        </w:rPr>
        <w:t xml:space="preserve">Eq. 3.3 — Average outgoing risk from node i</w:t>
      </w:r>
    </w:p>
    <w:p>
      <w:pPr>
        <w:pBdr>
          <w:left w:val="single" w:color="1D4ED8" w:sz="12" w:space="6"/>
        </w:pBdr>
        <w:shd w:fill="F1F5F9" w:val="clear"/>
        <w:spacing w:after="80" w:before="80"/>
        <w:ind w:left="720" w:right="720"/>
      </w:pPr>
      <w:r>
        <w:rPr>
          <w:rFonts w:ascii="Courier New" w:cs="Courier New" w:eastAsia="Courier New" w:hAnsi="Courier New"/>
          <w:sz w:val="18"/>
          <w:szCs w:val="18"/>
        </w:rPr>
        <w:t xml:space="preserve">Incoming(i) = ⅓ × Σ_{j ≠ i}  R(j, i)    [averaged over n−1 sources]</w:t>
      </w:r>
    </w:p>
    <w:p>
      <w:pPr>
        <w:spacing w:after="120"/>
        <w:ind w:left="720"/>
      </w:pPr>
      <w:r>
        <w:rPr>
          <w:i/>
          <w:iCs/>
          <w:color w:val="64748B"/>
        </w:rPr>
        <w:t xml:space="preserve">Eq. 3.4 — Average incoming risk to node i</w:t>
      </w:r>
    </w:p>
    <w:p>
      <w:pPr>
        <w:spacing w:after="120" w:line="276"/>
        <w:jc w:val="both"/>
      </w:pPr>
      <w:r>
        <w:rPr>
          <w:color w:val="0F172A"/>
        </w:rPr>
        <w:t xml:space="preserve">High outgoing risk identifies </w:t>
      </w:r>
      <w:r>
        <w:rPr>
          <w:b/>
          <w:bCs/>
        </w:rPr>
        <w:t xml:space="preserve">change instigators</w:t>
      </w:r>
      <w:r>
        <w:rPr>
          <w:color w:val="0F172A"/>
        </w:rPr>
        <w:t xml:space="preserve"> (risky sources). High incoming risk identifies </w:t>
      </w:r>
      <w:r>
        <w:rPr>
          <w:b/>
          <w:bCs/>
        </w:rPr>
        <w:t xml:space="preserve">change absorbers</w:t>
      </w:r>
      <w:r>
        <w:rPr>
          <w:color w:val="0F172A"/>
        </w:rPr>
        <w:t xml:space="preserve"> (vulnerable targets). Nodes with both high outgoing and incoming risk are </w:t>
      </w:r>
      <w:r>
        <w:rPr>
          <w:b/>
          <w:bCs/>
        </w:rPr>
        <w:t xml:space="preserve">propagators</w:t>
      </w:r>
      <w:r>
        <w:rPr>
          <w:color w:val="0F172A"/>
        </w:rPr>
        <w:t xml:space="preserve"> — critical to control.</w:t>
      </w:r>
    </w:p>
    <w:p>
      <w:pPr>
        <w:spacing w:after="160"/>
      </w:pPr>
    </w:p>
    <w:p>
      <w:r>
        <w:br w:type="page"/>
      </w:r>
    </w:p>
    <w:p>
      <w:pPr>
        <w:pStyle w:val="Heading1"/>
        <w:pBdr>
          <w:bottom w:val="single" w:color="1D4ED8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4  CPM with Margin (MA-CPM)</w:t>
      </w:r>
    </w:p>
    <w:p>
      <w:pPr>
        <w:spacing w:after="120" w:line="276"/>
        <w:jc w:val="both"/>
      </w:pPr>
      <w:r>
        <w:rPr>
          <w:color w:val="0F172A"/>
        </w:rPr>
        <w:t xml:space="preserve">CPM with Margin introduces a single additional quantity per node — the </w:t>
      </w:r>
      <w:r>
        <w:rPr>
          <w:b/>
          <w:bCs/>
        </w:rPr>
        <w:t xml:space="preserve">margin gate</w:t>
      </w:r>
      <w:r>
        <w:rPr>
          <w:color w:val="0F172A"/>
        </w:rPr>
        <w:t xml:space="preserve"> gᵢ — and multiplies it into Clarkson’s or-combination at every intermediate node. Everything else in the algorithm is unchanged.</w:t>
      </w:r>
    </w:p>
    <w:p>
      <w:pPr>
        <w:spacing w:after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4.1  Conceptual Model</w:t>
      </w:r>
    </w:p>
    <w:p>
      <w:pPr>
        <w:spacing w:after="120" w:line="276"/>
        <w:jc w:val="both"/>
      </w:pPr>
      <w:r>
        <w:rPr>
          <w:color w:val="0F172A"/>
        </w:rPr>
        <w:t xml:space="preserve">A design element i has a </w:t>
      </w:r>
      <w:r>
        <w:rPr>
          <w:b/>
          <w:bCs/>
        </w:rPr>
        <w:t xml:space="preserve">margin threshold</w:t>
      </w:r>
      <w:r>
        <w:rPr>
          <w:color w:val="0F172A"/>
        </w:rPr>
        <w:t xml:space="preserve"> mᵢ ∈ [0, 1]: the largest relative change it can absorb before passing a change on to its neighbours. An arriving change has a random </w:t>
      </w:r>
      <w:r>
        <w:rPr>
          <w:b/>
          <w:bCs/>
        </w:rPr>
        <w:t xml:space="preserve">magnitude</w:t>
      </w:r>
      <w:r>
        <w:rPr>
          <w:color w:val="0F172A"/>
        </w:rPr>
        <w:t xml:space="preserve"> δ₁ ∈ [0, 1] drawn from a specified probability distribution. Change propagates through element i only if δ₁ &gt; mᵢ.</w:t>
      </w:r>
    </w:p>
    <w:p>
      <w:pPr>
        <w:spacing w:after="80"/>
      </w:pPr>
    </w:p>
    <w:p>
      <w:pPr>
        <w:spacing w:after="120" w:line="276"/>
        <w:jc w:val="both"/>
      </w:pPr>
      <w:r>
        <w:rPr>
          <w:color w:val="0F172A"/>
        </w:rPr>
        <w:t xml:space="preserve">The probability that this happens is the </w:t>
      </w:r>
      <w:r>
        <w:rPr>
          <w:b/>
          <w:bCs/>
        </w:rPr>
        <w:t xml:space="preserve">exceedance probability</w:t>
      </w:r>
      <w:r>
        <w:rPr>
          <w:color w:val="0F172A"/>
        </w:rPr>
        <w:t xml:space="preserve"> (margin gate):</w:t>
      </w:r>
    </w:p>
    <w:p>
      <w:pPr>
        <w:pBdr>
          <w:left w:val="single" w:color="1D4ED8" w:sz="12" w:space="6"/>
        </w:pBdr>
        <w:shd w:fill="F1F5F9" w:val="clear"/>
        <w:spacing w:after="80" w:before="80"/>
        <w:ind w:left="720" w:right="720"/>
      </w:pPr>
      <w:r>
        <w:rPr>
          <w:rFonts w:ascii="Courier New" w:cs="Courier New" w:eastAsia="Courier New" w:hAnsi="Courier New"/>
          <w:sz w:val="18"/>
          <w:szCs w:val="18"/>
        </w:rPr>
        <w:t xml:space="preserve">g_i = P(δ₁ &gt; m_i)</w:t>
      </w:r>
    </w:p>
    <w:p>
      <w:pPr>
        <w:spacing w:after="120"/>
        <w:ind w:left="720"/>
      </w:pPr>
      <w:r>
        <w:rPr>
          <w:i/>
          <w:iCs/>
          <w:color w:val="64748B"/>
        </w:rPr>
        <w:t xml:space="preserve">Eq. 4.1 — Margin gate definition</w:t>
      </w:r>
    </w:p>
    <w:p>
      <w:pPr>
        <w:spacing w:after="120" w:line="276"/>
        <w:jc w:val="both"/>
      </w:pPr>
      <w:r>
        <w:rPr>
          <w:color w:val="0F172A"/>
        </w:rPr>
        <w:t xml:space="preserve">When mᵢ = 0, the full change passes through regardless of magnitude: gᵢ = 1. When mᵢ → 1, almost no change magnitude exceeds the margin: gᵢ → 0.</w:t>
      </w:r>
    </w:p>
    <w:p>
      <w:pPr>
        <w:spacing w:after="80"/>
      </w:pP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1D4ED8" w:sz="1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i/>
                <w:iCs/>
                <w:color w:val="1D4ED8"/>
              </w:rPr>
              <w:t xml:space="preserve">The gate is a "what-if" sensitivity lens. It does NOT modify the analyst-elicited likelihoods L[i][j] — those remain unchanged from Classic CPM. Instead, g_i captures the additional attenuation introduced by the margin: even if a change is likely to propagate along an edge (high L), it may still be absorbed by the destination’s margin before going further.</w:t>
            </w:r>
          </w:p>
        </w:tc>
      </w:tr>
    </w:tbl>
    <w:p>
      <w:pPr>
        <w:spacing w:after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4.2  Change Magnitude Distributions</w:t>
      </w:r>
    </w:p>
    <w:p>
      <w:pPr>
        <w:spacing w:after="120" w:line="276"/>
        <w:jc w:val="both"/>
      </w:pPr>
      <w:r>
        <w:rPr>
          <w:color w:val="0F172A"/>
        </w:rPr>
        <w:t xml:space="preserve">All distributions are defined on [0, 1]. The user selects one distribution that applies to all nodes (or a per-node list of distributions in the API).</w:t>
      </w:r>
    </w:p>
    <w:p>
      <w:pPr>
        <w:spacing w:after="8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i/>
          <w:iCs/>
          <w:color w:val="334155"/>
          <w:sz w:val="22"/>
          <w:szCs w:val="22"/>
        </w:rPr>
        <w:t xml:space="preserve">4.2.1  Truncated Normal (default)</w:t>
      </w:r>
    </w:p>
    <w:p>
      <w:pPr>
        <w:spacing w:after="120" w:line="276"/>
        <w:jc w:val="both"/>
      </w:pPr>
      <w:r>
        <w:rPr>
          <w:color w:val="0F172A"/>
        </w:rPr>
        <w:t xml:space="preserve">The change magnitude δ₁ follows a Normal distribution with mean μ and standard deviation σ, truncated to [0, 1]. This is the most realistic choice for design changes that cluster around a typical magnitude with some spread.</w:t>
      </w:r>
    </w:p>
    <w:p>
      <w:pPr>
        <w:spacing w:after="80"/>
      </w:pPr>
    </w:p>
    <w:p>
      <w:pPr>
        <w:spacing w:after="120" w:line="276"/>
        <w:jc w:val="both"/>
      </w:pPr>
      <w:r>
        <w:rPr>
          <w:color w:val="0F172A"/>
        </w:rPr>
        <w:t xml:space="preserve">Normalisation constant:</w:t>
      </w:r>
    </w:p>
    <w:p>
      <w:pPr>
        <w:pBdr>
          <w:left w:val="single" w:color="1D4ED8" w:sz="12" w:space="6"/>
        </w:pBdr>
        <w:shd w:fill="F1F5F9" w:val="clear"/>
        <w:spacing w:after="80" w:before="80"/>
        <w:ind w:left="720" w:right="720"/>
      </w:pPr>
      <w:r>
        <w:rPr>
          <w:rFonts w:ascii="Courier New" w:cs="Courier New" w:eastAsia="Courier New" w:hAnsi="Courier New"/>
          <w:sz w:val="18"/>
          <w:szCs w:val="18"/>
        </w:rPr>
        <w:t xml:space="preserve">Z = Φ((1 − μ) / σ)  −  Φ((0 − μ) / σ)</w:t>
      </w:r>
    </w:p>
    <w:p>
      <w:pPr>
        <w:spacing w:after="120"/>
        <w:ind w:left="720"/>
      </w:pPr>
      <w:r>
        <w:rPr>
          <w:i/>
          <w:iCs/>
          <w:color w:val="64748B"/>
        </w:rPr>
        <w:t xml:space="preserve">Eq. 4.2 — Truncated-normal normalisation</w:t>
      </w:r>
    </w:p>
    <w:p>
      <w:pPr>
        <w:spacing w:after="120" w:line="276"/>
        <w:jc w:val="both"/>
      </w:pPr>
      <w:r>
        <w:rPr>
          <w:color w:val="0F172A"/>
        </w:rPr>
        <w:t xml:space="preserve">Margin gate:</w:t>
      </w:r>
    </w:p>
    <w:p>
      <w:pPr>
        <w:pBdr>
          <w:left w:val="single" w:color="1D4ED8" w:sz="12" w:space="6"/>
        </w:pBdr>
        <w:shd w:fill="F1F5F9" w:val="clear"/>
        <w:spacing w:after="80" w:before="80"/>
        <w:ind w:left="720" w:right="720"/>
      </w:pPr>
      <w:r>
        <w:rPr>
          <w:rFonts w:ascii="Courier New" w:cs="Courier New" w:eastAsia="Courier New" w:hAnsi="Courier New"/>
          <w:sz w:val="18"/>
          <w:szCs w:val="18"/>
        </w:rPr>
        <w:t xml:space="preserve">g_i = [ Φ((1 − μ)/σ) − Φ((m_i − μ)/σ) ] / Z</w:t>
      </w:r>
    </w:p>
    <w:p>
      <w:pPr>
        <w:spacing w:after="120"/>
        <w:ind w:left="720"/>
      </w:pPr>
      <w:r>
        <w:rPr>
          <w:i/>
          <w:iCs/>
          <w:color w:val="64748B"/>
        </w:rPr>
        <w:t xml:space="preserve">Eq. 4.3 — Exceedance under Truncated Normal</w:t>
      </w:r>
    </w:p>
    <w:p>
      <w:pPr>
        <w:spacing w:after="120" w:line="276"/>
        <w:jc w:val="both"/>
      </w:pPr>
      <w:r>
        <w:rPr>
          <w:color w:val="0F172A"/>
        </w:rPr>
        <w:t xml:space="preserve">where Φ(x) = ½ erfc(−x/√2) is the standard normal CDF. Default parameters: μ = 0.30, σ = 0.15.</w:t>
      </w:r>
    </w:p>
    <w:p>
      <w:pPr>
        <w:spacing w:after="16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i/>
          <w:iCs/>
          <w:color w:val="334155"/>
          <w:sz w:val="22"/>
          <w:szCs w:val="22"/>
        </w:rPr>
        <w:t xml:space="preserve">4.2.2  Uniform</w:t>
      </w:r>
    </w:p>
    <w:p>
      <w:pPr>
        <w:spacing w:after="120" w:line="276"/>
        <w:jc w:val="both"/>
      </w:pPr>
      <w:r>
        <w:rPr>
          <w:color w:val="0F172A"/>
        </w:rPr>
        <w:t xml:space="preserve">Change magnitude is uniform on [a, b] ⊆ [0, 1]  (default a = 0, b = 1):</w:t>
      </w:r>
    </w:p>
    <w:p>
      <w:pPr>
        <w:pBdr>
          <w:left w:val="single" w:color="1D4ED8" w:sz="12" w:space="6"/>
        </w:pBdr>
        <w:shd w:fill="F1F5F9" w:val="clear"/>
        <w:spacing w:after="80" w:before="80"/>
        <w:ind w:left="720" w:right="720"/>
      </w:pPr>
      <w:r>
        <w:rPr>
          <w:rFonts w:ascii="Courier New" w:cs="Courier New" w:eastAsia="Courier New" w:hAnsi="Courier New"/>
          <w:sz w:val="18"/>
          <w:szCs w:val="18"/>
        </w:rPr>
        <w:t xml:space="preserve">g_i = max(0,  (b − m_i) / (b − a))       for m_i ∈ [a, b]</w:t>
      </w:r>
    </w:p>
    <w:p>
      <w:pPr>
        <w:spacing w:after="120"/>
        <w:ind w:left="720"/>
      </w:pPr>
      <w:r>
        <w:rPr>
          <w:i/>
          <w:iCs/>
          <w:color w:val="64748B"/>
        </w:rPr>
        <w:t xml:space="preserve">Eq. 4.4 — Exceedance under Uniform[a, b]</w:t>
      </w:r>
    </w:p>
    <w:p>
      <w:pPr>
        <w:spacing w:after="16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i/>
          <w:iCs/>
          <w:color w:val="334155"/>
          <w:sz w:val="22"/>
          <w:szCs w:val="22"/>
        </w:rPr>
        <w:t xml:space="preserve">4.2.3  Beta</w:t>
      </w:r>
    </w:p>
    <w:p>
      <w:pPr>
        <w:spacing w:after="120" w:line="276"/>
        <w:jc w:val="both"/>
      </w:pPr>
      <w:r>
        <w:rPr>
          <w:color w:val="0F172A"/>
        </w:rPr>
        <w:t xml:space="preserve">Change magnitude follows a Beta(α, β) distribution on [0, 1]. The Beta distribution is flexible and can represent left-skewed (many small changes), right-skewed (mostly large changes), or symmetric change patterns.</w:t>
      </w:r>
    </w:p>
    <w:p>
      <w:pPr>
        <w:pBdr>
          <w:left w:val="single" w:color="1D4ED8" w:sz="12" w:space="6"/>
        </w:pBdr>
        <w:shd w:fill="F1F5F9" w:val="clear"/>
        <w:spacing w:after="80" w:before="80"/>
        <w:ind w:left="720" w:right="720"/>
      </w:pPr>
      <w:r>
        <w:rPr>
          <w:rFonts w:ascii="Courier New" w:cs="Courier New" w:eastAsia="Courier New" w:hAnsi="Courier New"/>
          <w:sz w:val="18"/>
          <w:szCs w:val="18"/>
        </w:rPr>
        <w:t xml:space="preserve">g_i = 1 − I(m_i ; α, β)</w:t>
      </w:r>
    </w:p>
    <w:p>
      <w:pPr>
        <w:spacing w:after="120"/>
        <w:ind w:left="720"/>
      </w:pPr>
      <w:r>
        <w:rPr>
          <w:i/>
          <w:iCs/>
          <w:color w:val="64748B"/>
        </w:rPr>
        <w:t xml:space="preserve">Eq. 4.5 — Exceedance under Beta(α, β)</w:t>
      </w:r>
    </w:p>
    <w:p>
      <w:pPr>
        <w:spacing w:after="120" w:line="276"/>
        <w:jc w:val="both"/>
      </w:pPr>
      <w:r>
        <w:rPr>
          <w:color w:val="0F172A"/>
        </w:rPr>
        <w:t xml:space="preserve">where I(x; α, β) is the regularised incomplete Beta function (Beta CDF), computed numerically via Simpson’s rule (no external scientific computing library required).</w:t>
      </w:r>
    </w:p>
    <w:p>
      <w:pPr>
        <w:spacing w:after="16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i/>
          <w:iCs/>
          <w:color w:val="334155"/>
          <w:sz w:val="22"/>
          <w:szCs w:val="22"/>
        </w:rPr>
        <w:t xml:space="preserve">4.2.4  Triangular</w:t>
      </w:r>
    </w:p>
    <w:p>
      <w:pPr>
        <w:spacing w:after="120" w:line="276"/>
        <w:jc w:val="both"/>
      </w:pPr>
      <w:r>
        <w:rPr>
          <w:color w:val="0F172A"/>
        </w:rPr>
        <w:t xml:space="preserve">Triangular distribution with minimum a, maximum b, and peak c (all in [0, 1]):</w:t>
      </w:r>
    </w:p>
    <w:p>
      <w:pPr>
        <w:pBdr>
          <w:left w:val="single" w:color="1D4ED8" w:sz="12" w:space="6"/>
        </w:pBdr>
        <w:shd w:fill="F1F5F9" w:val="clear"/>
        <w:spacing w:after="80" w:before="80"/>
        <w:ind w:left="720" w:right="720"/>
      </w:pPr>
      <w:r>
        <w:rPr>
          <w:rFonts w:ascii="Courier New" w:cs="Courier New" w:eastAsia="Courier New" w:hAnsi="Courier New"/>
          <w:sz w:val="18"/>
          <w:szCs w:val="18"/>
        </w:rPr>
        <w:t xml:space="preserve">g_i = 1 − (m_i − a)² / [(b − a)(c − a)]       if  a &lt; m_i ≤ c</w:t>
      </w:r>
    </w:p>
    <w:p>
      <w:pPr>
        <w:pBdr>
          <w:left w:val="single" w:color="1D4ED8" w:sz="12" w:space="6"/>
        </w:pBdr>
        <w:shd w:fill="F1F5F9" w:val="clear"/>
        <w:spacing w:after="80" w:before="80"/>
        <w:ind w:left="720" w:right="720"/>
      </w:pPr>
      <w:r>
        <w:rPr>
          <w:rFonts w:ascii="Courier New" w:cs="Courier New" w:eastAsia="Courier New" w:hAnsi="Courier New"/>
          <w:sz w:val="18"/>
          <w:szCs w:val="18"/>
        </w:rPr>
        <w:t xml:space="preserve">g_i = (b − m_i)² / [(b − a)(b − c)]              if  c &lt; m_i &lt; b</w:t>
      </w:r>
    </w:p>
    <w:p>
      <w:pPr>
        <w:pBdr>
          <w:left w:val="single" w:color="1D4ED8" w:sz="12" w:space="6"/>
        </w:pBdr>
        <w:shd w:fill="F1F5F9" w:val="clear"/>
        <w:spacing w:after="80" w:before="80"/>
        <w:ind w:left="720" w:right="720"/>
      </w:pPr>
      <w:r>
        <w:rPr>
          <w:rFonts w:ascii="Courier New" w:cs="Courier New" w:eastAsia="Courier New" w:hAnsi="Courier New"/>
          <w:sz w:val="18"/>
          <w:szCs w:val="18"/>
        </w:rPr>
        <w:t xml:space="preserve">g_i = 1  if m_i ≤ a ;     g_i = 0  if m_i ≥ b</w:t>
      </w:r>
    </w:p>
    <w:p>
      <w:pPr>
        <w:spacing w:after="120"/>
        <w:ind w:left="720"/>
      </w:pPr>
      <w:r>
        <w:rPr>
          <w:i/>
          <w:iCs/>
          <w:color w:val="64748B"/>
        </w:rPr>
        <w:t xml:space="preserve">Eq. 4.6 — Exceedance under Triangular(a, b, c)</w:t>
      </w:r>
    </w:p>
    <w:p>
      <w:pPr>
        <w:spacing w:after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4.3  Modified Or-Combination with Margin Gate</w:t>
      </w:r>
    </w:p>
    <w:p>
      <w:pPr>
        <w:spacing w:after="120" w:line="276"/>
        <w:jc w:val="both"/>
      </w:pPr>
      <w:r>
        <w:rPr>
          <w:color w:val="0F172A"/>
        </w:rPr>
        <w:t xml:space="preserve">The only algorithmic change versus Classic CPM is the injection of the gate gₖ at each </w:t>
      </w:r>
      <w:r>
        <w:rPr>
          <w:i/>
          <w:iCs/>
        </w:rPr>
        <w:t xml:space="preserve">intermediate</w:t>
      </w:r>
      <w:r>
        <w:rPr>
          <w:color w:val="0F172A"/>
        </w:rPr>
        <w:t xml:space="preserve"> node k in the propagation tree. The gate is applied </w:t>
      </w:r>
      <w:r>
        <w:rPr>
          <w:b/>
          <w:bCs/>
        </w:rPr>
        <w:t xml:space="preserve">once per node</w:t>
      </w:r>
      <w:r>
        <w:rPr>
          <w:color w:val="0F172A"/>
        </w:rPr>
        <w:t xml:space="preserve"> (not per edge), since the margin is a property of the node.</w:t>
      </w:r>
    </w:p>
    <w:p>
      <w:pPr>
        <w:spacing w:after="80"/>
      </w:pPr>
    </w:p>
    <w:p>
      <w:pPr>
        <w:spacing w:after="120" w:line="276"/>
        <w:jc w:val="both"/>
      </w:pPr>
      <w:r>
        <w:rPr>
          <w:color w:val="0F172A"/>
        </w:rPr>
        <w:t xml:space="preserve">Let k be an intermediate node (k ≠ s and k ≠ t) with children c₁, ..., cᵣ in the MA-CPM propagation tree.</w:t>
      </w:r>
    </w:p>
    <w:p>
      <w:pPr>
        <w:spacing w:after="8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i/>
          <w:iCs/>
          <w:color w:val="334155"/>
          <w:sz w:val="22"/>
          <w:szCs w:val="22"/>
        </w:rPr>
        <w:t xml:space="preserve">4.3.1  Combined Likelihood P*(s, t)</w:t>
      </w:r>
    </w:p>
    <w:p>
      <w:pPr>
        <w:spacing w:after="120" w:line="276"/>
        <w:jc w:val="both"/>
      </w:pPr>
      <w:r>
        <w:rPr>
          <w:color w:val="0F172A"/>
        </w:rPr>
        <w:t xml:space="preserve">Base cases: same as Classic CPM (Eq. 3.1).</w:t>
      </w:r>
    </w:p>
    <w:p>
      <w:pPr>
        <w:spacing w:after="80"/>
      </w:pPr>
    </w:p>
    <w:p>
      <w:pPr>
        <w:spacing w:after="120" w:line="276"/>
        <w:jc w:val="both"/>
      </w:pPr>
      <w:r>
        <w:rPr>
          <w:color w:val="0F172A"/>
        </w:rPr>
        <w:t xml:space="preserve">Recursive case:</w:t>
      </w:r>
    </w:p>
    <w:p>
      <w:pPr>
        <w:pBdr>
          <w:left w:val="single" w:color="1D4ED8" w:sz="12" w:space="6"/>
        </w:pBdr>
        <w:shd w:fill="F1F5F9" w:val="clear"/>
        <w:spacing w:after="80" w:before="80"/>
        <w:ind w:left="720" w:right="720"/>
      </w:pPr>
      <w:r>
        <w:rPr>
          <w:rFonts w:ascii="Courier New" w:cs="Courier New" w:eastAsia="Courier New" w:hAnsi="Courier New"/>
          <w:sz w:val="18"/>
          <w:szCs w:val="18"/>
        </w:rPr>
        <w:t xml:space="preserve">P*(k, t) = 1 - ∏_{c ∈ children(k)}  [ 1 - g_k × L[c][k] × P*(c, t) ]</w:t>
      </w:r>
    </w:p>
    <w:p>
      <w:pPr>
        <w:spacing w:after="120"/>
        <w:ind w:left="720"/>
      </w:pPr>
      <w:r>
        <w:rPr>
          <w:i/>
          <w:iCs/>
          <w:color w:val="64748B"/>
        </w:rPr>
        <w:t xml:space="preserve">Eq. 4.7 — MA-CPM or-combination for likelihood</w:t>
      </w:r>
    </w:p>
    <w:p>
      <w:pPr>
        <w:spacing w:after="120" w:line="276"/>
        <w:jc w:val="both"/>
      </w:pPr>
      <w:r>
        <w:rPr>
          <w:color w:val="0F172A"/>
        </w:rPr>
        <w:t xml:space="preserve">At the start node s and at the target node t, gₖ = 1 (no gating at endpoints). All intermediate nodes use their precomputed gₖ = P(δ₁ &gt; mₖ).</w:t>
      </w:r>
    </w:p>
    <w:p>
      <w:pPr>
        <w:spacing w:after="8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i/>
          <w:iCs/>
          <w:color w:val="334155"/>
          <w:sz w:val="22"/>
          <w:szCs w:val="22"/>
        </w:rPr>
        <w:t xml:space="preserve">4.3.2  Combined Risk R*(s, t)</w:t>
      </w:r>
    </w:p>
    <w:p>
      <w:pPr>
        <w:spacing w:after="120" w:line="276"/>
        <w:jc w:val="both"/>
      </w:pPr>
      <w:r>
        <w:rPr>
          <w:color w:val="0F172A"/>
        </w:rPr>
        <w:t xml:space="preserve">Base cases: same as Classic CPM (Eq. 3.2).</w:t>
      </w:r>
    </w:p>
    <w:p>
      <w:pPr>
        <w:spacing w:after="80"/>
      </w:pPr>
    </w:p>
    <w:p>
      <w:pPr>
        <w:spacing w:after="120" w:line="276"/>
        <w:jc w:val="both"/>
      </w:pPr>
      <w:r>
        <w:rPr>
          <w:color w:val="0F172A"/>
        </w:rPr>
        <w:t xml:space="preserve">Recursive case:</w:t>
      </w:r>
    </w:p>
    <w:p>
      <w:pPr>
        <w:pBdr>
          <w:left w:val="single" w:color="1D4ED8" w:sz="12" w:space="6"/>
        </w:pBdr>
        <w:shd w:fill="F1F5F9" w:val="clear"/>
        <w:spacing w:after="80" w:before="80"/>
        <w:ind w:left="720" w:right="720"/>
      </w:pPr>
      <w:r>
        <w:rPr>
          <w:rFonts w:ascii="Courier New" w:cs="Courier New" w:eastAsia="Courier New" w:hAnsi="Courier New"/>
          <w:sz w:val="18"/>
          <w:szCs w:val="18"/>
        </w:rPr>
        <w:t xml:space="preserve">R*(k, t) = 1 - ∏_{c ∈ children(k)}  [ 1 - g_k × L[c][k] × R*(c, t) ]</w:t>
      </w:r>
    </w:p>
    <w:p>
      <w:pPr>
        <w:spacing w:after="120"/>
        <w:ind w:left="720"/>
      </w:pPr>
      <w:r>
        <w:rPr>
          <w:i/>
          <w:iCs/>
          <w:color w:val="64748B"/>
        </w:rPr>
        <w:t xml:space="preserve">Eq. 4.8 — MA-CPM or-combination for risk</w:t>
      </w:r>
    </w:p>
    <w:p>
      <w:pPr>
        <w:spacing w:after="120" w:line="276"/>
        <w:jc w:val="both"/>
      </w:pPr>
      <w:r>
        <w:rPr>
          <w:color w:val="0F172A"/>
        </w:rPr>
        <w:t xml:space="preserve">Comparing Eq. 4.8 with Eq. 3.2, the only difference is the factor gₖ multiplied onto each per-edge term L[c][k] × R*(c, t). When gₖ = 1 (zero margin), the formulas are identical to Clarkson’s.</w:t>
      </w:r>
    </w:p>
    <w:p>
      <w:pPr>
        <w:spacing w:after="80"/>
      </w:pP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1D4ED8" w:sz="1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i/>
                <w:iCs/>
                <w:color w:val="1D4ED8"/>
              </w:rPr>
              <w:t xml:space="preserve">Design choice — why one gate per node, not per edge?  The margin m_i is a property of element i: it determines how much of an incoming disturbance i absorbs before it starts propagating. The gate therefore belongs to the node, and is applied once when i is visited as an intermediate node — regardless of how many outgoing edges i has. Applying per edge would double-count the attenuation for nodes with multiple children.</w:t>
            </w:r>
          </w:p>
        </w:tc>
      </w:tr>
    </w:tbl>
    <w:p>
      <w:pPr>
        <w:spacing w:after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4.4  Recovery of Classic CPM</w:t>
      </w:r>
    </w:p>
    <w:p>
      <w:pPr>
        <w:spacing w:after="120" w:line="276"/>
        <w:jc w:val="both"/>
      </w:pPr>
      <w:r>
        <w:rPr>
          <w:color w:val="0F172A"/>
        </w:rPr>
        <w:t xml:space="preserve">For all nodes i: if mᵢ = 0, then P(δ₁ &gt; 0) = 1 for any continuous distribution with support including 0. Therefore gᵢ = 1 for all i, and Eqs. 4.7 and 4.8 reduce exactly to Eqs. 3.1 and 3.2. </w:t>
      </w:r>
      <w:r>
        <w:rPr>
          <w:b/>
          <w:bCs/>
        </w:rPr>
        <w:t xml:space="preserve">CPM with Margin is a strict generalisation of Classic CPM.</w:t>
      </w:r>
    </w:p>
    <w:p>
      <w:pPr>
        <w:spacing w:after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4.5  Effective Likelihood Matrix L*</w:t>
      </w:r>
    </w:p>
    <w:p>
      <w:pPr>
        <w:spacing w:after="120" w:line="276"/>
        <w:jc w:val="both"/>
      </w:pPr>
      <w:r>
        <w:rPr>
          <w:color w:val="0F172A"/>
        </w:rPr>
        <w:t xml:space="preserve">As a diagnostic output, MA-CPM computes the </w:t>
      </w:r>
      <w:r>
        <w:rPr>
          <w:b/>
          <w:bCs/>
        </w:rPr>
        <w:t xml:space="preserve">effective likelihood</w:t>
      </w:r>
      <w:r>
        <w:rPr>
          <w:color w:val="0F172A"/>
        </w:rPr>
        <w:t xml:space="preserve"> matrix, which shows how the direct (elicited) likelihoods are modified by the margins:</w:t>
      </w:r>
    </w:p>
    <w:p>
      <w:pPr>
        <w:pBdr>
          <w:left w:val="single" w:color="1D4ED8" w:sz="12" w:space="6"/>
        </w:pBdr>
        <w:shd w:fill="F1F5F9" w:val="clear"/>
        <w:spacing w:after="80" w:before="80"/>
        <w:ind w:left="720" w:right="720"/>
      </w:pPr>
      <w:r>
        <w:rPr>
          <w:rFonts w:ascii="Courier New" w:cs="Courier New" w:eastAsia="Courier New" w:hAnsi="Courier New"/>
          <w:sz w:val="18"/>
          <w:szCs w:val="18"/>
        </w:rPr>
        <w:t xml:space="preserve">L*[i][j] = g_i × L[i][j]</w:t>
      </w:r>
    </w:p>
    <w:p>
      <w:pPr>
        <w:spacing w:after="120"/>
        <w:ind w:left="720"/>
      </w:pPr>
      <w:r>
        <w:rPr>
          <w:i/>
          <w:iCs/>
          <w:color w:val="64748B"/>
        </w:rPr>
        <w:t xml:space="preserve">Eq. 4.9 — Effective likelihood (margin-attenuated direct link)</w:t>
      </w:r>
    </w:p>
    <w:p>
      <w:pPr>
        <w:spacing w:after="120" w:line="276"/>
        <w:jc w:val="both"/>
      </w:pPr>
      <w:r>
        <w:rPr>
          <w:color w:val="0F172A"/>
        </w:rPr>
        <w:t xml:space="preserve">L*[i][j] can be interpreted as “the probability that a change from j actually propagates through i’s margin to reach i’s neighbours.” It collapses the two-step reasoning (propagates to i? and does it exceed i’s margin?) into a single quantity. L* is not fed back into the recursive computation; it is a read-out for inspection and reporting.</w:t>
      </w:r>
    </w:p>
    <w:p>
      <w:pPr>
        <w:spacing w:after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4.6  Aggregation</w:t>
      </w:r>
    </w:p>
    <w:p>
      <w:pPr>
        <w:spacing w:after="120" w:line="276"/>
        <w:jc w:val="both"/>
      </w:pPr>
      <w:r>
        <w:rPr>
          <w:color w:val="0F172A"/>
        </w:rPr>
        <w:t xml:space="preserve">Outgoing and incoming risk scores are computed from R* exactly as in Classic CPM (Eqs. 3.3 and 3.4), replacing R with R*.</w:t>
      </w:r>
    </w:p>
    <w:p>
      <w:pPr>
        <w:spacing w:after="160"/>
      </w:pPr>
    </w:p>
    <w:p>
      <w:r>
        <w:br w:type="page"/>
      </w:r>
    </w:p>
    <w:p>
      <w:pPr>
        <w:pStyle w:val="Heading1"/>
        <w:pBdr>
          <w:bottom w:val="single" w:color="1D4ED8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5  Algorithm Summary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5.1  Inputs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0F172A"/>
        </w:rPr>
        <w:t xml:space="preserve">Likelihood matrix L (n × n, values in [0, 1], diagonal zero)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0F172A"/>
        </w:rPr>
        <w:t xml:space="preserve">Impact matrix I (n × n, values in [0, 1], diagonal zero)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0F172A"/>
        </w:rPr>
        <w:t xml:space="preserve">Margin vector m = [m₁, ..., mₙ] with mᵢ ∈ [0, 1]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0F172A"/>
        </w:rPr>
        <w:t xml:space="preserve">Change magnitude distribution (type + parameters)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0F172A"/>
        </w:rPr>
        <w:t xml:space="preserve">Search depth d (recommended 3–4)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0F172A"/>
        </w:rPr>
        <w:t xml:space="preserve">Instigator convention (“column” or “row”)</w:t>
      </w:r>
    </w:p>
    <w:p>
      <w:pPr>
        <w:spacing w:after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5.2  Step-by-Step Procedure</w:t>
      </w:r>
    </w:p>
    <w:p>
      <w:pPr>
        <w:spacing w:after="80"/>
      </w:pP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6"/>
        <w:gridCol w:w="1995"/>
        <w:gridCol w:w="6349"/>
      </w:tblGrid>
      <w:tr>
        <w:tc>
          <w:tcPr>
            <w:tcW w:type="dxa" w:w="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19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63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18"/>
                <w:szCs w:val="18"/>
              </w:rPr>
              <w:t xml:space="preserve">1</w:t>
            </w:r>
          </w:p>
        </w:tc>
        <w:tc>
          <w:tcPr>
            <w:tcW w:type="dxa" w:w="19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Precompute exceedance</w:t>
            </w:r>
          </w:p>
        </w:tc>
        <w:tc>
          <w:tcPr>
            <w:tcW w:type="dxa" w:w="63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For each node i, compute g_i = P(δ₁ &gt; m_i) from the chosen distribution. This vector is fixed for the entire computation.</w:t>
            </w:r>
          </w:p>
        </w:tc>
      </w:tr>
      <w:tr>
        <w:tc>
          <w:tcPr>
            <w:tcW w:type="dxa" w:w="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18"/>
                <w:szCs w:val="18"/>
              </w:rPr>
              <w:t xml:space="preserve">2</w:t>
            </w:r>
          </w:p>
        </w:tc>
        <w:tc>
          <w:tcPr>
            <w:tcW w:type="dxa" w:w="19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Build MarginDSM objects</w:t>
            </w:r>
          </w:p>
        </w:tc>
        <w:tc>
          <w:tcPr>
            <w:tcW w:type="dxa" w:w="63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Wrap L and I with the exceedance vector. If the instigator convention is “row”, transpose the matrices before constructing the node network.</w:t>
            </w:r>
          </w:p>
        </w:tc>
      </w:tr>
      <w:tr>
        <w:tc>
          <w:tcPr>
            <w:tcW w:type="dxa" w:w="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18"/>
                <w:szCs w:val="18"/>
              </w:rPr>
              <w:t xml:space="preserve">3a</w:t>
            </w:r>
          </w:p>
        </w:tc>
        <w:tc>
          <w:tcPr>
            <w:tcW w:type="dxa" w:w="19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BFS propagation (per pair)</w:t>
            </w:r>
          </w:p>
        </w:tc>
        <w:tc>
          <w:tcPr>
            <w:tcW w:type="dxa" w:w="63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Initialise the tree at source s. Expand each node’s neighbours via BFS up to depth d. Detect and skip back-edges (cycle avoidance). When a node index equals t, back-propagate the path.</w:t>
            </w:r>
          </w:p>
        </w:tc>
      </w:tr>
      <w:tr>
        <w:tc>
          <w:tcPr>
            <w:tcW w:type="dxa" w:w="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18"/>
                <w:szCs w:val="18"/>
              </w:rPr>
              <w:t xml:space="preserve">3b</w:t>
            </w:r>
          </w:p>
        </w:tc>
        <w:tc>
          <w:tcPr>
            <w:tcW w:type="dxa" w:w="19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Recursive evaluation</w:t>
            </w:r>
          </w:p>
        </w:tc>
        <w:tc>
          <w:tcPr>
            <w:tcW w:type="dxa" w:w="63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Call get_probability() and get_risk() on the root leaf. Both recurse depth-first, applying the or-combination with margin gate g_k at each intermediate node k.</w:t>
            </w:r>
          </w:p>
        </w:tc>
      </w:tr>
      <w:tr>
        <w:tc>
          <w:tcPr>
            <w:tcW w:type="dxa" w:w="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18"/>
                <w:szCs w:val="18"/>
              </w:rPr>
              <w:t xml:space="preserve">3c</w:t>
            </w:r>
          </w:p>
        </w:tc>
        <w:tc>
          <w:tcPr>
            <w:tcW w:type="dxa" w:w="19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Store results</w:t>
            </w:r>
          </w:p>
        </w:tc>
        <w:tc>
          <w:tcPr>
            <w:tcW w:type="dxa" w:w="63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Store R*(s,t) in the risk matrix and P*(s,t) in the likelihood matrix.</w:t>
            </w:r>
          </w:p>
        </w:tc>
      </w:tr>
      <w:tr>
        <w:tc>
          <w:tcPr>
            <w:tcW w:type="dxa" w:w="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18"/>
                <w:szCs w:val="18"/>
              </w:rPr>
              <w:t xml:space="preserve">4</w:t>
            </w:r>
          </w:p>
        </w:tc>
        <w:tc>
          <w:tcPr>
            <w:tcW w:type="dxa" w:w="19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Effective likelihood</w:t>
            </w:r>
          </w:p>
        </w:tc>
        <w:tc>
          <w:tcPr>
            <w:tcW w:type="dxa" w:w="63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Compute L*[i][j] = g_i × L[i][j] for all i ≠ j.</w:t>
            </w:r>
          </w:p>
        </w:tc>
      </w:tr>
      <w:tr>
        <w:tc>
          <w:tcPr>
            <w:tcW w:type="dxa" w:w="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18"/>
                <w:szCs w:val="18"/>
              </w:rPr>
              <w:t xml:space="preserve">5</w:t>
            </w:r>
          </w:p>
        </w:tc>
        <w:tc>
          <w:tcPr>
            <w:tcW w:type="dxa" w:w="19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Aggregate</w:t>
            </w:r>
          </w:p>
        </w:tc>
        <w:tc>
          <w:tcPr>
            <w:tcW w:type="dxa" w:w="63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Compute Outgoing(i) and Incoming(i) from the R* matrix using Eqs. 3.3 and 3.4.</w:t>
            </w:r>
          </w:p>
        </w:tc>
      </w:tr>
    </w:tbl>
    <w:p>
      <w:pPr>
        <w:spacing w:after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5.3  Complexity</w:t>
      </w:r>
    </w:p>
    <w:p>
      <w:pPr>
        <w:spacing w:after="120" w:line="276"/>
        <w:jc w:val="both"/>
      </w:pPr>
      <w:r>
        <w:rPr>
          <w:color w:val="0F172A"/>
        </w:rPr>
        <w:t xml:space="preserve">The algorithm has the same asymptotic complexity as Classic CPM. For each of the n(n−1) ordered pairs, BFS explores at most O(n</w:t>
      </w:r>
      <w:r>
        <w:rPr>
          <w:vertAlign w:val="superscript"/>
        </w:rPr>
        <w:t xml:space="preserve">d</w:t>
      </w:r>
      <w:r>
        <w:rPr>
          <w:color w:val="0F172A"/>
        </w:rPr>
        <w:t xml:space="preserve">) paths of length up to d. The additional cost of the margin gate is O(n) precomputation and O(1) per node visit. Total: O(n</w:t>
      </w:r>
      <w:r>
        <w:rPr>
          <w:vertAlign w:val="superscript"/>
        </w:rPr>
        <w:t xml:space="preserve">d+2</w:t>
      </w:r>
      <w:r>
        <w:rPr>
          <w:color w:val="0F172A"/>
        </w:rPr>
        <w:t xml:space="preserve">) time, O(n</w:t>
      </w:r>
      <w:r>
        <w:rPr>
          <w:vertAlign w:val="superscript"/>
        </w:rPr>
        <w:t xml:space="preserve">d+1</w:t>
      </w:r>
      <w:r>
        <w:rPr>
          <w:color w:val="0F172A"/>
        </w:rPr>
        <w:t xml:space="preserve">) space.</w:t>
      </w:r>
    </w:p>
    <w:p>
      <w:pPr>
        <w:spacing w:after="80"/>
      </w:pP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92400E" w:sz="1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i/>
                <w:iCs/>
                <w:color w:val="92400E"/>
              </w:rPr>
              <w:t xml:space="preserve">For large systems (n &gt; 30) with deep search (d &gt; 4), runtime can grow significantly. Clarkson recommends d = 3 or 4 as sufficient for most engineering DSMs, since the probability of a long-path contribution decreases exponentially with depth.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pBdr>
          <w:bottom w:val="single" w:color="1D4ED8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6  Worked Example</w:t>
      </w:r>
    </w:p>
    <w:p>
      <w:pPr>
        <w:spacing w:after="120" w:line="276"/>
        <w:jc w:val="both"/>
      </w:pPr>
      <w:r>
        <w:rPr>
          <w:color w:val="0F172A"/>
        </w:rPr>
        <w:t xml:space="preserve">Consider a 3-element serial chain A → B → C with the following DSMs and margins. This matches the MARVIN built-in example.</w:t>
      </w:r>
    </w:p>
    <w:p>
      <w:pPr>
        <w:spacing w:after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6.1  Input Data</w:t>
      </w:r>
    </w:p>
    <w:p>
      <w:pPr>
        <w:spacing w:after="80"/>
      </w:pP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2"/>
        <w:gridCol w:w="363"/>
        <w:gridCol w:w="2902"/>
        <w:gridCol w:w="2903"/>
      </w:tblGrid>
      <w:tr>
        <w:tc>
          <w:tcPr>
            <w:tcW w:type="dxa" w:w="29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290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26"/>
              <w:gridCol w:w="726"/>
              <w:gridCol w:w="726"/>
              <w:gridCol w:w="726"/>
            </w:tblGrid>
            <w:tr>
              <w:tc>
                <w:tcPr>
                  <w:tcW w:type="dxa" w:w="726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334155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FFFFFF"/>
                      <w:sz w:val="18"/>
                      <w:szCs w:val="18"/>
                    </w:rPr>
                    <w:t xml:space="preserve">L</w:t>
                  </w:r>
                </w:p>
              </w:tc>
              <w:tc>
                <w:tcPr>
                  <w:tcW w:type="dxa" w:w="726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334155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FFFFFF"/>
                      <w:sz w:val="18"/>
                      <w:szCs w:val="18"/>
                    </w:rPr>
                    <w:t xml:space="preserve">A</w:t>
                  </w:r>
                </w:p>
              </w:tc>
              <w:tc>
                <w:tcPr>
                  <w:tcW w:type="dxa" w:w="726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334155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FFFFFF"/>
                      <w:sz w:val="18"/>
                      <w:szCs w:val="18"/>
                    </w:rPr>
                    <w:t xml:space="preserve">B</w:t>
                  </w:r>
                </w:p>
              </w:tc>
              <w:tc>
                <w:tcPr>
                  <w:tcW w:type="dxa" w:w="726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334155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FFFFFF"/>
                      <w:sz w:val="18"/>
                      <w:szCs w:val="18"/>
                    </w:rPr>
                    <w:t xml:space="preserve">C</w:t>
                  </w:r>
                </w:p>
              </w:tc>
            </w:tr>
            <w:tr>
              <w:tc>
                <w:tcPr>
                  <w:tcW w:type="dxa" w:w="726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334155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FFFFFF"/>
                      <w:sz w:val="18"/>
                      <w:szCs w:val="18"/>
                    </w:rPr>
                    <w:t xml:space="preserve">A</w:t>
                  </w:r>
                </w:p>
              </w:tc>
              <w:tc>
                <w:tcPr>
                  <w:tcW w:type="dxa" w:w="726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CBD5E1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0F172A"/>
                      <w:sz w:val="18"/>
                      <w:szCs w:val="18"/>
                    </w:rPr>
                    <w:t xml:space="preserve">—</w:t>
                  </w:r>
                </w:p>
              </w:tc>
              <w:tc>
                <w:tcPr>
                  <w:tcW w:type="dxa" w:w="726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0F172A"/>
                      <w:sz w:val="18"/>
                      <w:szCs w:val="18"/>
                    </w:rPr>
                    <w:t xml:space="preserve">0</w:t>
                  </w:r>
                </w:p>
              </w:tc>
              <w:tc>
                <w:tcPr>
                  <w:tcW w:type="dxa" w:w="726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0F172A"/>
                      <w:sz w:val="18"/>
                      <w:szCs w:val="18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726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334155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FFFFFF"/>
                      <w:sz w:val="18"/>
                      <w:szCs w:val="18"/>
                    </w:rPr>
                    <w:t xml:space="preserve">B</w:t>
                  </w:r>
                </w:p>
              </w:tc>
              <w:tc>
                <w:tcPr>
                  <w:tcW w:type="dxa" w:w="726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0F172A"/>
                      <w:sz w:val="18"/>
                      <w:szCs w:val="18"/>
                    </w:rPr>
                    <w:t xml:space="preserve">0.8</w:t>
                  </w:r>
                </w:p>
              </w:tc>
              <w:tc>
                <w:tcPr>
                  <w:tcW w:type="dxa" w:w="726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CBD5E1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0F172A"/>
                      <w:sz w:val="18"/>
                      <w:szCs w:val="18"/>
                    </w:rPr>
                    <w:t xml:space="preserve">—</w:t>
                  </w:r>
                </w:p>
              </w:tc>
              <w:tc>
                <w:tcPr>
                  <w:tcW w:type="dxa" w:w="726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0F172A"/>
                      <w:sz w:val="18"/>
                      <w:szCs w:val="18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726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334155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FFFFFF"/>
                      <w:sz w:val="18"/>
                      <w:szCs w:val="18"/>
                    </w:rPr>
                    <w:t xml:space="preserve">C</w:t>
                  </w:r>
                </w:p>
              </w:tc>
              <w:tc>
                <w:tcPr>
                  <w:tcW w:type="dxa" w:w="726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0F172A"/>
                      <w:sz w:val="18"/>
                      <w:szCs w:val="18"/>
                    </w:rPr>
                    <w:t xml:space="preserve">0</w:t>
                  </w:r>
                </w:p>
              </w:tc>
              <w:tc>
                <w:tcPr>
                  <w:tcW w:type="dxa" w:w="726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0F172A"/>
                      <w:sz w:val="18"/>
                      <w:szCs w:val="18"/>
                    </w:rPr>
                    <w:t xml:space="preserve">0.6</w:t>
                  </w:r>
                </w:p>
              </w:tc>
              <w:tc>
                <w:tcPr>
                  <w:tcW w:type="dxa" w:w="726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CBD5E1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0F172A"/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/>
        </w:tc>
        <w:tc>
          <w:tcPr>
            <w:tcW w:type="dxa" w:w="3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</w:pPr>
          </w:p>
        </w:tc>
        <w:tc>
          <w:tcPr>
            <w:tcW w:type="dxa" w:w="29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290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26"/>
              <w:gridCol w:w="726"/>
              <w:gridCol w:w="726"/>
              <w:gridCol w:w="726"/>
            </w:tblGrid>
            <w:tr>
              <w:tc>
                <w:tcPr>
                  <w:tcW w:type="dxa" w:w="726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334155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FFFFFF"/>
                      <w:sz w:val="18"/>
                      <w:szCs w:val="18"/>
                    </w:rPr>
                    <w:t xml:space="preserve">I</w:t>
                  </w:r>
                </w:p>
              </w:tc>
              <w:tc>
                <w:tcPr>
                  <w:tcW w:type="dxa" w:w="726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334155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FFFFFF"/>
                      <w:sz w:val="18"/>
                      <w:szCs w:val="18"/>
                    </w:rPr>
                    <w:t xml:space="preserve">A</w:t>
                  </w:r>
                </w:p>
              </w:tc>
              <w:tc>
                <w:tcPr>
                  <w:tcW w:type="dxa" w:w="726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334155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FFFFFF"/>
                      <w:sz w:val="18"/>
                      <w:szCs w:val="18"/>
                    </w:rPr>
                    <w:t xml:space="preserve">B</w:t>
                  </w:r>
                </w:p>
              </w:tc>
              <w:tc>
                <w:tcPr>
                  <w:tcW w:type="dxa" w:w="726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334155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FFFFFF"/>
                      <w:sz w:val="18"/>
                      <w:szCs w:val="18"/>
                    </w:rPr>
                    <w:t xml:space="preserve">C</w:t>
                  </w:r>
                </w:p>
              </w:tc>
            </w:tr>
            <w:tr>
              <w:tc>
                <w:tcPr>
                  <w:tcW w:type="dxa" w:w="726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334155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FFFFFF"/>
                      <w:sz w:val="18"/>
                      <w:szCs w:val="18"/>
                    </w:rPr>
                    <w:t xml:space="preserve">A</w:t>
                  </w:r>
                </w:p>
              </w:tc>
              <w:tc>
                <w:tcPr>
                  <w:tcW w:type="dxa" w:w="726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CBD5E1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0F172A"/>
                      <w:sz w:val="18"/>
                      <w:szCs w:val="18"/>
                    </w:rPr>
                    <w:t xml:space="preserve">—</w:t>
                  </w:r>
                </w:p>
              </w:tc>
              <w:tc>
                <w:tcPr>
                  <w:tcW w:type="dxa" w:w="726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0F172A"/>
                      <w:sz w:val="18"/>
                      <w:szCs w:val="18"/>
                    </w:rPr>
                    <w:t xml:space="preserve">0</w:t>
                  </w:r>
                </w:p>
              </w:tc>
              <w:tc>
                <w:tcPr>
                  <w:tcW w:type="dxa" w:w="726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0F172A"/>
                      <w:sz w:val="18"/>
                      <w:szCs w:val="18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726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334155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FFFFFF"/>
                      <w:sz w:val="18"/>
                      <w:szCs w:val="18"/>
                    </w:rPr>
                    <w:t xml:space="preserve">B</w:t>
                  </w:r>
                </w:p>
              </w:tc>
              <w:tc>
                <w:tcPr>
                  <w:tcW w:type="dxa" w:w="726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0F172A"/>
                      <w:sz w:val="18"/>
                      <w:szCs w:val="18"/>
                    </w:rPr>
                    <w:t xml:space="preserve">0.7</w:t>
                  </w:r>
                </w:p>
              </w:tc>
              <w:tc>
                <w:tcPr>
                  <w:tcW w:type="dxa" w:w="726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CBD5E1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0F172A"/>
                      <w:sz w:val="18"/>
                      <w:szCs w:val="18"/>
                    </w:rPr>
                    <w:t xml:space="preserve">—</w:t>
                  </w:r>
                </w:p>
              </w:tc>
              <w:tc>
                <w:tcPr>
                  <w:tcW w:type="dxa" w:w="726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0F172A"/>
                      <w:sz w:val="18"/>
                      <w:szCs w:val="18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726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334155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FFFFFF"/>
                      <w:sz w:val="18"/>
                      <w:szCs w:val="18"/>
                    </w:rPr>
                    <w:t xml:space="preserve">C</w:t>
                  </w:r>
                </w:p>
              </w:tc>
              <w:tc>
                <w:tcPr>
                  <w:tcW w:type="dxa" w:w="726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0F172A"/>
                      <w:sz w:val="18"/>
                      <w:szCs w:val="18"/>
                    </w:rPr>
                    <w:t xml:space="preserve">0</w:t>
                  </w:r>
                </w:p>
              </w:tc>
              <w:tc>
                <w:tcPr>
                  <w:tcW w:type="dxa" w:w="726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0F172A"/>
                      <w:sz w:val="18"/>
                      <w:szCs w:val="18"/>
                    </w:rPr>
                    <w:t xml:space="preserve">0.5</w:t>
                  </w:r>
                </w:p>
              </w:tc>
              <w:tc>
                <w:tcPr>
                  <w:tcW w:type="dxa" w:w="726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CBD5E1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0F172A"/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/>
        </w:tc>
        <w:tc>
          <w:tcPr>
            <w:tcW w:type="dxa" w:w="29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</w:pPr>
          </w:p>
        </w:tc>
      </w:tr>
    </w:tbl>
    <w:p>
      <w:pPr>
        <w:spacing w:after="120"/>
        <w:jc w:val="center"/>
      </w:pPr>
      <w:r>
        <w:rPr>
          <w:i/>
          <w:iCs/>
          <w:color w:val="64748B"/>
        </w:rPr>
        <w:t xml:space="preserve">Likelihood DSM (left) and Impact DSM (right). Convention: column → row.</w:t>
      </w:r>
    </w:p>
    <w:p>
      <w:pPr>
        <w:spacing w:after="120" w:line="276"/>
        <w:jc w:val="both"/>
      </w:pPr>
      <w:r>
        <w:rPr>
          <w:color w:val="0F172A"/>
        </w:rPr>
        <w:t xml:space="preserve">Margins and distribution:  m</w:t>
      </w:r>
      <w:r>
        <w:rPr>
          <w:vertAlign w:val="subscript"/>
        </w:rPr>
        <w:t xml:space="preserve">A</w:t>
      </w:r>
      <w:r>
        <w:rPr>
          <w:color w:val="0F172A"/>
        </w:rPr>
        <w:t xml:space="preserve"> = 0,  m</w:t>
      </w:r>
      <w:r>
        <w:rPr>
          <w:vertAlign w:val="subscript"/>
        </w:rPr>
        <w:t xml:space="preserve">B</w:t>
      </w:r>
      <w:r>
        <w:rPr>
          <w:color w:val="0F172A"/>
        </w:rPr>
        <w:t xml:space="preserve"> = 0.30,  m</w:t>
      </w:r>
      <w:r>
        <w:rPr>
          <w:vertAlign w:val="subscript"/>
        </w:rPr>
        <w:t xml:space="preserve">C</w:t>
      </w:r>
      <w:r>
        <w:rPr>
          <w:color w:val="0F172A"/>
        </w:rPr>
        <w:t xml:space="preserve"> = 0.  Distribution: Truncated Normal(μ = 0.30, σ = 0.15).</w:t>
      </w:r>
    </w:p>
    <w:p>
      <w:pPr>
        <w:spacing w:after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6.2  Exceedance Computation</w:t>
      </w:r>
    </w:p>
    <w:p>
      <w:pPr>
        <w:spacing w:after="120" w:line="276"/>
        <w:jc w:val="both"/>
      </w:pPr>
      <w:r>
        <w:rPr>
          <w:color w:val="0F172A"/>
        </w:rPr>
        <w:t xml:space="preserve">Normalisation constant Z (shared for all nodes with the same distribution):</w:t>
      </w:r>
    </w:p>
    <w:p>
      <w:pPr>
        <w:pBdr>
          <w:left w:val="single" w:color="1D4ED8" w:sz="12" w:space="6"/>
        </w:pBdr>
        <w:shd w:fill="F1F5F9" w:val="clear"/>
        <w:spacing w:after="80" w:before="80"/>
        <w:ind w:left="720" w:right="720"/>
      </w:pPr>
      <w:r>
        <w:rPr>
          <w:rFonts w:ascii="Courier New" w:cs="Courier New" w:eastAsia="Courier New" w:hAnsi="Courier New"/>
          <w:sz w:val="18"/>
          <w:szCs w:val="18"/>
        </w:rPr>
        <w:t xml:space="preserve">Z = Φ((1 − 0.30) / 0.15) − Φ((0 − 0.30) / 0.15)</w:t>
      </w:r>
    </w:p>
    <w:p>
      <w:pPr>
        <w:pBdr>
          <w:left w:val="single" w:color="1D4ED8" w:sz="12" w:space="6"/>
        </w:pBdr>
        <w:shd w:fill="F1F5F9" w:val="clear"/>
        <w:spacing w:after="80" w:before="80"/>
        <w:ind w:left="720" w:right="720"/>
      </w:pPr>
      <w:r>
        <w:rPr>
          <w:rFonts w:ascii="Courier New" w:cs="Courier New" w:eastAsia="Courier New" w:hAnsi="Courier New"/>
          <w:sz w:val="18"/>
          <w:szCs w:val="18"/>
        </w:rPr>
        <w:t xml:space="preserve">  = Φ(4.667) − Φ(−2.000) = 1.0000 − 0.0228 = 0.9772</w:t>
      </w:r>
    </w:p>
    <w:p>
      <w:pPr>
        <w:spacing w:after="80"/>
      </w:pPr>
    </w:p>
    <w:p>
      <w:pPr>
        <w:spacing w:after="120" w:line="276"/>
        <w:jc w:val="both"/>
      </w:pPr>
      <w:r>
        <w:rPr>
          <w:color w:val="0F172A"/>
        </w:rPr>
        <w:t xml:space="preserve">Exceedance for each node:</w:t>
      </w:r>
    </w:p>
    <w:p>
      <w:pPr>
        <w:pBdr>
          <w:left w:val="single" w:color="1D4ED8" w:sz="12" w:space="6"/>
        </w:pBdr>
        <w:shd w:fill="F1F5F9" w:val="clear"/>
        <w:spacing w:after="80" w:before="80"/>
        <w:ind w:left="720" w:right="720"/>
      </w:pPr>
      <w:r>
        <w:rPr>
          <w:rFonts w:ascii="Courier New" w:cs="Courier New" w:eastAsia="Courier New" w:hAnsi="Courier New"/>
          <w:sz w:val="18"/>
          <w:szCs w:val="18"/>
        </w:rPr>
        <w:t xml:space="preserve">g_A = P(δ &gt; 0) = [Φ(4.667) − Φ(−2.000)] / 0.9772 = 0.9772 / 0.9772 = 1.000</w:t>
      </w:r>
    </w:p>
    <w:p>
      <w:pPr>
        <w:pBdr>
          <w:left w:val="single" w:color="1D4ED8" w:sz="12" w:space="6"/>
        </w:pBdr>
        <w:shd w:fill="F1F5F9" w:val="clear"/>
        <w:spacing w:after="80" w:before="80"/>
        <w:ind w:left="720" w:right="720"/>
      </w:pPr>
      <w:r>
        <w:rPr>
          <w:rFonts w:ascii="Courier New" w:cs="Courier New" w:eastAsia="Courier New" w:hAnsi="Courier New"/>
          <w:sz w:val="18"/>
          <w:szCs w:val="18"/>
        </w:rPr>
        <w:t xml:space="preserve">g_B = P(δ &gt; 0.30) = [Φ(4.667) − Φ(0)] / 0.9772 = (1.000 − 0.500) / 0.9772 ≈ 0.512</w:t>
      </w:r>
    </w:p>
    <w:p>
      <w:pPr>
        <w:pBdr>
          <w:left w:val="single" w:color="1D4ED8" w:sz="12" w:space="6"/>
        </w:pBdr>
        <w:shd w:fill="F1F5F9" w:val="clear"/>
        <w:spacing w:after="80" w:before="80"/>
        <w:ind w:left="720" w:right="720"/>
      </w:pPr>
      <w:r>
        <w:rPr>
          <w:rFonts w:ascii="Courier New" w:cs="Courier New" w:eastAsia="Courier New" w:hAnsi="Courier New"/>
          <w:sz w:val="18"/>
          <w:szCs w:val="18"/>
        </w:rPr>
        <w:t xml:space="preserve">g_C = P(δ &gt; 0) = 1.000   (same as g_A)</w:t>
      </w:r>
    </w:p>
    <w:p>
      <w:pPr>
        <w:spacing w:after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6.3  Classic CPM — R(A, C)</w:t>
      </w:r>
    </w:p>
    <w:p>
      <w:pPr>
        <w:spacing w:after="120" w:line="276"/>
        <w:jc w:val="both"/>
      </w:pPr>
      <w:r>
        <w:rPr>
          <w:color w:val="0F172A"/>
        </w:rPr>
        <w:t xml:space="preserve">Only the path A → B → C exists within depth d = 4.  Direct likelihoods: L[B][A] = 0.8, L[C][B] = 0.6.  Direct impact: I[C][B] = 0.5.</w:t>
      </w:r>
    </w:p>
    <w:p>
      <w:pPr>
        <w:spacing w:after="80"/>
      </w:pPr>
    </w:p>
    <w:p>
      <w:pPr>
        <w:pBdr>
          <w:left w:val="single" w:color="1D4ED8" w:sz="12" w:space="6"/>
        </w:pBdr>
        <w:shd w:fill="F1F5F9" w:val="clear"/>
        <w:spacing w:after="80" w:before="80"/>
        <w:ind w:left="720" w:right="720"/>
      </w:pPr>
      <w:r>
        <w:rPr>
          <w:rFonts w:ascii="Courier New" w:cs="Courier New" w:eastAsia="Courier New" w:hAnsi="Courier New"/>
          <w:sz w:val="18"/>
          <w:szCs w:val="18"/>
        </w:rPr>
        <w:t xml:space="preserve">Risk at terminal leaf C:  returns  I[C][B] = 0.5</w:t>
      </w:r>
    </w:p>
    <w:p>
      <w:pPr>
        <w:pBdr>
          <w:left w:val="single" w:color="1D4ED8" w:sz="12" w:space="6"/>
        </w:pBdr>
        <w:shd w:fill="F1F5F9" w:val="clear"/>
        <w:spacing w:after="80" w:before="80"/>
        <w:ind w:left="720" w:right="720"/>
      </w:pPr>
      <w:r>
        <w:rPr>
          <w:rFonts w:ascii="Courier New" w:cs="Courier New" w:eastAsia="Courier New" w:hAnsi="Courier New"/>
          <w:sz w:val="18"/>
          <w:szCs w:val="18"/>
        </w:rPr>
        <w:t xml:space="preserve">Risk at node B:  R(B, C) = 1 − (1 − L[C][B] × I[C][B]) = 1 − (1 − 0.6 × 0.5) = 0.30</w:t>
      </w:r>
    </w:p>
    <w:p>
      <w:pPr>
        <w:pBdr>
          <w:left w:val="single" w:color="1D4ED8" w:sz="12" w:space="6"/>
        </w:pBdr>
        <w:shd w:fill="F1F5F9" w:val="clear"/>
        <w:spacing w:after="80" w:before="80"/>
        <w:ind w:left="720" w:right="720"/>
      </w:pPr>
      <w:r>
        <w:rPr>
          <w:rFonts w:ascii="Courier New" w:cs="Courier New" w:eastAsia="Courier New" w:hAnsi="Courier New"/>
          <w:sz w:val="18"/>
          <w:szCs w:val="18"/>
        </w:rPr>
        <w:t xml:space="preserve">Risk at root A:  R(A, C) = 1 − (1 − L[B][A] × R(B,C)) = 1 − (1 − 0.8 × 0.30) = 0.240</w:t>
      </w:r>
    </w:p>
    <w:p>
      <w:pPr>
        <w:spacing w:after="120"/>
        <w:ind w:left="720"/>
      </w:pPr>
      <w:r>
        <w:rPr>
          <w:i/>
          <w:iCs/>
          <w:color w:val="64748B"/>
        </w:rPr>
        <w:t xml:space="preserve">Eq. 6.1 — Classic CPM combined risk R(A,C) = 0.240</w:t>
      </w:r>
    </w:p>
    <w:p>
      <w:pPr>
        <w:spacing w:after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6.4  CPM with Margin — R*(A, C)</w:t>
      </w:r>
    </w:p>
    <w:p>
      <w:pPr>
        <w:spacing w:after="120" w:line="276"/>
        <w:jc w:val="both"/>
      </w:pPr>
      <w:r>
        <w:rPr>
          <w:color w:val="0F172A"/>
        </w:rPr>
        <w:t xml:space="preserve">B is an intermediate node (not start, not target), so gate g</w:t>
      </w:r>
      <w:r>
        <w:rPr>
          <w:vertAlign w:val="subscript"/>
        </w:rPr>
        <w:t xml:space="preserve">B</w:t>
      </w:r>
      <w:r>
        <w:rPr>
          <w:color w:val="0F172A"/>
        </w:rPr>
        <w:t xml:space="preserve"> ≈ 0.512 is applied.</w:t>
      </w:r>
    </w:p>
    <w:p>
      <w:pPr>
        <w:spacing w:after="80"/>
      </w:pPr>
    </w:p>
    <w:p>
      <w:pPr>
        <w:pBdr>
          <w:left w:val="single" w:color="1D4ED8" w:sz="12" w:space="6"/>
        </w:pBdr>
        <w:shd w:fill="F1F5F9" w:val="clear"/>
        <w:spacing w:after="80" w:before="80"/>
        <w:ind w:left="720" w:right="720"/>
      </w:pPr>
      <w:r>
        <w:rPr>
          <w:rFonts w:ascii="Courier New" w:cs="Courier New" w:eastAsia="Courier New" w:hAnsi="Courier New"/>
          <w:sz w:val="18"/>
          <w:szCs w:val="18"/>
        </w:rPr>
        <w:t xml:space="preserve">Risk at terminal leaf C:  returns  I[C][B] = 0.5  (unchanged)</w:t>
      </w:r>
    </w:p>
    <w:p>
      <w:pPr>
        <w:pBdr>
          <w:left w:val="single" w:color="1D4ED8" w:sz="12" w:space="6"/>
        </w:pBdr>
        <w:shd w:fill="F1F5F9" w:val="clear"/>
        <w:spacing w:after="80" w:before="80"/>
        <w:ind w:left="720" w:right="720"/>
      </w:pPr>
      <w:r>
        <w:rPr>
          <w:rFonts w:ascii="Courier New" w:cs="Courier New" w:eastAsia="Courier New" w:hAnsi="Courier New"/>
          <w:sz w:val="18"/>
          <w:szCs w:val="18"/>
        </w:rPr>
        <w:t xml:space="preserve">Risk* at node B:  R*(B, C) = 1 − (1 − g_B × L[C][B] × I[C][B])</w:t>
      </w:r>
    </w:p>
    <w:p>
      <w:pPr>
        <w:pBdr>
          <w:left w:val="single" w:color="1D4ED8" w:sz="12" w:space="6"/>
        </w:pBdr>
        <w:shd w:fill="F1F5F9" w:val="clear"/>
        <w:spacing w:after="80" w:before="80"/>
        <w:ind w:left="720" w:righ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= 1 − (1 − 0.512 × 0.6 × 0.5) = 1 − (1 − 0.1536) = 0.1536</w:t>
      </w:r>
    </w:p>
    <w:p>
      <w:pPr>
        <w:pBdr>
          <w:left w:val="single" w:color="1D4ED8" w:sz="12" w:space="6"/>
        </w:pBdr>
        <w:shd w:fill="F1F5F9" w:val="clear"/>
        <w:spacing w:after="80" w:before="80"/>
        <w:ind w:left="720" w:right="720"/>
      </w:pPr>
      <w:r>
        <w:rPr>
          <w:rFonts w:ascii="Courier New" w:cs="Courier New" w:eastAsia="Courier New" w:hAnsi="Courier New"/>
          <w:sz w:val="18"/>
          <w:szCs w:val="18"/>
        </w:rPr>
        <w:t xml:space="preserve">Risk* at root A:  R*(A, C) = 1 − (1 − L[B][A] × R*(B,C))</w:t>
      </w:r>
    </w:p>
    <w:p>
      <w:pPr>
        <w:pBdr>
          <w:left w:val="single" w:color="1D4ED8" w:sz="12" w:space="6"/>
        </w:pBdr>
        <w:shd w:fill="F1F5F9" w:val="clear"/>
        <w:spacing w:after="80" w:before="80"/>
        <w:ind w:left="720" w:righ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= 1 − (1 − 0.8 × 0.1536) = 1 − 0.8773 ≈ 0.123</w:t>
      </w:r>
    </w:p>
    <w:p>
      <w:pPr>
        <w:spacing w:after="120"/>
        <w:ind w:left="720"/>
      </w:pPr>
      <w:r>
        <w:rPr>
          <w:i/>
          <w:iCs/>
          <w:color w:val="64748B"/>
        </w:rPr>
        <w:t xml:space="preserve">Eq. 6.2 — MA-CPM combined risk R*(A,C) ≈ 0.123</w:t>
      </w:r>
    </w:p>
    <w:p>
      <w:pPr>
        <w:spacing w:after="80"/>
      </w:pPr>
    </w:p>
    <w:p>
      <w:pPr>
        <w:spacing w:after="120" w:line="276"/>
        <w:jc w:val="both"/>
      </w:pPr>
      <w:r>
        <w:rPr>
          <w:color w:val="0F172A"/>
        </w:rPr>
        <w:t xml:space="preserve">The margin on B (m</w:t>
      </w:r>
      <w:r>
        <w:rPr>
          <w:vertAlign w:val="subscript"/>
        </w:rPr>
        <w:t xml:space="preserve">B</w:t>
      </w:r>
      <w:r>
        <w:rPr>
          <w:color w:val="0F172A"/>
        </w:rPr>
        <w:t xml:space="preserve"> = 0.30) reduces the propagated risk from R(A, C) = 0.240 to R*(A, C) ≈ 0.123 — a reduction of approximately 49%. This matches the expected result from the reference paper.</w:t>
      </w:r>
    </w:p>
    <w:p>
      <w:pPr>
        <w:spacing w:after="160"/>
      </w:pPr>
    </w:p>
    <w:p>
      <w:r>
        <w:br w:type="page"/>
      </w:r>
    </w:p>
    <w:p>
      <w:pPr>
        <w:pStyle w:val="Heading1"/>
        <w:pBdr>
          <w:bottom w:val="single" w:color="1D4ED8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7  Classic CPM vs. CPM with Margin</w:t>
      </w:r>
    </w:p>
    <w:p>
      <w:pPr>
        <w:spacing w:after="80"/>
      </w:pP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7"/>
        <w:gridCol w:w="3447"/>
        <w:gridCol w:w="3446"/>
      </w:tblGrid>
      <w:tr>
        <w:tc>
          <w:tcPr>
            <w:tcW w:type="dxa" w:w="21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Aspect</w:t>
            </w:r>
          </w:p>
        </w:tc>
        <w:tc>
          <w:tcPr>
            <w:tcW w:type="dxa" w:w="34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Classic CPM</w:t>
            </w:r>
          </w:p>
        </w:tc>
        <w:tc>
          <w:tcPr>
            <w:tcW w:type="dxa" w:w="34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CPM with Margin</w:t>
            </w:r>
          </w:p>
        </w:tc>
      </w:tr>
      <w:tr>
        <w:tc>
          <w:tcPr>
            <w:tcW w:type="dxa" w:w="21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F172A"/>
              </w:rPr>
              <w:t xml:space="preserve">Inputs</w:t>
            </w:r>
          </w:p>
        </w:tc>
        <w:tc>
          <w:tcPr>
            <w:tcW w:type="dxa" w:w="34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color w:val="0F172A"/>
              </w:rPr>
              <w:t xml:space="preserve">L, I, depth, instigator</w:t>
            </w:r>
          </w:p>
        </w:tc>
        <w:tc>
          <w:tcPr>
            <w:tcW w:type="dxa" w:w="34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color w:val="0F172A"/>
              </w:rPr>
              <w:t xml:space="preserve">L, I, depth, instigator + margin vector m + change magnitude distribution</w:t>
            </w:r>
          </w:p>
        </w:tc>
      </w:tr>
      <w:tr>
        <w:tc>
          <w:tcPr>
            <w:tcW w:type="dxa" w:w="21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F172A"/>
              </w:rPr>
              <w:t xml:space="preserve">Precomputation</w:t>
            </w:r>
          </w:p>
        </w:tc>
        <w:tc>
          <w:tcPr>
            <w:tcW w:type="dxa" w:w="34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color w:val="0F172A"/>
              </w:rPr>
              <w:t xml:space="preserve">None</w:t>
            </w:r>
          </w:p>
        </w:tc>
        <w:tc>
          <w:tcPr>
            <w:tcW w:type="dxa" w:w="34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color w:val="0F172A"/>
              </w:rPr>
              <w:t xml:space="preserve">Exceedance vector g_i = P(δ &gt; m_i) for all i</w:t>
            </w:r>
          </w:p>
        </w:tc>
      </w:tr>
      <w:tr>
        <w:tc>
          <w:tcPr>
            <w:tcW w:type="dxa" w:w="21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F172A"/>
              </w:rPr>
              <w:t xml:space="preserve">Or-combination</w:t>
            </w:r>
          </w:p>
        </w:tc>
        <w:tc>
          <w:tcPr>
            <w:tcW w:type="dxa" w:w="34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color w:val="0F172A"/>
              </w:rPr>
              <w:t xml:space="preserve">1 − ∏[1 − L×P]  or  1 − ∏[1 − L×R]</w:t>
            </w:r>
          </w:p>
        </w:tc>
        <w:tc>
          <w:tcPr>
            <w:tcW w:type="dxa" w:w="34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color w:val="0F172A"/>
              </w:rPr>
              <w:t xml:space="preserve">1 − ∏[1 − g_k×L×P*]  or  1 − ∏[1 − g_k×L×R*]</w:t>
            </w:r>
          </w:p>
        </w:tc>
      </w:tr>
      <w:tr>
        <w:tc>
          <w:tcPr>
            <w:tcW w:type="dxa" w:w="21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F172A"/>
              </w:rPr>
              <w:t xml:space="preserve">Gate at endpoints</w:t>
            </w:r>
          </w:p>
        </w:tc>
        <w:tc>
          <w:tcPr>
            <w:tcW w:type="dxa" w:w="34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color w:val="0F172A"/>
              </w:rPr>
              <w:t xml:space="preserve">N/A</w:t>
            </w:r>
          </w:p>
        </w:tc>
        <w:tc>
          <w:tcPr>
            <w:tcW w:type="dxa" w:w="34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color w:val="0F172A"/>
              </w:rPr>
              <w:t xml:space="preserve">g = 1 at start and target nodes (no gating)</w:t>
            </w:r>
          </w:p>
        </w:tc>
      </w:tr>
      <w:tr>
        <w:tc>
          <w:tcPr>
            <w:tcW w:type="dxa" w:w="21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F172A"/>
              </w:rPr>
              <w:t xml:space="preserve">Zero-margin limit</w:t>
            </w:r>
          </w:p>
        </w:tc>
        <w:tc>
          <w:tcPr>
            <w:tcW w:type="dxa" w:w="34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color w:val="0F172A"/>
              </w:rPr>
              <w:t xml:space="preserve">N/A</w:t>
            </w:r>
          </w:p>
        </w:tc>
        <w:tc>
          <w:tcPr>
            <w:tcW w:type="dxa" w:w="34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color w:val="0F172A"/>
              </w:rPr>
              <w:t xml:space="preserve">Recovers Classic CPM exactly (all g_i = 1)</w:t>
            </w:r>
          </w:p>
        </w:tc>
      </w:tr>
      <w:tr>
        <w:tc>
          <w:tcPr>
            <w:tcW w:type="dxa" w:w="21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F172A"/>
              </w:rPr>
              <w:t xml:space="preserve">Extra output</w:t>
            </w:r>
          </w:p>
        </w:tc>
        <w:tc>
          <w:tcPr>
            <w:tcW w:type="dxa" w:w="34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color w:val="0F172A"/>
              </w:rPr>
              <w:t xml:space="preserve">None</w:t>
            </w:r>
          </w:p>
        </w:tc>
        <w:tc>
          <w:tcPr>
            <w:tcW w:type="dxa" w:w="34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color w:val="0F172A"/>
              </w:rPr>
              <w:t xml:space="preserve">Effective likelihood L* = g_i × L;  exceedance vector g</w:t>
            </w:r>
          </w:p>
        </w:tc>
      </w:tr>
      <w:tr>
        <w:tc>
          <w:tcPr>
            <w:tcW w:type="dxa" w:w="21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F172A"/>
              </w:rPr>
              <w:t xml:space="preserve">Interpretation</w:t>
            </w:r>
          </w:p>
        </w:tc>
        <w:tc>
          <w:tcPr>
            <w:tcW w:type="dxa" w:w="34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color w:val="0F172A"/>
              </w:rPr>
              <w:t xml:space="preserve">Structural coupling risk</w:t>
            </w:r>
          </w:p>
        </w:tc>
        <w:tc>
          <w:tcPr>
            <w:tcW w:type="dxa" w:w="34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color w:val="0F172A"/>
              </w:rPr>
              <w:t xml:space="preserve">Coupling risk after accounting for margin buffers</w:t>
            </w:r>
          </w:p>
        </w:tc>
      </w:tr>
      <w:tr>
        <w:tc>
          <w:tcPr>
            <w:tcW w:type="dxa" w:w="21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F172A"/>
              </w:rPr>
              <w:t xml:space="preserve">Complexity</w:t>
            </w:r>
          </w:p>
        </w:tc>
        <w:tc>
          <w:tcPr>
            <w:tcW w:type="dxa" w:w="34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color w:val="0F172A"/>
              </w:rPr>
              <w:t xml:space="preserve">O(n^{d+2})</w:t>
            </w:r>
          </w:p>
        </w:tc>
        <w:tc>
          <w:tcPr>
            <w:tcW w:type="dxa" w:w="34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color w:val="0F172A"/>
              </w:rPr>
              <w:t xml:space="preserve">O(n^{d+2}) + O(n) precompute (same asymptotic)</w:t>
            </w:r>
          </w:p>
        </w:tc>
      </w:tr>
      <w:tr>
        <w:tc>
          <w:tcPr>
            <w:tcW w:type="dxa" w:w="21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F172A"/>
              </w:rPr>
              <w:t xml:space="preserve">Algorithm</w:t>
            </w:r>
          </w:p>
        </w:tc>
        <w:tc>
          <w:tcPr>
            <w:tcW w:type="dxa" w:w="34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color w:val="0F172A"/>
              </w:rPr>
              <w:t xml:space="preserve">BFS + recursive or-combination</w:t>
            </w:r>
          </w:p>
        </w:tc>
        <w:tc>
          <w:tcPr>
            <w:tcW w:type="dxa" w:w="34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color w:val="0F172A"/>
              </w:rPr>
              <w:t xml:space="preserve">BFS + recursive or-combination with gate injection</w:t>
            </w:r>
          </w:p>
        </w:tc>
      </w:tr>
      <w:tr>
        <w:tc>
          <w:tcPr>
            <w:tcW w:type="dxa" w:w="21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F172A"/>
              </w:rPr>
              <w:t xml:space="preserve">Randomness</w:t>
            </w:r>
          </w:p>
        </w:tc>
        <w:tc>
          <w:tcPr>
            <w:tcW w:type="dxa" w:w="34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color w:val="0F172A"/>
              </w:rPr>
              <w:t xml:space="preserve">Deterministic</w:t>
            </w:r>
          </w:p>
        </w:tc>
        <w:tc>
          <w:tcPr>
            <w:tcW w:type="dxa" w:w="34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color w:val="0F172A"/>
              </w:rPr>
              <w:t xml:space="preserve">Deterministic (gate is an expected value, not a sample)</w:t>
            </w:r>
          </w:p>
        </w:tc>
      </w:tr>
      <w:tr>
        <w:tc>
          <w:tcPr>
            <w:tcW w:type="dxa" w:w="21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F172A"/>
              </w:rPr>
              <w:t xml:space="preserve">Distributions</w:t>
            </w:r>
          </w:p>
        </w:tc>
        <w:tc>
          <w:tcPr>
            <w:tcW w:type="dxa" w:w="34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color w:val="0F172A"/>
              </w:rPr>
              <w:t xml:space="preserve">Not applicable</w:t>
            </w:r>
          </w:p>
        </w:tc>
        <w:tc>
          <w:tcPr>
            <w:tcW w:type="dxa" w:w="34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color w:val="0F172A"/>
              </w:rPr>
              <w:t xml:space="preserve">Truncated Normal (default), Uniform, Beta, Triangular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D4ED8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8  Interpretation Guide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8.1  Reading the Risk Matrix</w:t>
      </w:r>
    </w:p>
    <w:p>
      <w:pPr>
        <w:spacing w:after="120" w:line="276"/>
        <w:jc w:val="both"/>
      </w:pPr>
      <w:r>
        <w:rPr>
          <w:color w:val="0F172A"/>
        </w:rPr>
        <w:t xml:space="preserve">R*[i][j] gives the combined probability-weighted impact of a change originating at j eventually reaching i, through all paths up to depth d, after accounting for margins. Values near 0 indicate low propagation risk; values near 1 indicate high risk.</w:t>
      </w:r>
    </w:p>
    <w:p>
      <w:pPr>
        <w:spacing w:after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8.2  Incoming vs. Outgoing Risk Plot</w:t>
      </w:r>
    </w:p>
    <w:p>
      <w:pPr>
        <w:spacing w:after="120" w:line="276"/>
        <w:jc w:val="both"/>
      </w:pPr>
      <w:r>
        <w:rPr>
          <w:color w:val="0F172A"/>
        </w:rPr>
        <w:t xml:space="preserve">The scatter plot of Outgoing vs. Incoming risk divides nodes into four quadrants: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0F172A"/>
        </w:rPr>
        <w:t xml:space="preserve">Propagators —</w:t>
      </w:r>
      <w:r>
        <w:rPr>
          <w:color w:val="0F172A"/>
        </w:rPr>
        <w:t xml:space="preserve">  Top-right: High outgoing + high incoming — Propagators. Both risky sources and vulnerable targets. Prioritise for redesign or additional margin.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0F172A"/>
        </w:rPr>
        <w:t xml:space="preserve">Sinks —</w:t>
      </w:r>
      <w:r>
        <w:rPr>
          <w:color w:val="0F172A"/>
        </w:rPr>
        <w:t xml:space="preserve">  Top-left: Low outgoing + high incoming — Sinks. Changes end here. Protect these nodes; they rarely cause further cascades.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0F172A"/>
        </w:rPr>
        <w:t xml:space="preserve">Sources —</w:t>
      </w:r>
      <w:r>
        <w:rPr>
          <w:color w:val="0F172A"/>
        </w:rPr>
        <w:t xml:space="preserve">  Bottom-right: High outgoing + low incoming — Sources. Changes originate here and spread widely. Key drivers of system-wide redesign.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0F172A"/>
        </w:rPr>
        <w:t xml:space="preserve">Isolated —</w:t>
      </w:r>
      <w:r>
        <w:rPr>
          <w:color w:val="0F172A"/>
        </w:rPr>
        <w:t xml:space="preserve">  Bottom-left: Low outgoing + low incoming — Isolated. Loosely coupled; low priority for margin management.</w:t>
      </w:r>
    </w:p>
    <w:p>
      <w:pPr>
        <w:spacing w:after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8.3  Effective Likelihood L*</w:t>
      </w:r>
    </w:p>
    <w:p>
      <w:pPr>
        <w:spacing w:after="120" w:line="276"/>
        <w:jc w:val="both"/>
      </w:pPr>
      <w:r>
        <w:rPr>
          <w:color w:val="0F172A"/>
        </w:rPr>
        <w:t xml:space="preserve">L*[i][j] = gᵢ × L[i][j] shows which direct connections remain active after margins. If L[i][j] = 0.8 (high coupling) but gᵢ = 0.1 (large margin), then L*[i][j] = 0.08 — effectively decoupled by the margin. This is useful for identifying where margins are actually doing protective work.</w:t>
      </w:r>
    </w:p>
    <w:p>
      <w:pPr>
        <w:spacing w:after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8.4  Effect of Margin Size</w:t>
      </w:r>
    </w:p>
    <w:p>
      <w:pPr>
        <w:spacing w:after="120" w:line="276"/>
        <w:jc w:val="both"/>
      </w:pPr>
      <w:r>
        <w:rPr>
          <w:color w:val="0F172A"/>
        </w:rPr>
        <w:t xml:space="preserve">As mᵢ increases from 0 to 1, gᵢ decreases from 1 to 0 (for all continuous distributions). Consequently, R*(s, t) is monotonically non-increasing in any mₖ on any path s → k → t. This is the formal guarantee that </w:t>
      </w:r>
      <w:r>
        <w:rPr>
          <w:b/>
          <w:bCs/>
        </w:rPr>
        <w:t xml:space="preserve">larger margins reduce propagated risk.</w:t>
      </w:r>
    </w:p>
    <w:p>
      <w:pPr>
        <w:spacing w:after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8.5  Choosing a Distribution</w:t>
      </w:r>
    </w:p>
    <w:p>
      <w:pPr>
        <w:spacing w:after="120" w:line="276"/>
        <w:jc w:val="both"/>
      </w:pPr>
      <w:r>
        <w:rPr>
          <w:color w:val="0F172A"/>
        </w:rPr>
        <w:t xml:space="preserve">The choice of change magnitude distribution reflects the analyst’s belief about how large design changes typically are in the system under study: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0F172A"/>
        </w:rPr>
        <w:t xml:space="preserve">Truncated Normal —</w:t>
      </w:r>
      <w:r>
        <w:rPr>
          <w:color w:val="0F172A"/>
        </w:rPr>
        <w:t xml:space="preserve">  Truncated Normal(μ, σ): most common. Use when changes cluster around a typical size μ with spread σ. Default: μ = 0.30, σ = 0.15.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0F172A"/>
        </w:rPr>
        <w:t xml:space="preserve">Uniform —</w:t>
      </w:r>
      <w:r>
        <w:rPr>
          <w:color w:val="0F172A"/>
        </w:rPr>
        <w:t xml:space="preserve">  Uniform[0,1]: maximum entropy assumption — all change magnitudes equally likely. Conservative and assumption-free.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0F172A"/>
        </w:rPr>
        <w:t xml:space="preserve">Beta —</w:t>
      </w:r>
      <w:r>
        <w:rPr>
          <w:color w:val="0F172A"/>
        </w:rPr>
        <w:t xml:space="preserve">  Beta(α, β): flexible shape. α &lt; 1: bimodal; α &gt; β: most changes are large; α &lt; β: most changes are small.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0F172A"/>
        </w:rPr>
        <w:t xml:space="preserve">Triangular —</w:t>
      </w:r>
      <w:r>
        <w:rPr>
          <w:color w:val="0F172A"/>
        </w:rPr>
        <w:t xml:space="preserve">  Triangular(a, b, c): use when the analyst knows a minimum, maximum, and most likely change size. Simple and transparent.</w:t>
      </w:r>
    </w:p>
    <w:p>
      <w:pPr>
        <w:spacing w:after="160"/>
      </w:pPr>
    </w:p>
    <w:p>
      <w:r>
        <w:br w:type="page"/>
      </w:r>
    </w:p>
    <w:p>
      <w:pPr>
        <w:pStyle w:val="Heading1"/>
        <w:pBdr>
          <w:bottom w:val="single" w:color="1D4ED8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9  References</w:t>
      </w:r>
    </w:p>
    <w:p>
      <w:pPr>
        <w:spacing w:after="80"/>
      </w:pPr>
    </w:p>
    <w:p>
      <w:pPr>
        <w:spacing w:after="120" w:line="276"/>
        <w:jc w:val="both"/>
      </w:pPr>
      <w:r>
        <w:rPr>
          <w:b/>
          <w:bCs/>
        </w:rPr>
        <w:t xml:space="preserve">[1]</w:t>
      </w:r>
      <w:r>
        <w:rPr>
          <w:color w:val="0F172A"/>
        </w:rPr>
        <w:t xml:space="preserve">  Clarkson, P. J., Simons, C., &amp; Eckert, C. M. (2001). Predicting change propagation in complex design. In </w:t>
      </w:r>
      <w:r>
        <w:rPr>
          <w:i/>
          <w:iCs/>
        </w:rPr>
        <w:t xml:space="preserve">Proc. ASME DETC‘01</w:t>
      </w:r>
      <w:r>
        <w:rPr>
          <w:color w:val="0F172A"/>
        </w:rPr>
        <w:t xml:space="preserve">, Pittsburgh, PA.</w:t>
      </w:r>
    </w:p>
    <w:p>
      <w:pPr>
        <w:spacing w:after="120" w:line="276"/>
        <w:jc w:val="both"/>
      </w:pPr>
      <w:r>
        <w:rPr>
          <w:b/>
          <w:bCs/>
        </w:rPr>
        <w:t xml:space="preserve">[2]</w:t>
      </w:r>
      <w:r>
        <w:rPr>
          <w:color w:val="0F172A"/>
        </w:rPr>
        <w:t xml:space="preserve">  Clarkson, P. J., Simons, C., &amp; Eckert, C. M. (2004). Predicting change propagation in complex design. </w:t>
      </w:r>
      <w:r>
        <w:rPr>
          <w:i/>
          <w:iCs/>
        </w:rPr>
        <w:t xml:space="preserve">Journal of Mechanical Design</w:t>
      </w:r>
      <w:r>
        <w:rPr>
          <w:color w:val="0F172A"/>
        </w:rPr>
        <w:t xml:space="preserve">, 126(5), 788–797.</w:t>
      </w:r>
    </w:p>
    <w:p>
      <w:pPr>
        <w:spacing w:after="120" w:line="276"/>
        <w:jc w:val="both"/>
      </w:pPr>
      <w:r>
        <w:rPr>
          <w:b/>
          <w:bCs/>
        </w:rPr>
        <w:t xml:space="preserve">[3]</w:t>
      </w:r>
      <w:r>
        <w:rPr>
          <w:color w:val="0F172A"/>
        </w:rPr>
        <w:t xml:space="preserve">  Brahma, A. (2021). A method for allocating design margins using the Margin Value Method. </w:t>
      </w:r>
      <w:r>
        <w:rPr>
          <w:i/>
          <w:iCs/>
        </w:rPr>
        <w:t xml:space="preserve">Research in Engineering Design</w:t>
      </w:r>
      <w:r>
        <w:rPr>
          <w:color w:val="0F172A"/>
        </w:rPr>
        <w:t xml:space="preserve">, 32(3), 323–343. https://doi.org/10.1007/s00163-020-00335-8</w:t>
      </w:r>
    </w:p>
    <w:p>
      <w:pPr>
        <w:spacing w:after="120" w:line="276"/>
        <w:jc w:val="both"/>
      </w:pPr>
      <w:r>
        <w:rPr>
          <w:b/>
          <w:bCs/>
        </w:rPr>
        <w:t xml:space="preserve">[4]</w:t>
      </w:r>
      <w:r>
        <w:rPr>
          <w:color w:val="0F172A"/>
        </w:rPr>
        <w:t xml:space="preserve">  Martinsson Bonde, J. (2024). cpm-lib v1.1.1 — Python library for change propagation risk. https://github.com/johnmartins/cpm-lib</w:t>
      </w:r>
    </w:p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tabs>
        <w:tab w:val="right" w:pos="9070"/>
      </w:tabs>
      <w:spacing w:before="80"/>
    </w:pPr>
    <w:r>
      <w:rPr>
        <w:rFonts w:ascii="Arial" w:cs="Arial" w:eastAsia="Arial" w:hAnsi="Arial"/>
        <w:color w:val="64748B"/>
        <w:sz w:val="16"/>
        <w:szCs w:val="16"/>
      </w:rPr>
      <w:t xml:space="preserve">© Arindam Brahma · MARVIN · 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64748B"/>
        <w:sz w:val="16"/>
        <w:szCs w:val="16"/>
      </w:rPr>
      <w:t xml:space="preserve">Page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  <w:tabs>
        <w:tab w:val="right" w:pos="9070"/>
      </w:tabs>
      <w:spacing w:after="120"/>
    </w:pPr>
    <w:r>
      <w:rPr>
        <w:rFonts w:ascii="Arial" w:cs="Arial" w:eastAsia="Arial" w:hAnsi="Arial"/>
        <w:color w:val="64748B"/>
        <w:sz w:val="16"/>
        <w:szCs w:val="16"/>
      </w:rPr>
      <w:t xml:space="preserve">CPM with Margin — Technical Reference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b/>
        <w:bCs/>
        <w:color w:val="1D4ED8"/>
        <w:sz w:val="16"/>
        <w:szCs w:val="16"/>
      </w:rPr>
      <w:t xml:space="preserve">MARVIN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D4ED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i/>
      <w:i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2026-04-16T10:56:23.112Z</dcterms:created>
  <dcterms:modified xsi:type="dcterms:W3CDTF">2026-04-16T10:56:23.112Z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