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2E5FA3" w:val="clear"/>
        <w:spacing w:after="140" w:before="280"/>
      </w:pPr>
      <w:r>
        <w:rPr>
          <w:rFonts w:ascii="Arial" w:cs="Arial" w:eastAsia="Arial" w:hAnsi="Arial"/>
          <w:b/>
          <w:bCs/>
          <w:color w:val="FFFFFF"/>
          <w:sz w:val="32"/>
          <w:szCs w:val="32"/>
        </w:rPr>
        <w:t xml:space="preserve">ISORA Analytics Tool — Technical Documentation</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What is ISORA?</w:t>
      </w:r>
    </w:p>
    <w:p>
      <w:pPr>
        <w:spacing w:after="120"/>
      </w:pPr>
      <w:r>
        <w:rPr>
          <w:rFonts w:ascii="Arial" w:cs="Arial" w:eastAsia="Arial" w:hAnsi="Arial"/>
          <w:sz w:val="22"/>
          <w:szCs w:val="22"/>
        </w:rPr>
        <w:t xml:space="preserve">The International Survey on Revenue Administration (ISORA) is a joint annual survey conducted by four international organisations: the International Monetary Fund (IMF), the Asian Development Bank (ADB), the Inter-American Center of Tax Administrations (CIAT), and the Intra-European Organisation of Tax Administrations (IOTA), with analytical support from the OECD. The OECD also publishes the results as part of its Tax Administration series.</w:t>
      </w:r>
    </w:p>
    <w:p>
      <w:pPr>
        <w:spacing w:after="120"/>
      </w:pPr>
      <w:r>
        <w:rPr>
          <w:rFonts w:ascii="Arial" w:cs="Arial" w:eastAsia="Arial" w:hAnsi="Arial"/>
          <w:sz w:val="22"/>
          <w:szCs w:val="22"/>
        </w:rPr>
        <w:t xml:space="preserve">ISORA collects detailed administrative, operational, and institutional data from tax authorities across the world. The survey covers approximately 180 jurisdictions and spans fiscal years 2018 through 2023 in the current dataset.</w:t>
      </w:r>
    </w:p>
    <w:p>
      <w:pPr>
        <w:spacing w:after="120"/>
      </w:pPr>
      <w:r>
        <w:rPr>
          <w:rFonts w:ascii="Arial" w:cs="Arial" w:eastAsia="Arial" w:hAnsi="Arial"/>
          <w:sz w:val="22"/>
          <w:szCs w:val="22"/>
        </w:rPr>
        <w:t xml:space="preserve">The data is publicly available at isoradata.org and is used by policymakers, researchers, and international organisations to benchmark tax administration performance, identify global trends, and support reform efforts.</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Overview of the Analytics Tool</w:t>
      </w:r>
    </w:p>
    <w:p>
      <w:pPr>
        <w:spacing w:after="120"/>
      </w:pPr>
      <w:r>
        <w:rPr>
          <w:rFonts w:ascii="Arial" w:cs="Arial" w:eastAsia="Arial" w:hAnsi="Arial"/>
          <w:sz w:val="22"/>
          <w:szCs w:val="22"/>
        </w:rPr>
        <w:t xml:space="preserve">This tool is a single-file React application (isora_v3.jsx) that loads the ISORA CSV dataset entirely in the browser, processes it client-side, and produces interactive horizontal bar charts. It requires no backend server and no database. All data stays on the user's machine.</w:t>
      </w:r>
    </w:p>
    <w:p>
      <w:pPr>
        <w:spacing w:after="120"/>
      </w:pPr>
      <w:r>
        <w:rPr>
          <w:rFonts w:ascii="Arial" w:cs="Arial" w:eastAsia="Arial" w:hAnsi="Arial"/>
          <w:sz w:val="22"/>
          <w:szCs w:val="22"/>
        </w:rPr>
        <w:t xml:space="preserve">Key capabilities:</w:t>
      </w:r>
    </w:p>
    <w:p>
      <w:pPr>
        <w:pStyle w:val="ListParagraph"/>
        <w:numPr>
          <w:ilvl w:val="0"/>
          <w:numId w:val="2"/>
        </w:numPr>
        <w:spacing w:after="60"/>
      </w:pPr>
      <w:r>
        <w:rPr>
          <w:rFonts w:ascii="Arial" w:cs="Arial" w:eastAsia="Arial" w:hAnsi="Arial"/>
          <w:b w:val="false"/>
          <w:bCs w:val="false"/>
          <w:sz w:val="22"/>
          <w:szCs w:val="22"/>
        </w:rPr>
        <w:t xml:space="preserve">Handles the full ~98,000-row dataset via streaming CSV parsing</w:t>
      </w:r>
    </w:p>
    <w:p>
      <w:pPr>
        <w:pStyle w:val="ListParagraph"/>
        <w:numPr>
          <w:ilvl w:val="0"/>
          <w:numId w:val="2"/>
        </w:numPr>
        <w:spacing w:after="60"/>
      </w:pPr>
      <w:r>
        <w:rPr>
          <w:rFonts w:ascii="Arial" w:cs="Arial" w:eastAsia="Arial" w:hAnsi="Arial"/>
          <w:b w:val="false"/>
          <w:bCs w:val="false"/>
          <w:sz w:val="22"/>
          <w:szCs w:val="22"/>
        </w:rPr>
        <w:t xml:space="preserve">Classifies all 671 indicators into 15 thematic categories</w:t>
      </w:r>
    </w:p>
    <w:p>
      <w:pPr>
        <w:pStyle w:val="ListParagraph"/>
        <w:numPr>
          <w:ilvl w:val="0"/>
          <w:numId w:val="2"/>
        </w:numPr>
        <w:spacing w:after="60"/>
      </w:pPr>
      <w:r>
        <w:rPr>
          <w:rFonts w:ascii="Arial" w:cs="Arial" w:eastAsia="Arial" w:hAnsi="Arial"/>
          <w:b w:val="false"/>
          <w:bCs w:val="false"/>
          <w:sz w:val="22"/>
          <w:szCs w:val="22"/>
        </w:rPr>
        <w:t xml:space="preserve">Automatically detects whether each indicator is numeric, Yes/No, or categorical</w:t>
      </w:r>
    </w:p>
    <w:p>
      <w:pPr>
        <w:pStyle w:val="ListParagraph"/>
        <w:numPr>
          <w:ilvl w:val="0"/>
          <w:numId w:val="2"/>
        </w:numPr>
        <w:spacing w:after="60"/>
      </w:pPr>
      <w:r>
        <w:rPr>
          <w:rFonts w:ascii="Arial" w:cs="Arial" w:eastAsia="Arial" w:hAnsi="Arial"/>
          <w:b w:val="false"/>
          <w:bCs w:val="false"/>
          <w:sz w:val="22"/>
          <w:szCs w:val="22"/>
        </w:rPr>
        <w:t xml:space="preserve">Resolves geographic and income classifications for all 186 jurisdictions</w:t>
      </w:r>
    </w:p>
    <w:p>
      <w:pPr>
        <w:pStyle w:val="ListParagraph"/>
        <w:numPr>
          <w:ilvl w:val="0"/>
          <w:numId w:val="2"/>
        </w:numPr>
        <w:spacing w:after="60"/>
      </w:pPr>
      <w:r>
        <w:rPr>
          <w:rFonts w:ascii="Arial" w:cs="Arial" w:eastAsia="Arial" w:hAnsi="Arial"/>
          <w:b w:val="false"/>
          <w:bCs w:val="false"/>
          <w:sz w:val="22"/>
          <w:szCs w:val="22"/>
        </w:rPr>
        <w:t xml:space="preserve">Supports multi-year comparison across all chart modes</w:t>
      </w:r>
    </w:p>
    <w:p>
      <w:pPr>
        <w:pStyle w:val="ListParagraph"/>
        <w:numPr>
          <w:ilvl w:val="0"/>
          <w:numId w:val="2"/>
        </w:numPr>
        <w:spacing w:after="60"/>
      </w:pPr>
      <w:r>
        <w:rPr>
          <w:rFonts w:ascii="Arial" w:cs="Arial" w:eastAsia="Arial" w:hAnsi="Arial"/>
          <w:b w:val="false"/>
          <w:bCs w:val="false"/>
          <w:sz w:val="22"/>
          <w:szCs w:val="22"/>
        </w:rPr>
        <w:t xml:space="preserve">Exports any chart as a branded PNG image</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Data Input Requirements</w:t>
      </w:r>
    </w:p>
    <w:p>
      <w:pPr>
        <w:spacing w:after="120"/>
      </w:pPr>
      <w:r>
        <w:rPr>
          <w:rFonts w:ascii="Arial" w:cs="Arial" w:eastAsia="Arial" w:hAnsi="Arial"/>
          <w:sz w:val="22"/>
          <w:szCs w:val="22"/>
        </w:rPr>
        <w:t xml:space="preserve">The tool reads exactly nine columns from the uploaded CSV file. Any additional columns present in the file are silently ignored.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Column Name</w:t>
            </w:r>
          </w:p>
        </w:tc>
        <w:tc>
          <w:tcPr>
            <w:tcW w:type="dxa" w:w="71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Expected Content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JURISDICTION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of the tax administration / country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INDICATOR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text name of the survey question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 of measurement — either Units or Thousands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2018</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reported for fiscal year 2018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reported for fiscal year 2019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reported for fiscal year 2020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reported for fiscal year 2021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reported for fiscal year 2022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Value reported for fiscal year 2023</w:t>
            </w:r>
          </w:p>
        </w:tc>
      </w:tr>
    </w:tbl>
    <w:p>
      <w:pPr>
        <w:spacing w:after="80"/>
      </w:pPr>
      <w:r>
        <w:t xml:space="preserve"/>
      </w:r>
    </w:p>
    <w:p>
      <w:pPr>
        <w:spacing w:after="120"/>
      </w:pPr>
      <w:r>
        <w:rPr>
          <w:rFonts w:ascii="Arial" w:cs="Arial" w:eastAsia="Arial" w:hAnsi="Arial"/>
          <w:sz w:val="22"/>
          <w:szCs w:val="22"/>
        </w:rPr>
        <w:t xml:space="preserve">The file must be in comma-separated values (CSV) format with a header row. Files up to 200MB are handled without issue due to the streaming parser.</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Data Processing Pipeline</w:t>
      </w:r>
    </w:p>
    <w:p>
      <w:pPr>
        <w:pStyle w:val="Heading3"/>
        <w:spacing w:after="80" w:before="200"/>
      </w:pPr>
      <w:r>
        <w:rPr>
          <w:rFonts w:ascii="Arial" w:cs="Arial" w:eastAsia="Arial" w:hAnsi="Arial"/>
          <w:b/>
          <w:bCs/>
          <w:color w:val="404040"/>
          <w:sz w:val="22"/>
          <w:szCs w:val="22"/>
        </w:rPr>
        <w:t xml:space="preserve">Step 1 — File Ingestion (Streaming Parse)</w:t>
      </w:r>
    </w:p>
    <w:p>
      <w:pPr>
        <w:spacing w:after="120"/>
      </w:pPr>
      <w:r>
        <w:rPr>
          <w:rFonts w:ascii="Arial" w:cs="Arial" w:eastAsia="Arial" w:hAnsi="Arial"/>
          <w:sz w:val="22"/>
          <w:szCs w:val="22"/>
        </w:rPr>
        <w:t xml:space="preserve">The tool uses PapaParse in chunked/streaming mode. Rather than loading the entire file into memory at once, it processes batches of rows as they are read. This allows a 170MB+ file to be handled in a browser without crashing.</w:t>
      </w:r>
    </w:p>
    <w:p>
      <w:pPr>
        <w:spacing w:after="120"/>
      </w:pPr>
      <w:r>
        <w:rPr>
          <w:rFonts w:ascii="Arial" w:cs="Arial" w:eastAsia="Arial" w:hAnsi="Arial"/>
          <w:sz w:val="22"/>
          <w:szCs w:val="22"/>
        </w:rPr>
        <w:t xml:space="preserve">For each row read:</w:t>
      </w:r>
    </w:p>
    <w:p>
      <w:pPr>
        <w:pStyle w:val="ListParagraph"/>
        <w:numPr>
          <w:ilvl w:val="0"/>
          <w:numId w:val="2"/>
        </w:numPr>
        <w:spacing w:after="60"/>
      </w:pPr>
      <w:r>
        <w:rPr>
          <w:rFonts w:ascii="Arial" w:cs="Arial" w:eastAsia="Arial" w:hAnsi="Arial"/>
          <w:b w:val="false"/>
          <w:bCs w:val="false"/>
          <w:sz w:val="22"/>
          <w:szCs w:val="22"/>
        </w:rPr>
        <w:t xml:space="preserve">The JURISDICTION and INDICATOR fields are extracted</w:t>
      </w:r>
    </w:p>
    <w:p>
      <w:pPr>
        <w:pStyle w:val="ListParagraph"/>
        <w:numPr>
          <w:ilvl w:val="0"/>
          <w:numId w:val="2"/>
        </w:numPr>
        <w:spacing w:after="60"/>
      </w:pPr>
      <w:r>
        <w:rPr>
          <w:rFonts w:ascii="Arial" w:cs="Arial" w:eastAsia="Arial" w:hAnsi="Arial"/>
          <w:b w:val="false"/>
          <w:bCs w:val="false"/>
          <w:sz w:val="22"/>
          <w:szCs w:val="22"/>
        </w:rPr>
        <w:t xml:space="preserve">Rows where either field is blank are discarded</w:t>
      </w:r>
    </w:p>
    <w:p>
      <w:pPr>
        <w:pStyle w:val="ListParagraph"/>
        <w:numPr>
          <w:ilvl w:val="0"/>
          <w:numId w:val="2"/>
        </w:numPr>
        <w:spacing w:after="60"/>
      </w:pPr>
      <w:r>
        <w:rPr>
          <w:rFonts w:ascii="Arial" w:cs="Arial" w:eastAsia="Arial" w:hAnsi="Arial"/>
          <w:b w:val="false"/>
          <w:bCs w:val="false"/>
          <w:sz w:val="22"/>
          <w:szCs w:val="22"/>
        </w:rPr>
        <w:t xml:space="preserve">The six year columns (2018–2023) are each passed through the value normalisation function</w:t>
      </w:r>
    </w:p>
    <w:p>
      <w:pPr>
        <w:pStyle w:val="ListParagraph"/>
        <w:numPr>
          <w:ilvl w:val="0"/>
          <w:numId w:val="2"/>
        </w:numPr>
        <w:spacing w:after="60"/>
      </w:pPr>
      <w:r>
        <w:rPr>
          <w:rFonts w:ascii="Arial" w:cs="Arial" w:eastAsia="Arial" w:hAnsi="Arial"/>
          <w:b w:val="false"/>
          <w:bCs w:val="false"/>
          <w:sz w:val="22"/>
          <w:szCs w:val="22"/>
        </w:rPr>
        <w:t xml:space="preserve">Data is stored in a two-level Map: indicator → { jurisdictionMap, scale }</w:t>
      </w:r>
    </w:p>
    <w:p>
      <w:pPr>
        <w:pStyle w:val="Heading3"/>
        <w:spacing w:after="80" w:before="200"/>
      </w:pPr>
      <w:r>
        <w:rPr>
          <w:rFonts w:ascii="Arial" w:cs="Arial" w:eastAsia="Arial" w:hAnsi="Arial"/>
          <w:b/>
          <w:bCs/>
          <w:color w:val="404040"/>
          <w:sz w:val="22"/>
          <w:szCs w:val="22"/>
        </w:rPr>
        <w:t xml:space="preserve">Step 2 — Value Normalisation</w:t>
      </w:r>
    </w:p>
    <w:p>
      <w:pPr>
        <w:spacing w:after="120"/>
      </w:pPr>
      <w:r>
        <w:rPr>
          <w:rFonts w:ascii="Arial" w:cs="Arial" w:eastAsia="Arial" w:hAnsi="Arial"/>
          <w:sz w:val="22"/>
          <w:szCs w:val="22"/>
        </w:rPr>
        <w:t xml:space="preserve">Every raw cell value is passed through the nv() (normalise value) function before storage. The rules applied in order are:</w:t>
      </w:r>
    </w:p>
    <w:p>
      <w:pPr>
        <w:pStyle w:val="ListParagraph"/>
        <w:numPr>
          <w:ilvl w:val="0"/>
          <w:numId w:val="3"/>
        </w:numPr>
        <w:spacing w:after="80"/>
      </w:pPr>
      <w:r>
        <w:rPr>
          <w:rFonts w:ascii="Arial" w:cs="Arial" w:eastAsia="Arial" w:hAnsi="Arial"/>
          <w:sz w:val="22"/>
          <w:szCs w:val="22"/>
        </w:rPr>
        <w:t xml:space="preserve">Null/empty — null, undefined, and empty strings become null</w:t>
      </w:r>
    </w:p>
    <w:p>
      <w:pPr>
        <w:pStyle w:val="ListParagraph"/>
        <w:numPr>
          <w:ilvl w:val="0"/>
          <w:numId w:val="3"/>
        </w:numPr>
        <w:spacing w:after="80"/>
      </w:pPr>
      <w:r>
        <w:rPr>
          <w:rFonts w:ascii="Arial" w:cs="Arial" w:eastAsia="Arial" w:hAnsi="Arial"/>
          <w:sz w:val="22"/>
          <w:szCs w:val="22"/>
        </w:rPr>
        <w:t xml:space="preserve">Suppressed data — values D, d, N/A, NA, n/a, Not Applicable, Not applicable, Not Available are treated as confidential/suppressed and converted to null</w:t>
      </w:r>
    </w:p>
    <w:p>
      <w:pPr>
        <w:pStyle w:val="ListParagraph"/>
        <w:numPr>
          <w:ilvl w:val="0"/>
          <w:numId w:val="3"/>
        </w:numPr>
        <w:spacing w:after="80"/>
      </w:pPr>
      <w:r>
        <w:rPr>
          <w:rFonts w:ascii="Arial" w:cs="Arial" w:eastAsia="Arial" w:hAnsi="Arial"/>
          <w:sz w:val="22"/>
          <w:szCs w:val="22"/>
        </w:rPr>
        <w:t xml:space="preserve">Numeric — if the string can be parsed as a number after removing commas (e.g. "1,234,567"), it is stored as a JavaScript number</w:t>
      </w:r>
    </w:p>
    <w:p>
      <w:pPr>
        <w:pStyle w:val="ListParagraph"/>
        <w:numPr>
          <w:ilvl w:val="0"/>
          <w:numId w:val="3"/>
        </w:numPr>
        <w:spacing w:after="80"/>
      </w:pPr>
      <w:r>
        <w:rPr>
          <w:rFonts w:ascii="Arial" w:cs="Arial" w:eastAsia="Arial" w:hAnsi="Arial"/>
          <w:sz w:val="22"/>
          <w:szCs w:val="22"/>
        </w:rPr>
        <w:t xml:space="preserve">Yes/No — strings matching /^yes$/i become "Yes"; strings matching /^no$/i become "No"</w:t>
      </w:r>
    </w:p>
    <w:p>
      <w:pPr>
        <w:pStyle w:val="ListParagraph"/>
        <w:numPr>
          <w:ilvl w:val="0"/>
          <w:numId w:val="3"/>
        </w:numPr>
        <w:spacing w:after="80"/>
      </w:pPr>
      <w:r>
        <w:rPr>
          <w:rFonts w:ascii="Arial" w:cs="Arial" w:eastAsia="Arial" w:hAnsi="Arial"/>
          <w:sz w:val="22"/>
          <w:szCs w:val="22"/>
        </w:rPr>
        <w:t xml:space="preserve">Other strings — anything that does not match the above is kept as a plain string (categorical values such as "In Place", "Implementing", "option a)")</w:t>
      </w:r>
    </w:p>
    <w:p>
      <w:pPr>
        <w:spacing w:after="80"/>
      </w:pPr>
      <w:r>
        <w:t xml:space="preserve"/>
      </w:r>
    </w:p>
    <w:p>
      <w:pPr>
        <w:pStyle w:val="Heading3"/>
        <w:spacing w:after="80" w:before="200"/>
      </w:pPr>
      <w:r>
        <w:rPr>
          <w:rFonts w:ascii="Arial" w:cs="Arial" w:eastAsia="Arial" w:hAnsi="Arial"/>
          <w:b/>
          <w:bCs/>
          <w:color w:val="404040"/>
          <w:sz w:val="22"/>
          <w:szCs w:val="22"/>
        </w:rPr>
        <w:t xml:space="preserve">Step 3 — Indicator Type Detection</w:t>
      </w:r>
    </w:p>
    <w:p>
      <w:pPr>
        <w:spacing w:after="120"/>
      </w:pPr>
      <w:r>
        <w:rPr>
          <w:rFonts w:ascii="Arial" w:cs="Arial" w:eastAsia="Arial" w:hAnsi="Arial"/>
          <w:sz w:val="22"/>
          <w:szCs w:val="22"/>
        </w:rPr>
        <w:t xml:space="preserve">After all rows are parsed, the tool examines each indicator's complete set of values to classify it into one of three types: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Detection Rule</w:t>
            </w:r>
          </w:p>
        </w:tc>
        <w:tc>
          <w:tcPr>
            <w:tcW w:type="dxa" w:w="4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Chart Behaviour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numeric</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than 40% of non-null values are numbers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actual values; IQR outlier flagging applied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yesno</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than 40% of non-null values are "Yes" or "No"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 of countries answering Yes per group</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categorical</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other cases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Renders as empty (future enhancement)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non-null values at all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"No data" message</w:t>
            </w:r>
          </w:p>
        </w:tc>
      </w:tr>
    </w:tbl>
    <w:p>
      <w:pPr>
        <w:spacing w:after="80"/>
      </w:pPr>
      <w:r>
        <w:t xml:space="preserve"/>
      </w:r>
    </w:p>
    <w:p>
      <w:pPr>
        <w:spacing w:after="120"/>
      </w:pPr>
      <w:r>
        <w:rPr>
          <w:rFonts w:ascii="Arial" w:cs="Arial" w:eastAsia="Arial" w:hAnsi="Arial"/>
          <w:sz w:val="22"/>
          <w:szCs w:val="22"/>
        </w:rPr>
        <w:t xml:space="preserve">The 40% threshold was chosen because some indicators mix numeric and Yes/No values across different years. A strict majority check would misclassify these.</w:t>
      </w:r>
    </w:p>
    <w:p>
      <w:pPr>
        <w:pStyle w:val="Heading3"/>
        <w:spacing w:after="80" w:before="200"/>
      </w:pPr>
      <w:r>
        <w:rPr>
          <w:rFonts w:ascii="Arial" w:cs="Arial" w:eastAsia="Arial" w:hAnsi="Arial"/>
          <w:b/>
          <w:bCs/>
          <w:color w:val="404040"/>
          <w:sz w:val="22"/>
          <w:szCs w:val="22"/>
        </w:rPr>
        <w:t xml:space="preserve">Step 4 — Country Guide Lookup</w:t>
      </w:r>
    </w:p>
    <w:p>
      <w:pPr>
        <w:spacing w:after="120"/>
      </w:pPr>
      <w:r>
        <w:rPr>
          <w:rFonts w:ascii="Arial" w:cs="Arial" w:eastAsia="Arial" w:hAnsi="Arial"/>
          <w:sz w:val="22"/>
          <w:szCs w:val="22"/>
        </w:rPr>
        <w:t xml:space="preserve">For every jurisdiction name that appears in the CSV, the tool looks it up in a hardcoded country guide to retrieve its World Bank region and income group. This classification is used for grouping and colour-coding in charts. Jurisdictions that cannot be resolved are silently excluded from charts.</w:t>
      </w:r>
    </w:p>
    <w:p>
      <w:pPr>
        <w:pStyle w:val="Heading3"/>
        <w:spacing w:after="80" w:before="200"/>
      </w:pPr>
      <w:r>
        <w:rPr>
          <w:rFonts w:ascii="Arial" w:cs="Arial" w:eastAsia="Arial" w:hAnsi="Arial"/>
          <w:b/>
          <w:bCs/>
          <w:color w:val="404040"/>
          <w:sz w:val="22"/>
          <w:szCs w:val="22"/>
        </w:rPr>
        <w:t xml:space="preserve">Step 5 — Chart Data Computation</w:t>
      </w:r>
    </w:p>
    <w:p>
      <w:pPr>
        <w:spacing w:after="120"/>
      </w:pPr>
      <w:r>
        <w:rPr>
          <w:rFonts w:ascii="Arial" w:cs="Arial" w:eastAsia="Arial" w:hAnsi="Arial"/>
          <w:sz w:val="22"/>
          <w:szCs w:val="22"/>
        </w:rPr>
        <w:t xml:space="preserve">When the user selects an indicator, years, mode, and filters, the tool computes chart-ready data using useMemo (recomputed only when inputs change). The computation:</w:t>
      </w:r>
    </w:p>
    <w:p>
      <w:pPr>
        <w:pStyle w:val="ListParagraph"/>
        <w:numPr>
          <w:ilvl w:val="0"/>
          <w:numId w:val="3"/>
        </w:numPr>
        <w:spacing w:after="80"/>
      </w:pPr>
      <w:r>
        <w:rPr>
          <w:rFonts w:ascii="Arial" w:cs="Arial" w:eastAsia="Arial" w:hAnsi="Arial"/>
          <w:sz w:val="22"/>
          <w:szCs w:val="22"/>
        </w:rPr>
        <w:t xml:space="preserve">Filters the jurisdiction map to only include jurisdictions matching active region and income filters</w:t>
      </w:r>
    </w:p>
    <w:p>
      <w:pPr>
        <w:pStyle w:val="ListParagraph"/>
        <w:numPr>
          <w:ilvl w:val="0"/>
          <w:numId w:val="3"/>
        </w:numPr>
        <w:spacing w:after="80"/>
      </w:pPr>
      <w:r>
        <w:rPr>
          <w:rFonts w:ascii="Arial" w:cs="Arial" w:eastAsia="Arial" w:hAnsi="Arial"/>
          <w:sz w:val="22"/>
          <w:szCs w:val="22"/>
        </w:rPr>
        <w:t xml:space="preserve">Enriches each row with region and income from the country guide</w:t>
      </w:r>
    </w:p>
    <w:p>
      <w:pPr>
        <w:pStyle w:val="ListParagraph"/>
        <w:numPr>
          <w:ilvl w:val="0"/>
          <w:numId w:val="3"/>
        </w:numPr>
        <w:spacing w:after="80"/>
      </w:pPr>
      <w:r>
        <w:rPr>
          <w:rFonts w:ascii="Arial" w:cs="Arial" w:eastAsia="Arial" w:hAnsi="Arial"/>
          <w:sz w:val="22"/>
          <w:szCs w:val="22"/>
        </w:rPr>
        <w:t xml:space="preserve">Applies the selected aggregation logic (see Chart Modes below)</w:t>
      </w:r>
    </w:p>
    <w:p>
      <w:pPr>
        <w:pStyle w:val="ListParagraph"/>
        <w:numPr>
          <w:ilvl w:val="0"/>
          <w:numId w:val="3"/>
        </w:numPr>
        <w:spacing w:after="80"/>
      </w:pPr>
      <w:r>
        <w:rPr>
          <w:rFonts w:ascii="Arial" w:cs="Arial" w:eastAsia="Arial" w:hAnsi="Arial"/>
          <w:sz w:val="22"/>
          <w:szCs w:val="22"/>
        </w:rPr>
        <w:t xml:space="preserve">Sorts results by the most recently selected year in descending or ascending order</w:t>
      </w:r>
    </w:p>
    <w:p>
      <w:pPr>
        <w:pStyle w:val="ListParagraph"/>
        <w:numPr>
          <w:ilvl w:val="0"/>
          <w:numId w:val="3"/>
        </w:numPr>
        <w:spacing w:after="80"/>
      </w:pPr>
      <w:r>
        <w:rPr>
          <w:rFonts w:ascii="Arial" w:cs="Arial" w:eastAsia="Arial" w:hAnsi="Arial"/>
          <w:sz w:val="22"/>
          <w:szCs w:val="22"/>
        </w:rPr>
        <w:t xml:space="preserve">For numeric ranking mode, applies IQR-based outlier flagging (values above Q3 + 3×IQR are marked but not removed)</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Indicator Theme Categories</w:t>
      </w:r>
    </w:p>
    <w:p>
      <w:pPr>
        <w:spacing w:after="120"/>
      </w:pPr>
      <w:r>
        <w:rPr>
          <w:rFonts w:ascii="Arial" w:cs="Arial" w:eastAsia="Arial" w:hAnsi="Arial"/>
          <w:sz w:val="22"/>
          <w:szCs w:val="22"/>
        </w:rPr>
        <w:t xml:space="preserve">The 671 indicators are organised into 15 themes. Theme assignment uses a priority-ordered list of regular expressions applied to the lowercase indicator text. The first matching rule wins.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Theme</w:t>
            </w:r>
          </w:p>
        </w:tc>
        <w:tc>
          <w:tcPr>
            <w:tcW w:type="dxa" w:w="6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What It Covers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&amp; Tax Collections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revenue collected, breakdown by tax type (PIT, CIT, VAT, Excise, SSC), revenue-to-GDP ratios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Taxpayer Registration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registered and active taxpayers by tax type (CIT, PIT, VAT, PAYE, Excise)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&amp; E-Filing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On-time filing rates, e-filing mandatory flags, number of returns received, pre-filled returns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 &amp; Arrears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On-time payment rates, closing stock of arrears by tax type, e-payment mandates, VAT refunds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&amp; Enforcement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hit rates, number of audits completed, additional assessments raised, tax crime investigations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 &amp; Workforce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FTE counts by function, age distribution, length of service, academic qualifications, hiring and attrition rates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ICT &amp; Technology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Innovative technology adoption (AI, RPA, cloud, blockchain), ICT expenditure, e-services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Taxpayer Services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channel contacts, satisfaction surveys, online services, rulings, taxpayer education campaigns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Management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risk strategy, risk prioritisation frameworks, pre- and post-filing interventions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Governance &amp; Structure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Institutional framework, administrative authority, LTO/HNWI programmes, structural reforms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&amp; Dispute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Dispute mechanisms, arrears collection powers, administrative sanctions, voluntary disclosures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Gender &amp; Diversity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Gender distribution of staff and executives, gender-disaggregated compliance data, diversity policies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&amp; Organization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strategy, training and performance management, staffing plans, remuneration policies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Macro &amp; Finance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 total population, labour force, total operating and salary expenditures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Other Indicators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indicator not matched by the 14 rules above</w:t>
            </w:r>
          </w:p>
        </w:tc>
      </w:tr>
    </w:tbl>
    <w:p>
      <w:pPr>
        <w:spacing w:after="80"/>
      </w:pPr>
      <w:r>
        <w:t xml:space="preserve"/>
      </w:r>
    </w:p>
    <w:p>
      <w:pPr>
        <w:spacing w:after="120"/>
      </w:pPr>
      <w:r>
        <w:rPr>
          <w:rFonts w:ascii="Arial" w:cs="Arial" w:eastAsia="Arial" w:hAnsi="Arial"/>
          <w:sz w:val="22"/>
          <w:szCs w:val="22"/>
        </w:rPr>
        <w:t xml:space="preserve">Important: The regex rules match the beginning of the indicator text (anchored with ^). An indicator whose text starts with an unrecognised phrase will land in Theme 15. If new ISORA survey rounds introduce new indicator names, some may need to be added to the regex rules manually.</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How Missing Data Is Handled</w:t>
      </w:r>
    </w:p>
    <w:p>
      <w:pPr>
        <w:spacing w:after="120"/>
      </w:pPr>
      <w:r>
        <w:rPr>
          <w:rFonts w:ascii="Arial" w:cs="Arial" w:eastAsia="Arial" w:hAnsi="Arial"/>
          <w:sz w:val="22"/>
          <w:szCs w:val="22"/>
        </w:rPr>
        <w:t xml:space="preserve">Missing data in ISORA arises from three distinct causes, each treated the same way by the tool: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Raw Value</w:t>
            </w:r>
          </w:p>
        </w:tc>
        <w:tc>
          <w:tcPr>
            <w:tcW w:type="dxa" w:w="48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Tool Treatment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reported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Empty cell</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Converted to null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 / suppressed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Converted to null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applicable to this jurisdiction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Not Applicable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Converted to null</w:t>
            </w:r>
          </w:p>
        </w:tc>
      </w:tr>
    </w:tbl>
    <w:p>
      <w:pPr>
        <w:spacing w:after="80"/>
      </w:pPr>
      <w:r>
        <w:t xml:space="preserve"/>
      </w:r>
    </w:p>
    <w:p>
      <w:pPr>
        <w:spacing w:after="120"/>
      </w:pPr>
      <w:r>
        <w:rPr>
          <w:rFonts w:ascii="Arial" w:cs="Arial" w:eastAsia="Arial" w:hAnsi="Arial"/>
          <w:sz w:val="22"/>
          <w:szCs w:val="22"/>
        </w:rPr>
        <w:t xml:space="preserve">Once converted to null, missing values are excluded from all calculations — they do not count toward averages, medians, maximums, minimums, or percentage calculations.</w:t>
      </w:r>
    </w:p>
    <w:p>
      <w:pPr>
        <w:spacing w:after="120"/>
      </w:pPr>
      <w:r>
        <w:rPr>
          <w:rFonts w:ascii="Arial" w:cs="Arial" w:eastAsia="Arial" w:hAnsi="Arial"/>
          <w:sz w:val="22"/>
          <w:szCs w:val="22"/>
        </w:rPr>
        <w:t xml:space="preserve">Consequences for charts:</w:t>
      </w:r>
    </w:p>
    <w:p>
      <w:pPr>
        <w:pStyle w:val="ListParagraph"/>
        <w:numPr>
          <w:ilvl w:val="0"/>
          <w:numId w:val="2"/>
        </w:numPr>
        <w:spacing w:after="60"/>
      </w:pPr>
      <w:r>
        <w:rPr>
          <w:rFonts w:ascii="Arial" w:cs="Arial" w:eastAsia="Arial" w:hAnsi="Arial"/>
          <w:b w:val="false"/>
          <w:bCs w:val="false"/>
          <w:sz w:val="22"/>
          <w:szCs w:val="22"/>
        </w:rPr>
        <w:t xml:space="preserve">A country with null for the selected year(s) is excluded from the Country Ranking chart entirely</w:t>
      </w:r>
    </w:p>
    <w:p>
      <w:pPr>
        <w:pStyle w:val="ListParagraph"/>
        <w:numPr>
          <w:ilvl w:val="0"/>
          <w:numId w:val="2"/>
        </w:numPr>
        <w:spacing w:after="60"/>
      </w:pPr>
      <w:r>
        <w:rPr>
          <w:rFonts w:ascii="Arial" w:cs="Arial" w:eastAsia="Arial" w:hAnsi="Arial"/>
          <w:b w:val="false"/>
          <w:bCs w:val="false"/>
          <w:sz w:val="22"/>
          <w:szCs w:val="22"/>
        </w:rPr>
        <w:t xml:space="preserve">In Group Compare mode, only jurisdictions with non-null values contribute to the group average</w:t>
      </w:r>
    </w:p>
    <w:p>
      <w:pPr>
        <w:pStyle w:val="ListParagraph"/>
        <w:numPr>
          <w:ilvl w:val="0"/>
          <w:numId w:val="2"/>
        </w:numPr>
        <w:spacing w:after="60"/>
      </w:pPr>
      <w:r>
        <w:rPr>
          <w:rFonts w:ascii="Arial" w:cs="Arial" w:eastAsia="Arial" w:hAnsi="Arial"/>
          <w:b w:val="false"/>
          <w:bCs w:val="false"/>
          <w:sz w:val="22"/>
          <w:szCs w:val="22"/>
        </w:rPr>
        <w:t xml:space="preserve">In Trend mode, a group with no non-null values for a given year will show a gap (no bar) for that year</w:t>
      </w:r>
    </w:p>
    <w:p>
      <w:pPr>
        <w:pStyle w:val="ListParagraph"/>
        <w:numPr>
          <w:ilvl w:val="0"/>
          <w:numId w:val="2"/>
        </w:numPr>
        <w:spacing w:after="60"/>
      </w:pPr>
      <w:r>
        <w:rPr>
          <w:rFonts w:ascii="Arial" w:cs="Arial" w:eastAsia="Arial" w:hAnsi="Arial"/>
          <w:b w:val="false"/>
          <w:bCs w:val="false"/>
          <w:sz w:val="22"/>
          <w:szCs w:val="22"/>
        </w:rPr>
        <w:t xml:space="preserve">For Yes/No indicators, only jurisdictions that answered Yes or No are counted in the denominator</w:t>
      </w:r>
    </w:p>
    <w:p>
      <w:pPr>
        <w:spacing w:after="80"/>
      </w:pPr>
      <w:r>
        <w:t xml:space="preserve"/>
      </w:r>
    </w:p>
    <w:p>
      <w:pPr>
        <w:spacing w:after="120"/>
      </w:pPr>
      <w:r>
        <w:rPr>
          <w:rFonts w:ascii="Arial" w:cs="Arial" w:eastAsia="Arial" w:hAnsi="Arial"/>
          <w:sz w:val="22"/>
          <w:szCs w:val="22"/>
        </w:rPr>
        <w:t xml:space="preserve">The chart header displays a coloured Data Quality Badge:</w:t>
      </w:r>
    </w:p>
    <w:p>
      <w:pPr>
        <w:pStyle w:val="ListParagraph"/>
        <w:numPr>
          <w:ilvl w:val="0"/>
          <w:numId w:val="2"/>
        </w:numPr>
        <w:spacing w:after="60"/>
      </w:pPr>
      <w:r>
        <w:rPr>
          <w:rFonts w:ascii="Arial" w:cs="Arial" w:eastAsia="Arial" w:hAnsi="Arial"/>
          <w:b w:val="false"/>
          <w:bCs w:val="false"/>
          <w:sz w:val="22"/>
          <w:szCs w:val="22"/>
        </w:rPr>
        <w:t xml:space="preserve">Green (&gt; 50% filled) — reasonably good coverage</w:t>
      </w:r>
    </w:p>
    <w:p>
      <w:pPr>
        <w:pStyle w:val="ListParagraph"/>
        <w:numPr>
          <w:ilvl w:val="0"/>
          <w:numId w:val="2"/>
        </w:numPr>
        <w:spacing w:after="60"/>
      </w:pPr>
      <w:r>
        <w:rPr>
          <w:rFonts w:ascii="Arial" w:cs="Arial" w:eastAsia="Arial" w:hAnsi="Arial"/>
          <w:b w:val="false"/>
          <w:bCs w:val="false"/>
          <w:sz w:val="22"/>
          <w:szCs w:val="22"/>
        </w:rPr>
        <w:t xml:space="preserve">Yellow (25–50% filled) — moderate coverage, interpret with caution</w:t>
      </w:r>
    </w:p>
    <w:p>
      <w:pPr>
        <w:pStyle w:val="ListParagraph"/>
        <w:numPr>
          <w:ilvl w:val="0"/>
          <w:numId w:val="2"/>
        </w:numPr>
        <w:spacing w:after="60"/>
      </w:pPr>
      <w:r>
        <w:rPr>
          <w:rFonts w:ascii="Arial" w:cs="Arial" w:eastAsia="Arial" w:hAnsi="Arial"/>
          <w:b w:val="false"/>
          <w:bCs w:val="false"/>
          <w:sz w:val="22"/>
          <w:szCs w:val="22"/>
        </w:rPr>
        <w:t xml:space="preserve">Red (&lt; 25% filled) — sparse data, results may not be representative</w:t>
      </w:r>
    </w:p>
    <w:p>
      <w:pPr>
        <w:spacing w:after="80"/>
      </w:pPr>
      <w:r>
        <w:t xml:space="preserve"/>
      </w:r>
    </w:p>
    <w:p>
      <w:pPr>
        <w:spacing w:after="120"/>
      </w:pPr>
      <w:r>
        <w:rPr>
          <w:rFonts w:ascii="Arial" w:cs="Arial" w:eastAsia="Arial" w:hAnsi="Arial"/>
          <w:sz w:val="22"/>
          <w:szCs w:val="22"/>
        </w:rPr>
        <w:t xml:space="preserve">The fill rate is calculated as: (non-null values) ÷ (jurisdictions × 6 years) × 100</w:t>
      </w:r>
    </w:p>
    <w:p>
      <w:pPr>
        <w:spacing w:after="120"/>
      </w:pPr>
      <w:r>
        <w:rPr>
          <w:rFonts w:ascii="Arial" w:cs="Arial" w:eastAsia="Arial" w:hAnsi="Arial"/>
          <w:sz w:val="22"/>
          <w:szCs w:val="22"/>
        </w:rPr>
        <w:t xml:space="preserve">No imputation is performed. The tool does not estimate or substitute missing values. This is intentional — ISORA data reflects what administrations actually reported, and filling gaps would misrepresent the underlying data.</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Chart Modes and How Graphs Are Built</w:t>
      </w:r>
    </w:p>
    <w:p>
      <w:pPr>
        <w:spacing w:after="120"/>
      </w:pPr>
      <w:r>
        <w:rPr>
          <w:rFonts w:ascii="Arial" w:cs="Arial" w:eastAsia="Arial" w:hAnsi="Arial"/>
          <w:sz w:val="22"/>
          <w:szCs w:val="22"/>
        </w:rPr>
        <w:t xml:space="preserve">All charts use the Recharts library rendered as SVG. All charts are horizontal bar charts (layout="vertical" in Recharts terminology, meaning the category axis is vertical and bars extend horizontally).</w:t>
      </w:r>
    </w:p>
    <w:p>
      <w:pPr>
        <w:pStyle w:val="Heading3"/>
        <w:spacing w:after="80" w:before="200"/>
      </w:pPr>
      <w:r>
        <w:rPr>
          <w:rFonts w:ascii="Arial" w:cs="Arial" w:eastAsia="Arial" w:hAnsi="Arial"/>
          <w:b/>
          <w:bCs/>
          <w:color w:val="404040"/>
          <w:sz w:val="22"/>
          <w:szCs w:val="22"/>
        </w:rPr>
        <w:t xml:space="preserve">Mode 1 — Country Ranking</w:t>
      </w:r>
    </w:p>
    <w:p>
      <w:pPr>
        <w:pStyle w:val="ListParagraph"/>
        <w:numPr>
          <w:ilvl w:val="0"/>
          <w:numId w:val="2"/>
        </w:numPr>
        <w:spacing w:after="60"/>
      </w:pPr>
      <w:r>
        <w:rPr>
          <w:rFonts w:ascii="Arial" w:cs="Arial" w:eastAsia="Arial" w:hAnsi="Arial"/>
          <w:b w:val="false"/>
          <w:bCs w:val="false"/>
          <w:sz w:val="22"/>
          <w:szCs w:val="22"/>
        </w:rPr>
        <w:t xml:space="preserve">Y-axis: Individual country names (top N countries, configurable from 5 to 50)</w:t>
      </w:r>
    </w:p>
    <w:p>
      <w:pPr>
        <w:pStyle w:val="ListParagraph"/>
        <w:numPr>
          <w:ilvl w:val="0"/>
          <w:numId w:val="2"/>
        </w:numPr>
        <w:spacing w:after="60"/>
      </w:pPr>
      <w:r>
        <w:rPr>
          <w:rFonts w:ascii="Arial" w:cs="Arial" w:eastAsia="Arial" w:hAnsi="Arial"/>
          <w:b w:val="false"/>
          <w:bCs w:val="false"/>
          <w:sz w:val="22"/>
          <w:szCs w:val="22"/>
        </w:rPr>
        <w:t xml:space="preserve">X-axis: Value for the selected indicator</w:t>
      </w:r>
    </w:p>
    <w:p>
      <w:pPr>
        <w:pStyle w:val="ListParagraph"/>
        <w:numPr>
          <w:ilvl w:val="0"/>
          <w:numId w:val="2"/>
        </w:numPr>
        <w:spacing w:after="60"/>
      </w:pPr>
      <w:r>
        <w:rPr>
          <w:rFonts w:ascii="Arial" w:cs="Arial" w:eastAsia="Arial" w:hAnsi="Arial"/>
          <w:b w:val="false"/>
          <w:bCs w:val="false"/>
          <w:sz w:val="22"/>
          <w:szCs w:val="22"/>
        </w:rPr>
        <w:t xml:space="preserve">Bars: One bar per selected year per country (grouped)</w:t>
      </w:r>
    </w:p>
    <w:p>
      <w:pPr>
        <w:pStyle w:val="ListParagraph"/>
        <w:numPr>
          <w:ilvl w:val="0"/>
          <w:numId w:val="2"/>
        </w:numPr>
        <w:spacing w:after="60"/>
      </w:pPr>
      <w:r>
        <w:rPr>
          <w:rFonts w:ascii="Arial" w:cs="Arial" w:eastAsia="Arial" w:hAnsi="Arial"/>
          <w:b w:val="false"/>
          <w:bCs w:val="false"/>
          <w:sz w:val="22"/>
          <w:szCs w:val="22"/>
        </w:rPr>
        <w:t xml:space="preserve">Sorting: By the most recently selected year, ascending or descending</w:t>
      </w:r>
    </w:p>
    <w:p>
      <w:pPr>
        <w:pStyle w:val="ListParagraph"/>
        <w:numPr>
          <w:ilvl w:val="0"/>
          <w:numId w:val="2"/>
        </w:numPr>
        <w:spacing w:after="60"/>
      </w:pPr>
      <w:r>
        <w:rPr>
          <w:rFonts w:ascii="Arial" w:cs="Arial" w:eastAsia="Arial" w:hAnsi="Arial"/>
          <w:b w:val="false"/>
          <w:bCs w:val="false"/>
          <w:sz w:val="22"/>
          <w:szCs w:val="22"/>
        </w:rPr>
        <w:t xml:space="preserve">Colouring: Single year = coloured by region or income group; Multiple years = coloured by year</w:t>
      </w:r>
    </w:p>
    <w:p>
      <w:pPr>
        <w:pStyle w:val="ListParagraph"/>
        <w:numPr>
          <w:ilvl w:val="0"/>
          <w:numId w:val="2"/>
        </w:numPr>
        <w:spacing w:after="60"/>
      </w:pPr>
      <w:r>
        <w:rPr>
          <w:rFonts w:ascii="Arial" w:cs="Arial" w:eastAsia="Arial" w:hAnsi="Arial"/>
          <w:b w:val="false"/>
          <w:bCs w:val="false"/>
          <w:sz w:val="22"/>
          <w:szCs w:val="22"/>
        </w:rPr>
        <w:t xml:space="preserve">Bar height: Dynamically calculated as max(12, min(22, 420 / (rows × years)))</w:t>
      </w:r>
    </w:p>
    <w:p>
      <w:pPr>
        <w:pStyle w:val="Heading3"/>
        <w:spacing w:after="80" w:before="200"/>
      </w:pPr>
      <w:r>
        <w:rPr>
          <w:rFonts w:ascii="Arial" w:cs="Arial" w:eastAsia="Arial" w:hAnsi="Arial"/>
          <w:b/>
          <w:bCs/>
          <w:color w:val="404040"/>
          <w:sz w:val="22"/>
          <w:szCs w:val="22"/>
        </w:rPr>
        <w:t xml:space="preserve">Mode 2 — Group Compare</w:t>
      </w:r>
    </w:p>
    <w:p>
      <w:pPr>
        <w:pStyle w:val="ListParagraph"/>
        <w:numPr>
          <w:ilvl w:val="0"/>
          <w:numId w:val="2"/>
        </w:numPr>
        <w:spacing w:after="60"/>
      </w:pPr>
      <w:r>
        <w:rPr>
          <w:rFonts w:ascii="Arial" w:cs="Arial" w:eastAsia="Arial" w:hAnsi="Arial"/>
          <w:b w:val="false"/>
          <w:bCs w:val="false"/>
          <w:sz w:val="22"/>
          <w:szCs w:val="22"/>
        </w:rPr>
        <w:t xml:space="preserve">Y-axis: Regions (7 groups) or income groups (4 groups)</w:t>
      </w:r>
    </w:p>
    <w:p>
      <w:pPr>
        <w:pStyle w:val="ListParagraph"/>
        <w:numPr>
          <w:ilvl w:val="0"/>
          <w:numId w:val="2"/>
        </w:numPr>
        <w:spacing w:after="60"/>
      </w:pPr>
      <w:r>
        <w:rPr>
          <w:rFonts w:ascii="Arial" w:cs="Arial" w:eastAsia="Arial" w:hAnsi="Arial"/>
          <w:b w:val="false"/>
          <w:bCs w:val="false"/>
          <w:sz w:val="22"/>
          <w:szCs w:val="22"/>
        </w:rPr>
        <w:t xml:space="preserve">X-axis: Average value across all jurisdictions in the group (numeric) or % answering Yes (Yes/No)</w:t>
      </w:r>
    </w:p>
    <w:p>
      <w:pPr>
        <w:pStyle w:val="ListParagraph"/>
        <w:numPr>
          <w:ilvl w:val="0"/>
          <w:numId w:val="2"/>
        </w:numPr>
        <w:spacing w:after="60"/>
      </w:pPr>
      <w:r>
        <w:rPr>
          <w:rFonts w:ascii="Arial" w:cs="Arial" w:eastAsia="Arial" w:hAnsi="Arial"/>
          <w:b w:val="false"/>
          <w:bCs w:val="false"/>
          <w:sz w:val="22"/>
          <w:szCs w:val="22"/>
        </w:rPr>
        <w:t xml:space="preserve">Bars: One bar per selected year per group (grouped)</w:t>
      </w:r>
    </w:p>
    <w:p>
      <w:pPr>
        <w:pStyle w:val="ListParagraph"/>
        <w:numPr>
          <w:ilvl w:val="0"/>
          <w:numId w:val="2"/>
        </w:numPr>
        <w:spacing w:after="60"/>
      </w:pPr>
      <w:r>
        <w:rPr>
          <w:rFonts w:ascii="Arial" w:cs="Arial" w:eastAsia="Arial" w:hAnsi="Arial"/>
          <w:b w:val="false"/>
          <w:bCs w:val="false"/>
          <w:sz w:val="22"/>
          <w:szCs w:val="22"/>
        </w:rPr>
        <w:t xml:space="preserve">Sorting: By the most recently selected year value, ascending or descending</w:t>
      </w:r>
    </w:p>
    <w:p>
      <w:pPr>
        <w:pStyle w:val="Heading3"/>
        <w:spacing w:after="80" w:before="200"/>
      </w:pPr>
      <w:r>
        <w:rPr>
          <w:rFonts w:ascii="Arial" w:cs="Arial" w:eastAsia="Arial" w:hAnsi="Arial"/>
          <w:b/>
          <w:bCs/>
          <w:color w:val="404040"/>
          <w:sz w:val="22"/>
          <w:szCs w:val="22"/>
        </w:rPr>
        <w:t xml:space="preserve">Mode 3 — Trend</w:t>
      </w:r>
    </w:p>
    <w:p>
      <w:pPr>
        <w:pStyle w:val="ListParagraph"/>
        <w:numPr>
          <w:ilvl w:val="0"/>
          <w:numId w:val="2"/>
        </w:numPr>
        <w:spacing w:after="60"/>
      </w:pPr>
      <w:r>
        <w:rPr>
          <w:rFonts w:ascii="Arial" w:cs="Arial" w:eastAsia="Arial" w:hAnsi="Arial"/>
          <w:b w:val="false"/>
          <w:bCs w:val="false"/>
          <w:sz w:val="22"/>
          <w:szCs w:val="22"/>
        </w:rPr>
        <w:t xml:space="preserve">Y-axis: Years (each selected year is a row)</w:t>
      </w:r>
    </w:p>
    <w:p>
      <w:pPr>
        <w:pStyle w:val="ListParagraph"/>
        <w:numPr>
          <w:ilvl w:val="0"/>
          <w:numId w:val="2"/>
        </w:numPr>
        <w:spacing w:after="60"/>
      </w:pPr>
      <w:r>
        <w:rPr>
          <w:rFonts w:ascii="Arial" w:cs="Arial" w:eastAsia="Arial" w:hAnsi="Arial"/>
          <w:b w:val="false"/>
          <w:bCs w:val="false"/>
          <w:sz w:val="22"/>
          <w:szCs w:val="22"/>
        </w:rPr>
        <w:t xml:space="preserve">X-axis: Average value across jurisdictions in each group</w:t>
      </w:r>
    </w:p>
    <w:p>
      <w:pPr>
        <w:pStyle w:val="ListParagraph"/>
        <w:numPr>
          <w:ilvl w:val="0"/>
          <w:numId w:val="2"/>
        </w:numPr>
        <w:spacing w:after="60"/>
      </w:pPr>
      <w:r>
        <w:rPr>
          <w:rFonts w:ascii="Arial" w:cs="Arial" w:eastAsia="Arial" w:hAnsi="Arial"/>
          <w:b w:val="false"/>
          <w:bCs w:val="false"/>
          <w:sz w:val="22"/>
          <w:szCs w:val="22"/>
        </w:rPr>
        <w:t xml:space="preserve">Bars: One bar per region or income group per year</w:t>
      </w:r>
    </w:p>
    <w:p>
      <w:pPr>
        <w:pStyle w:val="ListParagraph"/>
        <w:numPr>
          <w:ilvl w:val="0"/>
          <w:numId w:val="2"/>
        </w:numPr>
        <w:spacing w:after="60"/>
      </w:pPr>
      <w:r>
        <w:rPr>
          <w:rFonts w:ascii="Arial" w:cs="Arial" w:eastAsia="Arial" w:hAnsi="Arial"/>
          <w:b w:val="false"/>
          <w:bCs w:val="false"/>
          <w:sz w:val="22"/>
          <w:szCs w:val="22"/>
        </w:rPr>
        <w:t xml:space="preserve">Colouring: Always by region or income group</w:t>
      </w:r>
    </w:p>
    <w:p>
      <w:pPr>
        <w:pStyle w:val="ListParagraph"/>
        <w:numPr>
          <w:ilvl w:val="0"/>
          <w:numId w:val="2"/>
        </w:numPr>
        <w:spacing w:after="60"/>
      </w:pPr>
      <w:r>
        <w:rPr>
          <w:rFonts w:ascii="Arial" w:cs="Arial" w:eastAsia="Arial" w:hAnsi="Arial"/>
          <w:b w:val="false"/>
          <w:bCs w:val="false"/>
          <w:sz w:val="22"/>
          <w:szCs w:val="22"/>
        </w:rPr>
        <w:t xml:space="preserve">Purpose: Shows how groups have changed over time, read left-to-right within each year row</w:t>
      </w:r>
    </w:p>
    <w:p>
      <w:pPr>
        <w:pStyle w:val="Heading3"/>
        <w:spacing w:after="80" w:before="200"/>
      </w:pPr>
      <w:r>
        <w:rPr>
          <w:rFonts w:ascii="Arial" w:cs="Arial" w:eastAsia="Arial" w:hAnsi="Arial"/>
          <w:b/>
          <w:bCs/>
          <w:color w:val="404040"/>
          <w:sz w:val="22"/>
          <w:szCs w:val="22"/>
        </w:rPr>
        <w:t xml:space="preserve">Yes/No Indicator Charts</w:t>
      </w:r>
    </w:p>
    <w:p>
      <w:pPr>
        <w:spacing w:after="120"/>
      </w:pPr>
      <w:r>
        <w:rPr>
          <w:rFonts w:ascii="Arial" w:cs="Arial" w:eastAsia="Arial" w:hAnsi="Arial"/>
          <w:sz w:val="22"/>
          <w:szCs w:val="22"/>
        </w:rPr>
        <w:t xml:space="preserve">When an indicator is detected as yesno type:</w:t>
      </w:r>
    </w:p>
    <w:p>
      <w:pPr>
        <w:pStyle w:val="ListParagraph"/>
        <w:numPr>
          <w:ilvl w:val="0"/>
          <w:numId w:val="2"/>
        </w:numPr>
        <w:spacing w:after="60"/>
      </w:pPr>
      <w:r>
        <w:rPr>
          <w:rFonts w:ascii="Arial" w:cs="Arial" w:eastAsia="Arial" w:hAnsi="Arial"/>
          <w:b w:val="false"/>
          <w:bCs w:val="false"/>
          <w:sz w:val="22"/>
          <w:szCs w:val="22"/>
        </w:rPr>
        <w:t xml:space="preserve">All value cells are treated as binary: Yes = 100, No = 0 for country-level ranking display</w:t>
      </w:r>
    </w:p>
    <w:p>
      <w:pPr>
        <w:pStyle w:val="ListParagraph"/>
        <w:numPr>
          <w:ilvl w:val="0"/>
          <w:numId w:val="2"/>
        </w:numPr>
        <w:spacing w:after="60"/>
      </w:pPr>
      <w:r>
        <w:rPr>
          <w:rFonts w:ascii="Arial" w:cs="Arial" w:eastAsia="Arial" w:hAnsi="Arial"/>
          <w:b w:val="false"/>
          <w:bCs w:val="false"/>
          <w:sz w:val="22"/>
          <w:szCs w:val="22"/>
        </w:rPr>
        <w:t xml:space="preserve">For group modes, the displayed value is the percentage of reporting jurisdictions that answered Yes</w:t>
      </w:r>
    </w:p>
    <w:p>
      <w:pPr>
        <w:pStyle w:val="ListParagraph"/>
        <w:numPr>
          <w:ilvl w:val="0"/>
          <w:numId w:val="2"/>
        </w:numPr>
        <w:spacing w:after="60"/>
      </w:pPr>
      <w:r>
        <w:rPr>
          <w:rFonts w:ascii="Arial" w:cs="Arial" w:eastAsia="Arial" w:hAnsi="Arial"/>
          <w:b w:val="false"/>
          <w:bCs w:val="false"/>
          <w:sz w:val="22"/>
          <w:szCs w:val="22"/>
        </w:rPr>
        <w:t xml:space="preserve">The X-axis domain is fixed to [0, 100] and tick labels are formatted as percentages</w:t>
      </w:r>
    </w:p>
    <w:p>
      <w:pPr>
        <w:pStyle w:val="ListParagraph"/>
        <w:numPr>
          <w:ilvl w:val="0"/>
          <w:numId w:val="2"/>
        </w:numPr>
        <w:spacing w:after="60"/>
      </w:pPr>
      <w:r>
        <w:rPr>
          <w:rFonts w:ascii="Arial" w:cs="Arial" w:eastAsia="Arial" w:hAnsi="Arial"/>
          <w:b w:val="false"/>
          <w:bCs w:val="false"/>
          <w:sz w:val="22"/>
          <w:szCs w:val="22"/>
        </w:rPr>
        <w:t xml:space="preserve">Jurisdictions with null (did not answer or suppressed) are excluded from both numerator and denominator</w:t>
      </w:r>
    </w:p>
    <w:p>
      <w:pPr>
        <w:pStyle w:val="Heading3"/>
        <w:spacing w:after="80" w:before="200"/>
      </w:pPr>
      <w:r>
        <w:rPr>
          <w:rFonts w:ascii="Arial" w:cs="Arial" w:eastAsia="Arial" w:hAnsi="Arial"/>
          <w:b/>
          <w:bCs/>
          <w:color w:val="404040"/>
          <w:sz w:val="22"/>
          <w:szCs w:val="22"/>
        </w:rPr>
        <w:t xml:space="preserve">Statistics Panel</w:t>
      </w:r>
    </w:p>
    <w:p>
      <w:pPr>
        <w:spacing w:after="120"/>
      </w:pPr>
      <w:r>
        <w:rPr>
          <w:rFonts w:ascii="Arial" w:cs="Arial" w:eastAsia="Arial" w:hAnsi="Arial"/>
          <w:sz w:val="22"/>
          <w:szCs w:val="22"/>
        </w:rPr>
        <w:t xml:space="preserve">When viewing a numeric or Yes/No indicator in Country Ranking mode, five summary statistics are displayed above the chart: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Statistic</w:t>
            </w:r>
          </w:p>
        </w:tc>
        <w:tc>
          <w:tcPr>
            <w:tcW w:type="dxa" w:w="68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Calculation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Countries w/ Data</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of jurisdictions with a non-null value in the reference year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Highest value among displayed countries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Lowest value among displayed countries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 value of the sorted distribution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Arithmetic average</w:t>
            </w:r>
          </w:p>
        </w:tc>
      </w:tr>
    </w:tbl>
    <w:p>
      <w:pPr>
        <w:spacing w:after="80"/>
      </w:pPr>
      <w:r>
        <w:t xml:space="preserve"/>
      </w:r>
    </w:p>
    <w:p>
      <w:pPr>
        <w:spacing w:after="120"/>
      </w:pPr>
      <w:r>
        <w:rPr>
          <w:rFonts w:ascii="Arial" w:cs="Arial" w:eastAsia="Arial" w:hAnsi="Arial"/>
          <w:sz w:val="22"/>
          <w:szCs w:val="22"/>
        </w:rPr>
        <w:t xml:space="preserve">All statistics are computed on the filtered and displayed data, not the full dataset. Active region/income filters affect the numbers.</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PNG Export</w:t>
      </w:r>
    </w:p>
    <w:p>
      <w:pPr>
        <w:spacing w:after="120"/>
      </w:pPr>
      <w:r>
        <w:rPr>
          <w:rFonts w:ascii="Arial" w:cs="Arial" w:eastAsia="Arial" w:hAnsi="Arial"/>
          <w:sz w:val="22"/>
          <w:szCs w:val="22"/>
        </w:rPr>
        <w:t xml:space="preserve">Clicking the ↓ PNG button captures the current chart at 2× screen resolution (retina quality). The process:</w:t>
      </w:r>
    </w:p>
    <w:p>
      <w:pPr>
        <w:pStyle w:val="ListParagraph"/>
        <w:numPr>
          <w:ilvl w:val="0"/>
          <w:numId w:val="3"/>
        </w:numPr>
        <w:spacing w:after="80"/>
      </w:pPr>
      <w:r>
        <w:rPr>
          <w:rFonts w:ascii="Arial" w:cs="Arial" w:eastAsia="Arial" w:hAnsi="Arial"/>
          <w:sz w:val="22"/>
          <w:szCs w:val="22"/>
        </w:rPr>
        <w:t xml:space="preserve">The Recharts SVG element is serialised to a string using XMLSerializer</w:t>
      </w:r>
    </w:p>
    <w:p>
      <w:pPr>
        <w:pStyle w:val="ListParagraph"/>
        <w:numPr>
          <w:ilvl w:val="0"/>
          <w:numId w:val="3"/>
        </w:numPr>
        <w:spacing w:after="80"/>
      </w:pPr>
      <w:r>
        <w:rPr>
          <w:rFonts w:ascii="Arial" w:cs="Arial" w:eastAsia="Arial" w:hAnsi="Arial"/>
          <w:sz w:val="22"/>
          <w:szCs w:val="22"/>
        </w:rPr>
        <w:t xml:space="preserve">An HTML5 Canvas is created at (chartWidth + 48) × (chartHeight + 100) pixels, scaled 2×</w:t>
      </w:r>
    </w:p>
    <w:p>
      <w:pPr>
        <w:pStyle w:val="ListParagraph"/>
        <w:numPr>
          <w:ilvl w:val="0"/>
          <w:numId w:val="3"/>
        </w:numPr>
        <w:spacing w:after="80"/>
      </w:pPr>
      <w:r>
        <w:rPr>
          <w:rFonts w:ascii="Arial" w:cs="Arial" w:eastAsia="Arial" w:hAnsi="Arial"/>
          <w:sz w:val="22"/>
          <w:szCs w:val="22"/>
        </w:rPr>
        <w:t xml:space="preserve">A header band (70px tall, navy blue #2E5FA3) is drawn at the top containing indicator name, selected years, grouping mode, and the ISORA/IMF attribution</w:t>
      </w:r>
    </w:p>
    <w:p>
      <w:pPr>
        <w:pStyle w:val="ListParagraph"/>
        <w:numPr>
          <w:ilvl w:val="0"/>
          <w:numId w:val="3"/>
        </w:numPr>
        <w:spacing w:after="80"/>
      </w:pPr>
      <w:r>
        <w:rPr>
          <w:rFonts w:ascii="Arial" w:cs="Arial" w:eastAsia="Arial" w:hAnsi="Arial"/>
          <w:sz w:val="22"/>
          <w:szCs w:val="22"/>
        </w:rPr>
        <w:t xml:space="preserve">The SVG is drawn onto the canvas below the header</w:t>
      </w:r>
    </w:p>
    <w:p>
      <w:pPr>
        <w:pStyle w:val="ListParagraph"/>
        <w:numPr>
          <w:ilvl w:val="0"/>
          <w:numId w:val="3"/>
        </w:numPr>
        <w:spacing w:after="80"/>
      </w:pPr>
      <w:r>
        <w:rPr>
          <w:rFonts w:ascii="Arial" w:cs="Arial" w:eastAsia="Arial" w:hAnsi="Arial"/>
          <w:sz w:val="22"/>
          <w:szCs w:val="22"/>
        </w:rPr>
        <w:t xml:space="preserve">A footer line (30px) containing the source citation is drawn at the bottom</w:t>
      </w:r>
    </w:p>
    <w:p>
      <w:pPr>
        <w:pStyle w:val="ListParagraph"/>
        <w:numPr>
          <w:ilvl w:val="0"/>
          <w:numId w:val="3"/>
        </w:numPr>
        <w:spacing w:after="80"/>
      </w:pPr>
      <w:r>
        <w:rPr>
          <w:rFonts w:ascii="Arial" w:cs="Arial" w:eastAsia="Arial" w:hAnsi="Arial"/>
          <w:sz w:val="22"/>
          <w:szCs w:val="22"/>
        </w:rPr>
        <w:t xml:space="preserve">The canvas is exported as a PNG and downloaded</w:t>
      </w:r>
    </w:p>
    <w:p>
      <w:pPr>
        <w:spacing w:after="80"/>
      </w:pPr>
      <w:r>
        <w:t xml:space="preserve"/>
      </w:r>
    </w:p>
    <w:p>
      <w:pPr>
        <w:spacing w:after="120"/>
      </w:pPr>
      <w:r>
        <w:rPr>
          <w:rFonts w:ascii="Arial" w:cs="Arial" w:eastAsia="Arial" w:hAnsi="Arial"/>
          <w:sz w:val="22"/>
          <w:szCs w:val="22"/>
        </w:rPr>
        <w:t xml:space="preserve">File naming convention: ISORA_&lt;indicator_name&gt;_&lt;years&gt;.png — the indicator name is truncated to 40 characters and non-alphanumeric characters replaced with underscores.</w:t>
      </w:r>
    </w:p>
    <w:p>
      <w:pPr>
        <w:spacing w:after="120"/>
      </w:pPr>
      <w:r>
        <w:rPr>
          <w:rFonts w:ascii="Arial" w:cs="Arial" w:eastAsia="Arial" w:hAnsi="Arial"/>
          <w:sz w:val="22"/>
          <w:szCs w:val="22"/>
        </w:rPr>
        <w:t xml:space="preserve">Browser compatibility: The SVG serialisation approach works reliably in Chrome and Edge. Firefox may produce slightly different results. Safari has known limitations with SVG blob URLs.</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Hardcoded Elements</w:t>
      </w:r>
    </w:p>
    <w:p>
      <w:pPr>
        <w:spacing w:after="120"/>
      </w:pPr>
      <w:r>
        <w:rPr>
          <w:rFonts w:ascii="Arial" w:cs="Arial" w:eastAsia="Arial" w:hAnsi="Arial"/>
          <w:sz w:val="22"/>
          <w:szCs w:val="22"/>
        </w:rPr>
        <w:t xml:space="preserve">The following elements are embedded directly in the source code and cannot be changed through the user interface. Updating them requires editing isora_v3.jsx.</w:t>
      </w:r>
    </w:p>
    <w:p>
      <w:pPr>
        <w:pStyle w:val="Heading3"/>
        <w:spacing w:after="80" w:before="200"/>
      </w:pPr>
      <w:r>
        <w:rPr>
          <w:rFonts w:ascii="Arial" w:cs="Arial" w:eastAsia="Arial" w:hAnsi="Arial"/>
          <w:b/>
          <w:bCs/>
          <w:color w:val="404040"/>
          <w:sz w:val="22"/>
          <w:szCs w:val="22"/>
        </w:rPr>
        <w:t xml:space="preserve">1. Country-to-Region/Income Guide (186 entries)</w:t>
      </w:r>
    </w:p>
    <w:p>
      <w:pPr>
        <w:spacing w:after="120"/>
      </w:pPr>
      <w:r>
        <w:rPr>
          <w:rFonts w:ascii="Arial" w:cs="Arial" w:eastAsia="Arial" w:hAnsi="Arial"/>
          <w:sz w:val="22"/>
          <w:szCs w:val="22"/>
        </w:rPr>
        <w:t xml:space="preserve">The entire lookup table mapping each ISORA jurisdiction name to its World Bank region and income group is hardcoded in the GD array (lines 6–193). Six entries are manually assigned for sub-national entities or territories without separate World Bank classifications: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ISORA Name</w:t>
            </w:r>
          </w:p>
        </w:tc>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Region Assigned</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Income Assigned</w:t>
            </w:r>
          </w:p>
        </w:tc>
        <w:tc>
          <w:tcPr>
            <w:tcW w:type="dxa" w:w="3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Anguilla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Latin America &amp; Caribbean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income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British Overseas Territory, Caribbean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Cook Islands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 Asia &amp; Pacific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middle income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Self-governing in free association with New Zealand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Montserrat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Latin America &amp; Caribbean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income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British Overseas Territory, Caribbean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Niue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 Asia &amp; Pacific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middle income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Self-governing in free association with New Zealand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Republika Srpska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Europe &amp; Central Asia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middle income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Entity within Bosnia and Herzegovina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Virgin Islands, British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Latin America &amp; Caribbean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income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British Overseas Territory, Caribbean</w:t>
            </w:r>
          </w:p>
        </w:tc>
      </w:tr>
    </w:tbl>
    <w:p>
      <w:pPr>
        <w:spacing w:after="80"/>
      </w:pPr>
      <w:r>
        <w:t xml:space="preserve"/>
      </w:r>
    </w:p>
    <w:p>
      <w:pPr>
        <w:pStyle w:val="Heading3"/>
        <w:spacing w:after="80" w:before="200"/>
      </w:pPr>
      <w:r>
        <w:rPr>
          <w:rFonts w:ascii="Arial" w:cs="Arial" w:eastAsia="Arial" w:hAnsi="Arial"/>
          <w:b/>
          <w:bCs/>
          <w:color w:val="404040"/>
          <w:sz w:val="22"/>
          <w:szCs w:val="22"/>
        </w:rPr>
        <w:t xml:space="preserve">2. World Bank Regions (7 fixed)</w:t>
      </w:r>
    </w:p>
    <w:p>
      <w:pPr>
        <w:spacing w:after="120"/>
      </w:pPr>
      <w:r>
        <w:rPr>
          <w:rFonts w:ascii="Arial" w:cs="Arial" w:eastAsia="Arial" w:hAnsi="Arial"/>
          <w:sz w:val="22"/>
          <w:szCs w:val="22"/>
        </w:rPr>
        <w:t xml:space="preserve">The seven region names are hardcoded in the RC object and must remain consistent with the country guide:</w:t>
      </w:r>
    </w:p>
    <w:p>
      <w:pPr>
        <w:pStyle w:val="ListParagraph"/>
        <w:numPr>
          <w:ilvl w:val="0"/>
          <w:numId w:val="2"/>
        </w:numPr>
        <w:spacing w:after="60"/>
      </w:pPr>
      <w:r>
        <w:rPr>
          <w:rFonts w:ascii="Arial" w:cs="Arial" w:eastAsia="Arial" w:hAnsi="Arial"/>
          <w:b w:val="false"/>
          <w:bCs w:val="false"/>
          <w:sz w:val="22"/>
          <w:szCs w:val="22"/>
        </w:rPr>
        <w:t xml:space="preserve">East Asia &amp; Pacific</w:t>
      </w:r>
    </w:p>
    <w:p>
      <w:pPr>
        <w:pStyle w:val="ListParagraph"/>
        <w:numPr>
          <w:ilvl w:val="0"/>
          <w:numId w:val="2"/>
        </w:numPr>
        <w:spacing w:after="60"/>
      </w:pPr>
      <w:r>
        <w:rPr>
          <w:rFonts w:ascii="Arial" w:cs="Arial" w:eastAsia="Arial" w:hAnsi="Arial"/>
          <w:b w:val="false"/>
          <w:bCs w:val="false"/>
          <w:sz w:val="22"/>
          <w:szCs w:val="22"/>
        </w:rPr>
        <w:t xml:space="preserve">Europe &amp; Central Asia</w:t>
      </w:r>
    </w:p>
    <w:p>
      <w:pPr>
        <w:pStyle w:val="ListParagraph"/>
        <w:numPr>
          <w:ilvl w:val="0"/>
          <w:numId w:val="2"/>
        </w:numPr>
        <w:spacing w:after="60"/>
      </w:pPr>
      <w:r>
        <w:rPr>
          <w:rFonts w:ascii="Arial" w:cs="Arial" w:eastAsia="Arial" w:hAnsi="Arial"/>
          <w:b w:val="false"/>
          <w:bCs w:val="false"/>
          <w:sz w:val="22"/>
          <w:szCs w:val="22"/>
        </w:rPr>
        <w:t xml:space="preserve">Latin America &amp; Caribbean</w:t>
      </w:r>
    </w:p>
    <w:p>
      <w:pPr>
        <w:pStyle w:val="ListParagraph"/>
        <w:numPr>
          <w:ilvl w:val="0"/>
          <w:numId w:val="2"/>
        </w:numPr>
        <w:spacing w:after="60"/>
      </w:pPr>
      <w:r>
        <w:rPr>
          <w:rFonts w:ascii="Arial" w:cs="Arial" w:eastAsia="Arial" w:hAnsi="Arial"/>
          <w:b w:val="false"/>
          <w:bCs w:val="false"/>
          <w:sz w:val="22"/>
          <w:szCs w:val="22"/>
        </w:rPr>
        <w:t xml:space="preserve">Middle East &amp; North Africa</w:t>
      </w:r>
    </w:p>
    <w:p>
      <w:pPr>
        <w:pStyle w:val="ListParagraph"/>
        <w:numPr>
          <w:ilvl w:val="0"/>
          <w:numId w:val="2"/>
        </w:numPr>
        <w:spacing w:after="60"/>
      </w:pPr>
      <w:r>
        <w:rPr>
          <w:rFonts w:ascii="Arial" w:cs="Arial" w:eastAsia="Arial" w:hAnsi="Arial"/>
          <w:b w:val="false"/>
          <w:bCs w:val="false"/>
          <w:sz w:val="22"/>
          <w:szCs w:val="22"/>
        </w:rPr>
        <w:t xml:space="preserve">North America</w:t>
      </w:r>
    </w:p>
    <w:p>
      <w:pPr>
        <w:pStyle w:val="ListParagraph"/>
        <w:numPr>
          <w:ilvl w:val="0"/>
          <w:numId w:val="2"/>
        </w:numPr>
        <w:spacing w:after="60"/>
      </w:pPr>
      <w:r>
        <w:rPr>
          <w:rFonts w:ascii="Arial" w:cs="Arial" w:eastAsia="Arial" w:hAnsi="Arial"/>
          <w:b w:val="false"/>
          <w:bCs w:val="false"/>
          <w:sz w:val="22"/>
          <w:szCs w:val="22"/>
        </w:rPr>
        <w:t xml:space="preserve">South Asia</w:t>
      </w:r>
    </w:p>
    <w:p>
      <w:pPr>
        <w:pStyle w:val="ListParagraph"/>
        <w:numPr>
          <w:ilvl w:val="0"/>
          <w:numId w:val="2"/>
        </w:numPr>
        <w:spacing w:after="60"/>
      </w:pPr>
      <w:r>
        <w:rPr>
          <w:rFonts w:ascii="Arial" w:cs="Arial" w:eastAsia="Arial" w:hAnsi="Arial"/>
          <w:b w:val="false"/>
          <w:bCs w:val="false"/>
          <w:sz w:val="22"/>
          <w:szCs w:val="22"/>
        </w:rPr>
        <w:t xml:space="preserve">Sub-Saharan Africa</w:t>
      </w:r>
    </w:p>
    <w:p>
      <w:pPr>
        <w:pStyle w:val="Heading3"/>
        <w:spacing w:after="80" w:before="200"/>
      </w:pPr>
      <w:r>
        <w:rPr>
          <w:rFonts w:ascii="Arial" w:cs="Arial" w:eastAsia="Arial" w:hAnsi="Arial"/>
          <w:b/>
          <w:bCs/>
          <w:color w:val="404040"/>
          <w:sz w:val="22"/>
          <w:szCs w:val="22"/>
        </w:rPr>
        <w:t xml:space="preserve">3. World Bank Income Groups (4 fixed)</w:t>
      </w:r>
    </w:p>
    <w:p>
      <w:pPr>
        <w:spacing w:after="120"/>
      </w:pPr>
      <w:r>
        <w:rPr>
          <w:rFonts w:ascii="Arial" w:cs="Arial" w:eastAsia="Arial" w:hAnsi="Arial"/>
          <w:sz w:val="22"/>
          <w:szCs w:val="22"/>
        </w:rPr>
        <w:t xml:space="preserve">The four income group names are hardcoded in the IC object:</w:t>
      </w:r>
    </w:p>
    <w:p>
      <w:pPr>
        <w:pStyle w:val="ListParagraph"/>
        <w:numPr>
          <w:ilvl w:val="0"/>
          <w:numId w:val="2"/>
        </w:numPr>
        <w:spacing w:after="60"/>
      </w:pPr>
      <w:r>
        <w:rPr>
          <w:rFonts w:ascii="Arial" w:cs="Arial" w:eastAsia="Arial" w:hAnsi="Arial"/>
          <w:b w:val="false"/>
          <w:bCs w:val="false"/>
          <w:sz w:val="22"/>
          <w:szCs w:val="22"/>
        </w:rPr>
        <w:t xml:space="preserve">High income</w:t>
      </w:r>
    </w:p>
    <w:p>
      <w:pPr>
        <w:pStyle w:val="ListParagraph"/>
        <w:numPr>
          <w:ilvl w:val="0"/>
          <w:numId w:val="2"/>
        </w:numPr>
        <w:spacing w:after="60"/>
      </w:pPr>
      <w:r>
        <w:rPr>
          <w:rFonts w:ascii="Arial" w:cs="Arial" w:eastAsia="Arial" w:hAnsi="Arial"/>
          <w:b w:val="false"/>
          <w:bCs w:val="false"/>
          <w:sz w:val="22"/>
          <w:szCs w:val="22"/>
        </w:rPr>
        <w:t xml:space="preserve">Upper middle income</w:t>
      </w:r>
    </w:p>
    <w:p>
      <w:pPr>
        <w:pStyle w:val="ListParagraph"/>
        <w:numPr>
          <w:ilvl w:val="0"/>
          <w:numId w:val="2"/>
        </w:numPr>
        <w:spacing w:after="60"/>
      </w:pPr>
      <w:r>
        <w:rPr>
          <w:rFonts w:ascii="Arial" w:cs="Arial" w:eastAsia="Arial" w:hAnsi="Arial"/>
          <w:b w:val="false"/>
          <w:bCs w:val="false"/>
          <w:sz w:val="22"/>
          <w:szCs w:val="22"/>
        </w:rPr>
        <w:t xml:space="preserve">Lower middle income</w:t>
      </w:r>
    </w:p>
    <w:p>
      <w:pPr>
        <w:pStyle w:val="ListParagraph"/>
        <w:numPr>
          <w:ilvl w:val="0"/>
          <w:numId w:val="2"/>
        </w:numPr>
        <w:spacing w:after="60"/>
      </w:pPr>
      <w:r>
        <w:rPr>
          <w:rFonts w:ascii="Arial" w:cs="Arial" w:eastAsia="Arial" w:hAnsi="Arial"/>
          <w:b w:val="false"/>
          <w:bCs w:val="false"/>
          <w:sz w:val="22"/>
          <w:szCs w:val="22"/>
        </w:rPr>
        <w:t xml:space="preserve">Low income</w:t>
      </w:r>
    </w:p>
    <w:p>
      <w:pPr>
        <w:pStyle w:val="Heading3"/>
        <w:spacing w:after="80" w:before="200"/>
      </w:pPr>
      <w:r>
        <w:rPr>
          <w:rFonts w:ascii="Arial" w:cs="Arial" w:eastAsia="Arial" w:hAnsi="Arial"/>
          <w:b/>
          <w:bCs/>
          <w:color w:val="404040"/>
          <w:sz w:val="22"/>
          <w:szCs w:val="22"/>
        </w:rPr>
        <w:t xml:space="preserve">4. Survey Years (6 fixed)</w:t>
      </w:r>
    </w:p>
    <w:p>
      <w:pPr>
        <w:spacing w:after="120"/>
      </w:pPr>
      <w:r>
        <w:rPr>
          <w:rFonts w:ascii="Arial" w:cs="Arial" w:eastAsia="Arial" w:hAnsi="Arial"/>
          <w:sz w:val="22"/>
          <w:szCs w:val="22"/>
        </w:rPr>
        <w:t xml:space="preserve">The years covered are hardcoded as ["2018", "2019", "2020", "2021", "2022", "2023"] in the YEARS constant. These must exactly match the column headers in the CSV. Adding a new year requires both adding it to this array and ensuring the new CSV contains that column.</w:t>
      </w:r>
    </w:p>
    <w:p>
      <w:pPr>
        <w:pStyle w:val="Heading3"/>
        <w:spacing w:after="80" w:before="200"/>
      </w:pPr>
      <w:r>
        <w:rPr>
          <w:rFonts w:ascii="Arial" w:cs="Arial" w:eastAsia="Arial" w:hAnsi="Arial"/>
          <w:b/>
          <w:bCs/>
          <w:color w:val="404040"/>
          <w:sz w:val="22"/>
          <w:szCs w:val="22"/>
        </w:rPr>
        <w:t xml:space="preserve">5. Region Colour Palette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Region</w:t>
            </w:r>
          </w:p>
        </w:tc>
        <w:tc>
          <w:tcPr>
            <w:tcW w:type="dxa" w:w="5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Colour</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 Asia &amp; Pacific</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#2E75B6 (blue)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Europe &amp; Central Asia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#5B9BD5 (light blue)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Latin America &amp; Caribbean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#ED7D31 (orange)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 East &amp; North Africa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#FFC000 (amber)</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 America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#70AD47 (green)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 Asia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#C00000 (dark red)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Sub-Saharan Africa</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#7030A0 (purple)</w:t>
            </w:r>
          </w:p>
        </w:tc>
      </w:tr>
    </w:tbl>
    <w:p>
      <w:pPr>
        <w:spacing w:after="80"/>
      </w:pPr>
      <w:r>
        <w:t xml:space="preserve"/>
      </w:r>
    </w:p>
    <w:p>
      <w:pPr>
        <w:pStyle w:val="Heading3"/>
        <w:spacing w:after="80" w:before="200"/>
      </w:pPr>
      <w:r>
        <w:rPr>
          <w:rFonts w:ascii="Arial" w:cs="Arial" w:eastAsia="Arial" w:hAnsi="Arial"/>
          <w:b/>
          <w:bCs/>
          <w:color w:val="404040"/>
          <w:sz w:val="22"/>
          <w:szCs w:val="22"/>
        </w:rPr>
        <w:t xml:space="preserve">6. Income Group Colour Palette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Income Group</w:t>
            </w:r>
          </w:p>
        </w:tc>
        <w:tc>
          <w:tcPr>
            <w:tcW w:type="dxa" w:w="5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Colour</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income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#2E75B6 (blue)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middle income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#70AD47 (green)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middle income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#ED7D31 (orange)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income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#C00000 (dark red)</w:t>
            </w:r>
          </w:p>
        </w:tc>
      </w:tr>
    </w:tbl>
    <w:p>
      <w:pPr>
        <w:spacing w:after="80"/>
      </w:pPr>
      <w:r>
        <w:t xml:space="preserve"/>
      </w:r>
    </w:p>
    <w:p>
      <w:pPr>
        <w:pStyle w:val="Heading3"/>
        <w:spacing w:after="80" w:before="200"/>
      </w:pPr>
      <w:r>
        <w:rPr>
          <w:rFonts w:ascii="Arial" w:cs="Arial" w:eastAsia="Arial" w:hAnsi="Arial"/>
          <w:b/>
          <w:bCs/>
          <w:color w:val="404040"/>
          <w:sz w:val="22"/>
          <w:szCs w:val="22"/>
        </w:rPr>
        <w:t xml:space="preserve">7. Year Colour Palette (for multi-year charts)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7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Colour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2018</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#2E75B6 (blue)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#ED7D31 (orange)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#70AD47 (green)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#FFC000 (amber)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#7030A0 (purple)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#C00000 (dark red)</w:t>
            </w:r>
          </w:p>
        </w:tc>
      </w:tr>
    </w:tbl>
    <w:p>
      <w:pPr>
        <w:spacing w:after="80"/>
      </w:pPr>
      <w:r>
        <w:t xml:space="preserve"/>
      </w:r>
    </w:p>
    <w:p>
      <w:pPr>
        <w:pStyle w:val="Heading3"/>
        <w:spacing w:after="80" w:before="200"/>
      </w:pPr>
      <w:r>
        <w:rPr>
          <w:rFonts w:ascii="Arial" w:cs="Arial" w:eastAsia="Arial" w:hAnsi="Arial"/>
          <w:b/>
          <w:bCs/>
          <w:color w:val="404040"/>
          <w:sz w:val="22"/>
          <w:szCs w:val="22"/>
        </w:rPr>
        <w:t xml:space="preserve">8. Suppressed Value Tokens</w:t>
      </w:r>
    </w:p>
    <w:p>
      <w:pPr>
        <w:spacing w:after="120"/>
      </w:pPr>
      <w:r>
        <w:rPr>
          <w:rFonts w:ascii="Arial" w:cs="Arial" w:eastAsia="Arial" w:hAnsi="Arial"/>
          <w:sz w:val="22"/>
          <w:szCs w:val="22"/>
        </w:rPr>
        <w:t xml:space="preserve">The following raw cell values are hardcoded as representing missing/suppressed data and are converted to null:</w:t>
      </w:r>
    </w:p>
    <w:p>
      <w:pPr>
        <w:spacing w:after="120"/>
      </w:pPr>
      <w:r>
        <w:rPr>
          <w:rFonts w:ascii="Arial" w:cs="Arial" w:eastAsia="Arial" w:hAnsi="Arial"/>
          <w:sz w:val="22"/>
          <w:szCs w:val="22"/>
        </w:rPr>
        <w:t xml:space="preserve">D, d, N/A, NA, n/a, Not Applicable, Not applicable, Not Available</w:t>
      </w:r>
    </w:p>
    <w:p>
      <w:pPr>
        <w:spacing w:after="120"/>
      </w:pPr>
      <w:r>
        <w:rPr>
          <w:rFonts w:ascii="Arial" w:cs="Arial" w:eastAsia="Arial" w:hAnsi="Arial"/>
          <w:sz w:val="22"/>
          <w:szCs w:val="22"/>
        </w:rPr>
        <w:t xml:space="preserve">If a future ISORA release uses a different suppression token, it must be added to the SUPP set.</w:t>
      </w:r>
    </w:p>
    <w:p>
      <w:pPr>
        <w:pStyle w:val="Heading3"/>
        <w:spacing w:after="80" w:before="200"/>
      </w:pPr>
      <w:r>
        <w:rPr>
          <w:rFonts w:ascii="Arial" w:cs="Arial" w:eastAsia="Arial" w:hAnsi="Arial"/>
          <w:b/>
          <w:bCs/>
          <w:color w:val="404040"/>
          <w:sz w:val="22"/>
          <w:szCs w:val="22"/>
        </w:rPr>
        <w:t xml:space="preserve">9. Indicator Type Detection Threshold</w:t>
      </w:r>
    </w:p>
    <w:p>
      <w:pPr>
        <w:spacing w:after="120"/>
      </w:pPr>
      <w:r>
        <w:rPr>
          <w:rFonts w:ascii="Arial" w:cs="Arial" w:eastAsia="Arial" w:hAnsi="Arial"/>
          <w:sz w:val="22"/>
          <w:szCs w:val="22"/>
        </w:rPr>
        <w:t xml:space="preserve">The threshold for classifying an indicator as numeric or yesno is hardcoded at 0.4 (40%). If more than 40% of non-null values are numbers, it is numeric; if more than 40% are Yes/No strings, it is Yes/No.</w:t>
      </w:r>
    </w:p>
    <w:p>
      <w:pPr>
        <w:pStyle w:val="Heading3"/>
        <w:spacing w:after="80" w:before="200"/>
      </w:pPr>
      <w:r>
        <w:rPr>
          <w:rFonts w:ascii="Arial" w:cs="Arial" w:eastAsia="Arial" w:hAnsi="Arial"/>
          <w:b/>
          <w:bCs/>
          <w:color w:val="404040"/>
          <w:sz w:val="22"/>
          <w:szCs w:val="22"/>
        </w:rPr>
        <w:t xml:space="preserve">10. IQR Outlier Fence</w:t>
      </w:r>
    </w:p>
    <w:p>
      <w:pPr>
        <w:spacing w:after="120"/>
      </w:pPr>
      <w:r>
        <w:rPr>
          <w:rFonts w:ascii="Arial" w:cs="Arial" w:eastAsia="Arial" w:hAnsi="Arial"/>
          <w:sz w:val="22"/>
          <w:szCs w:val="22"/>
        </w:rPr>
        <w:t xml:space="preserve">The outlier detection multiplier is hardcoded at 3×IQR (i.e. Q3 + 3 × interquartile range). This is a conservative fence — only extreme outliers are flagged. The standard Tukey fence uses 1.5×IQR; 3× is used here to avoid suppressing genuine variation in tax administration data.</w:t>
      </w:r>
    </w:p>
    <w:p>
      <w:pPr>
        <w:pStyle w:val="Heading3"/>
        <w:spacing w:after="80" w:before="200"/>
      </w:pPr>
      <w:r>
        <w:rPr>
          <w:rFonts w:ascii="Arial" w:cs="Arial" w:eastAsia="Arial" w:hAnsi="Arial"/>
          <w:b/>
          <w:bCs/>
          <w:color w:val="404040"/>
          <w:sz w:val="22"/>
          <w:szCs w:val="22"/>
        </w:rPr>
        <w:t xml:space="preserve">11. Default UI State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58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Selected year(s)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2022</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Chart mode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Country Ranking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by</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N countries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Sort direction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Descending (highest first)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 data labels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regions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7</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income groups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4</w:t>
            </w:r>
          </w:p>
        </w:tc>
      </w:tr>
    </w:tbl>
    <w:p>
      <w:pPr>
        <w:spacing w:after="80"/>
      </w:pPr>
      <w:r>
        <w:t xml:space="preserve"/>
      </w:r>
    </w:p>
    <w:p>
      <w:pPr>
        <w:pStyle w:val="Heading3"/>
        <w:spacing w:after="80" w:before="200"/>
      </w:pPr>
      <w:r>
        <w:rPr>
          <w:rFonts w:ascii="Arial" w:cs="Arial" w:eastAsia="Arial" w:hAnsi="Arial"/>
          <w:b/>
          <w:bCs/>
          <w:color w:val="404040"/>
          <w:sz w:val="22"/>
          <w:szCs w:val="22"/>
        </w:rPr>
        <w:t xml:space="preserve">12. Theme Regex Rules (14 rules + fallback)</w:t>
      </w:r>
    </w:p>
    <w:p>
      <w:pPr>
        <w:spacing w:after="120"/>
      </w:pPr>
      <w:r>
        <w:rPr>
          <w:rFonts w:ascii="Arial" w:cs="Arial" w:eastAsia="Arial" w:hAnsi="Arial"/>
          <w:sz w:val="22"/>
          <w:szCs w:val="22"/>
        </w:rPr>
        <w:t xml:space="preserve">The 14 regular expressions used to assign indicators to themes are hardcoded in the TR array. Each regex is anchored to the start of the indicator string (^). The order matters: the first matching rule wins. Indicators not matched by any rule fall into Theme 15 "Other Indicators".</w:t>
      </w:r>
    </w:p>
    <w:p>
      <w:pPr>
        <w:pStyle w:val="Heading3"/>
        <w:spacing w:after="80" w:before="200"/>
      </w:pPr>
      <w:r>
        <w:rPr>
          <w:rFonts w:ascii="Arial" w:cs="Arial" w:eastAsia="Arial" w:hAnsi="Arial"/>
          <w:b/>
          <w:bCs/>
          <w:color w:val="404040"/>
          <w:sz w:val="22"/>
          <w:szCs w:val="22"/>
        </w:rPr>
        <w:t xml:space="preserve">13. Indicator Dropdown Cap</w:t>
      </w:r>
    </w:p>
    <w:p>
      <w:pPr>
        <w:spacing w:after="120"/>
      </w:pPr>
      <w:r>
        <w:rPr>
          <w:rFonts w:ascii="Arial" w:cs="Arial" w:eastAsia="Arial" w:hAnsi="Arial"/>
          <w:sz w:val="22"/>
          <w:szCs w:val="22"/>
        </w:rPr>
        <w:t xml:space="preserve">The searchable indicator dropdown displays a maximum of 100 items at a time. If a search query returns more than 100 matches, a "N more — refine search" message is shown. This is a performance optimisation and can be raised by changing the .slice(0, 100) on line ~689.</w:t>
      </w:r>
    </w:p>
    <w:p>
      <w:pPr>
        <w:pStyle w:val="Heading3"/>
        <w:spacing w:after="80" w:before="200"/>
      </w:pPr>
      <w:r>
        <w:rPr>
          <w:rFonts w:ascii="Arial" w:cs="Arial" w:eastAsia="Arial" w:hAnsi="Arial"/>
          <w:b/>
          <w:bCs/>
          <w:color w:val="404040"/>
          <w:sz w:val="22"/>
          <w:szCs w:val="22"/>
        </w:rPr>
        <w:t xml:space="preserve">14. PNG Export Dimensions</w:t>
      </w:r>
    </w:p>
    <w:p>
      <w:pPr>
        <w:spacing w:after="120"/>
      </w:pPr>
      <w:r>
        <w:rPr>
          <w:rFonts w:ascii="Arial" w:cs="Arial" w:eastAsia="Arial" w:hAnsi="Arial"/>
          <w:sz w:val="22"/>
          <w:szCs w:val="22"/>
        </w:rPr>
        <w:t xml:space="preserve">The PNG export canvas dimensions are hardcoded:</w:t>
      </w:r>
    </w:p>
    <w:p>
      <w:pPr>
        <w:pStyle w:val="ListParagraph"/>
        <w:numPr>
          <w:ilvl w:val="0"/>
          <w:numId w:val="2"/>
        </w:numPr>
        <w:spacing w:after="60"/>
      </w:pPr>
      <w:r>
        <w:rPr>
          <w:rFonts w:ascii="Arial" w:cs="Arial" w:eastAsia="Arial" w:hAnsi="Arial"/>
          <w:b w:val="false"/>
          <w:bCs w:val="false"/>
          <w:sz w:val="22"/>
          <w:szCs w:val="22"/>
        </w:rPr>
        <w:t xml:space="preserve">Header height: 70px</w:t>
      </w:r>
    </w:p>
    <w:p>
      <w:pPr>
        <w:pStyle w:val="ListParagraph"/>
        <w:numPr>
          <w:ilvl w:val="0"/>
          <w:numId w:val="2"/>
        </w:numPr>
        <w:spacing w:after="60"/>
      </w:pPr>
      <w:r>
        <w:rPr>
          <w:rFonts w:ascii="Arial" w:cs="Arial" w:eastAsia="Arial" w:hAnsi="Arial"/>
          <w:b w:val="false"/>
          <w:bCs w:val="false"/>
          <w:sz w:val="22"/>
          <w:szCs w:val="22"/>
        </w:rPr>
        <w:t xml:space="preserve">Footer height: 30px</w:t>
      </w:r>
    </w:p>
    <w:p>
      <w:pPr>
        <w:pStyle w:val="ListParagraph"/>
        <w:numPr>
          <w:ilvl w:val="0"/>
          <w:numId w:val="2"/>
        </w:numPr>
        <w:spacing w:after="60"/>
      </w:pPr>
      <w:r>
        <w:rPr>
          <w:rFonts w:ascii="Arial" w:cs="Arial" w:eastAsia="Arial" w:hAnsi="Arial"/>
          <w:b w:val="false"/>
          <w:bCs w:val="false"/>
          <w:sz w:val="22"/>
          <w:szCs w:val="22"/>
        </w:rPr>
        <w:t xml:space="preserve">Resolution scale: 2× (retina)</w:t>
      </w:r>
    </w:p>
    <w:p>
      <w:pPr>
        <w:pStyle w:val="ListParagraph"/>
        <w:numPr>
          <w:ilvl w:val="0"/>
          <w:numId w:val="2"/>
        </w:numPr>
        <w:spacing w:after="60"/>
      </w:pPr>
      <w:r>
        <w:rPr>
          <w:rFonts w:ascii="Arial" w:cs="Arial" w:eastAsia="Arial" w:hAnsi="Arial"/>
          <w:b w:val="false"/>
          <w:bCs w:val="false"/>
          <w:sz w:val="22"/>
          <w:szCs w:val="22"/>
        </w:rPr>
        <w:t xml:space="preserve">Side padding: 48px</w:t>
      </w:r>
    </w:p>
    <w:p>
      <w:pPr>
        <w:pStyle w:val="ListParagraph"/>
        <w:numPr>
          <w:ilvl w:val="0"/>
          <w:numId w:val="2"/>
        </w:numPr>
        <w:spacing w:after="60"/>
      </w:pPr>
      <w:r>
        <w:rPr>
          <w:rFonts w:ascii="Arial" w:cs="Arial" w:eastAsia="Arial" w:hAnsi="Arial"/>
          <w:b w:val="false"/>
          <w:bCs w:val="false"/>
          <w:sz w:val="22"/>
          <w:szCs w:val="22"/>
        </w:rPr>
        <w:t xml:space="preserve">Header colour: #2E5FA3</w:t>
      </w:r>
    </w:p>
    <w:p>
      <w:pPr>
        <w:pStyle w:val="ListParagraph"/>
        <w:numPr>
          <w:ilvl w:val="0"/>
          <w:numId w:val="2"/>
        </w:numPr>
        <w:spacing w:after="60"/>
      </w:pPr>
      <w:r>
        <w:rPr>
          <w:rFonts w:ascii="Arial" w:cs="Arial" w:eastAsia="Arial" w:hAnsi="Arial"/>
          <w:b w:val="false"/>
          <w:bCs w:val="false"/>
          <w:sz w:val="22"/>
          <w:szCs w:val="22"/>
        </w:rPr>
        <w:t xml:space="preserve">Accent stripe colour: #FFC000</w:t>
      </w:r>
    </w:p>
    <w:p>
      <w:pPr>
        <w:pStyle w:val="Heading3"/>
        <w:spacing w:after="80" w:before="200"/>
      </w:pPr>
      <w:r>
        <w:rPr>
          <w:rFonts w:ascii="Arial" w:cs="Arial" w:eastAsia="Arial" w:hAnsi="Arial"/>
          <w:b/>
          <w:bCs/>
          <w:color w:val="404040"/>
          <w:sz w:val="22"/>
          <w:szCs w:val="22"/>
        </w:rPr>
        <w:t xml:space="preserve">15. External Font Dependencies</w:t>
      </w:r>
    </w:p>
    <w:p>
      <w:pPr>
        <w:spacing w:after="120"/>
      </w:pPr>
      <w:r>
        <w:rPr>
          <w:rFonts w:ascii="Arial" w:cs="Arial" w:eastAsia="Arial" w:hAnsi="Arial"/>
          <w:sz w:val="22"/>
          <w:szCs w:val="22"/>
        </w:rPr>
        <w:t xml:space="preserve">The tool imports two fonts from Google Fonts via a CSS @import. These require an internet connection to load:</w:t>
      </w:r>
    </w:p>
    <w:p>
      <w:pPr>
        <w:pStyle w:val="ListParagraph"/>
        <w:numPr>
          <w:ilvl w:val="0"/>
          <w:numId w:val="2"/>
        </w:numPr>
        <w:spacing w:after="60"/>
      </w:pPr>
      <w:r>
        <w:rPr>
          <w:rFonts w:ascii="Arial" w:cs="Arial" w:eastAsia="Arial" w:hAnsi="Arial"/>
          <w:b w:val="false"/>
          <w:bCs w:val="false"/>
          <w:sz w:val="22"/>
          <w:szCs w:val="22"/>
        </w:rPr>
        <w:t xml:space="preserve">Outfit (weights 300, 400, 500, 600, 700) — body text, labels, UI</w:t>
      </w:r>
    </w:p>
    <w:p>
      <w:pPr>
        <w:pStyle w:val="ListParagraph"/>
        <w:numPr>
          <w:ilvl w:val="0"/>
          <w:numId w:val="2"/>
        </w:numPr>
        <w:spacing w:after="60"/>
      </w:pPr>
      <w:r>
        <w:rPr>
          <w:rFonts w:ascii="Arial" w:cs="Arial" w:eastAsia="Arial" w:hAnsi="Arial"/>
          <w:b w:val="false"/>
          <w:bCs w:val="false"/>
          <w:sz w:val="22"/>
          <w:szCs w:val="22"/>
        </w:rPr>
        <w:t xml:space="preserve">Barlow Condensed (weights 600, 700) — headings, stat values, brand name</w:t>
      </w:r>
    </w:p>
    <w:p>
      <w:pPr>
        <w:spacing w:after="120"/>
      </w:pPr>
      <w:r>
        <w:rPr>
          <w:rFonts w:ascii="Arial" w:cs="Arial" w:eastAsia="Arial" w:hAnsi="Arial"/>
          <w:sz w:val="22"/>
          <w:szCs w:val="22"/>
        </w:rPr>
        <w:t xml:space="preserve">If running in an offline environment, these can be replaced with system fonts by changing the @import line and --fn CSS variable.</w:t>
      </w:r>
    </w:p>
    <w:p>
      <w:pPr>
        <w:spacing w:after="80"/>
      </w:pPr>
      <w:r>
        <w:t xml:space="preserve"/>
      </w:r>
    </w:p>
    <w:p>
      <w:pPr>
        <w:pStyle w:val="Heading2"/>
        <w:pBdr>
          <w:bottom w:val="single" w:color="2E5FA3" w:sz="6" w:space="2"/>
        </w:pBdr>
        <w:spacing w:after="100" w:before="280"/>
      </w:pPr>
      <w:r>
        <w:rPr>
          <w:rFonts w:ascii="Arial" w:cs="Arial" w:eastAsia="Arial" w:hAnsi="Arial"/>
          <w:b/>
          <w:bCs/>
          <w:color w:val="2E5FA3"/>
          <w:sz w:val="26"/>
          <w:szCs w:val="26"/>
        </w:rPr>
        <w:t xml:space="preserve">Known Limitations</w:t>
      </w:r>
    </w:p>
    <w:p>
      <w:pPr>
        <w:pStyle w:val="ListParagraph"/>
        <w:numPr>
          <w:ilvl w:val="0"/>
          <w:numId w:val="2"/>
        </w:numPr>
        <w:spacing w:after="60"/>
      </w:pPr>
      <w:r>
        <w:rPr>
          <w:rFonts w:ascii="Arial" w:cs="Arial" w:eastAsia="Arial" w:hAnsi="Arial"/>
          <w:b w:val="false"/>
          <w:bCs w:val="false"/>
          <w:sz w:val="22"/>
          <w:szCs w:val="22"/>
        </w:rPr>
        <w:t xml:space="preserve">Categorical indicators (those with text responses other than Yes/No) currently render as empty charts. Supporting a distribution/frequency chart for these is a planned enhancement.</w:t>
      </w:r>
    </w:p>
    <w:p>
      <w:pPr>
        <w:pStyle w:val="ListParagraph"/>
        <w:numPr>
          <w:ilvl w:val="0"/>
          <w:numId w:val="2"/>
        </w:numPr>
        <w:spacing w:after="60"/>
      </w:pPr>
      <w:r>
        <w:rPr>
          <w:rFonts w:ascii="Arial" w:cs="Arial" w:eastAsia="Arial" w:hAnsi="Arial"/>
          <w:b w:val="false"/>
          <w:bCs w:val="false"/>
          <w:sz w:val="22"/>
          <w:szCs w:val="22"/>
        </w:rPr>
        <w:t xml:space="preserve">PNG export works best in Chrome and Edge. Safari may silently fail due to SVG blob URL restrictions.</w:t>
      </w:r>
    </w:p>
    <w:p>
      <w:pPr>
        <w:pStyle w:val="ListParagraph"/>
        <w:numPr>
          <w:ilvl w:val="0"/>
          <w:numId w:val="2"/>
        </w:numPr>
        <w:spacing w:after="60"/>
      </w:pPr>
      <w:r>
        <w:rPr>
          <w:rFonts w:ascii="Arial" w:cs="Arial" w:eastAsia="Arial" w:hAnsi="Arial"/>
          <w:b w:val="false"/>
          <w:bCs w:val="false"/>
          <w:sz w:val="22"/>
          <w:szCs w:val="22"/>
        </w:rPr>
        <w:t xml:space="preserve">The country guide is static. If a new ISORA round adds jurisdictions not in the current guide, they will be silently excluded from charts until the guide is updated.</w:t>
      </w:r>
    </w:p>
    <w:p>
      <w:pPr>
        <w:pStyle w:val="ListParagraph"/>
        <w:numPr>
          <w:ilvl w:val="0"/>
          <w:numId w:val="2"/>
        </w:numPr>
        <w:spacing w:after="60"/>
      </w:pPr>
      <w:r>
        <w:rPr>
          <w:rFonts w:ascii="Arial" w:cs="Arial" w:eastAsia="Arial" w:hAnsi="Arial"/>
          <w:b w:val="false"/>
          <w:bCs w:val="false"/>
          <w:sz w:val="22"/>
          <w:szCs w:val="22"/>
        </w:rPr>
        <w:t xml:space="preserve">All processing is client-side. On very low-end hardware, parsing the full dataset may take 30–60 seconds.</w:t>
      </w:r>
    </w:p>
    <w:p>
      <w:pPr>
        <w:pStyle w:val="ListParagraph"/>
        <w:numPr>
          <w:ilvl w:val="0"/>
          <w:numId w:val="2"/>
        </w:numPr>
        <w:spacing w:after="60"/>
      </w:pPr>
      <w:r>
        <w:rPr>
          <w:rFonts w:ascii="Arial" w:cs="Arial" w:eastAsia="Arial" w:hAnsi="Arial"/>
          <w:b w:val="false"/>
          <w:bCs w:val="false"/>
          <w:sz w:val="22"/>
          <w:szCs w:val="22"/>
        </w:rPr>
        <w:t xml:space="preserve">No data persistence. The user must re-upload the CSV file each time the page is refreshed.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2026-05-27T21:33:21.744Z</dcterms:created>
  <dcterms:modified xsi:type="dcterms:W3CDTF">2026-05-27T21:33:21.744Z</dcterms:modified>
</cp:coreProperties>
</file>

<file path=docProps/custom.xml><?xml version="1.0" encoding="utf-8"?>
<Properties xmlns="http://schemas.openxmlformats.org/officeDocument/2006/custom-properties" xmlns:vt="http://schemas.openxmlformats.org/officeDocument/2006/docPropsVTypes"/>
</file>