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32"/>
          <w:szCs w:val="32"/>
        </w:rPr>
        <w:t xml:space="preserve">INDIAN STOCK MARKET DIRECTION PREDICTION USING MACHINE LEARNING AND DEEP LEARNING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28"/>
          <w:szCs w:val="28"/>
        </w:rPr>
        <w:t xml:space="preserve">A PROJECT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 the award of the degree of</w:t>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28"/>
          <w:szCs w:val="28"/>
        </w:rPr>
        <w:t xml:space="preserve">BACHELOR OF COMPUTER APPLICATIONS</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180" w:before="0" w:line="360"/>
        <w:jc w:val="center"/>
      </w:pPr>
      <w:r>
        <w:rPr>
          <w:rFonts w:ascii="Times New Roman" w:cs="Times New Roman" w:eastAsia="Times New Roman" w:hAnsi="Times New Roman"/>
          <w:b/>
          <w:bCs/>
          <w:i w:val="false"/>
          <w:iCs w:val="false"/>
          <w:sz w:val="24"/>
          <w:szCs w:val="24"/>
        </w:rPr>
        <w:t xml:space="preserve">BY</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Arindam Pal  (BCA/40002/24)</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Sujal Kumar  (BCA/40005/24)</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Khushi Kumari  (BCA/40016/24)</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Sneha Tiwari  (BCA/40020/24)</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UNDER THE GUIDANCE OF</w:t>
      </w:r>
    </w:p>
    <w:p>
      <w:pPr>
        <w:spacing w:after="240" w:before="0" w:line="360"/>
        <w:jc w:val="center"/>
      </w:pPr>
      <w:r>
        <w:rPr>
          <w:rFonts w:ascii="Times New Roman" w:cs="Times New Roman" w:eastAsia="Times New Roman" w:hAnsi="Times New Roman"/>
          <w:b/>
          <w:bCs/>
          <w:i w:val="false"/>
          <w:iCs w:val="false"/>
          <w:sz w:val="24"/>
          <w:szCs w:val="24"/>
        </w:rPr>
        <w:t xml:space="preserve">Dr. Binod Kumar Sharma</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60" w:before="0" w:line="360"/>
        <w:jc w:val="center"/>
      </w:pPr>
      <w:r>
        <w:rPr>
          <w:rFonts w:ascii="Times New Roman" w:cs="Times New Roman" w:eastAsia="Times New Roman" w:hAnsi="Times New Roman"/>
          <w:b/>
          <w:bCs/>
          <w:i w:val="false"/>
          <w:iCs w:val="false"/>
          <w:sz w:val="24"/>
          <w:szCs w:val="24"/>
        </w:rPr>
        <w:t xml:space="preserve">BIRLA INSTITUTE OF TECHNOLOGY, MESRA</w:t>
      </w:r>
    </w:p>
    <w:p>
      <w:pPr>
        <w:spacing w:after="60" w:before="0" w:line="360"/>
        <w:jc w:val="center"/>
      </w:pPr>
      <w:r>
        <w:rPr>
          <w:rFonts w:ascii="Times New Roman" w:cs="Times New Roman" w:eastAsia="Times New Roman" w:hAnsi="Times New Roman"/>
          <w:b/>
          <w:bCs/>
          <w:i w:val="false"/>
          <w:iCs w:val="false"/>
          <w:sz w:val="24"/>
          <w:szCs w:val="24"/>
        </w:rPr>
        <w:t xml:space="preserve">(LALPUR UNIT), RANCHI, JHARKHAND, 834001</w:t>
      </w:r>
    </w:p>
    <w:p>
      <w:pPr>
        <w:spacing w:after="0" w:before="0" w:line="360"/>
        <w:jc w:val="center"/>
        <w:sectPr>
          <w:pgSz w:w="11906" w:h="16838" w:orient="portrait"/>
          <w:pgMar w:top="1440" w:right="1440" w:bottom="1440" w:left="2160" w:header="708" w:footer="708" w:gutter="0"/>
          <w:pgNumType/>
          <w:docGrid w:linePitch="360"/>
        </w:sectPr>
      </w:pPr>
      <w:r>
        <w:rPr>
          <w:rFonts w:ascii="Times New Roman" w:cs="Times New Roman" w:eastAsia="Times New Roman" w:hAnsi="Times New Roman"/>
          <w:b/>
          <w:bCs/>
          <w:i w:val="false"/>
          <w:iCs w:val="false"/>
          <w:sz w:val="24"/>
          <w:szCs w:val="24"/>
        </w:rPr>
        <w:t xml:space="preserve">(2026)</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400" w:before="0" w:line="360"/>
        <w:jc w:val="center"/>
      </w:pPr>
      <w:r>
        <w:rPr>
          <w:rFonts w:ascii="Times New Roman" w:cs="Times New Roman" w:eastAsia="Times New Roman" w:hAnsi="Times New Roman"/>
          <w:b/>
          <w:bCs/>
          <w:i w:val="false"/>
          <w:iCs w:val="false"/>
          <w:sz w:val="32"/>
          <w:szCs w:val="32"/>
        </w:rPr>
        <w:t xml:space="preserve">Certificate</w:t>
      </w:r>
    </w:p>
    <w:p>
      <w:pPr>
        <w:spacing w:after="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This is to certify that the contents of this project entitled "Indian Stock Market Direction Prediction Using Machine Learning and Deep Learning" is a Bonafide work carried out by Arindam Pal (BCA/40002/24), Sujal Kumar (BCA/40005/24), Khushi Kumari (BCA/40016/24), Sneha Tiwari (BCA/40020/24) in partial fulfillment of the requirement for the award of Bachelor of Computer Applications under my guidance.</w:t>
      </w:r>
    </w:p>
    <w:p>
      <w:pPr>
        <w:spacing w:after="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This is to further certify that the matter of the project has not been submitted by anyone else for the award of any degree.</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360"/>
        <w:jc w:val="right"/>
      </w:pPr>
      <w:r>
        <w:rPr>
          <w:rFonts w:ascii="Times New Roman" w:cs="Times New Roman" w:eastAsia="Times New Roman" w:hAnsi="Times New Roman"/>
          <w:sz w:val="24"/>
          <w:szCs w:val="24"/>
        </w:rPr>
        <w:t xml:space="preserve">(Dr. Binod Kumar Sharma)</w:t>
      </w:r>
    </w:p>
    <w:p>
      <w:pPr>
        <w:spacing w:after="0" w:line="360"/>
        <w:jc w:val="right"/>
      </w:pPr>
      <w:r>
        <w:rPr>
          <w:rFonts w:ascii="Times New Roman" w:cs="Times New Roman" w:eastAsia="Times New Roman" w:hAnsi="Times New Roman"/>
          <w:sz w:val="24"/>
          <w:szCs w:val="24"/>
        </w:rPr>
        <w:t xml:space="preserve">Department of Computer Science and Engineering</w:t>
      </w:r>
    </w:p>
    <w:p>
      <w:pPr>
        <w:spacing w:after="0" w:line="360"/>
        <w:jc w:val="right"/>
      </w:pPr>
      <w:r>
        <w:rPr>
          <w:rFonts w:ascii="Times New Roman" w:cs="Times New Roman" w:eastAsia="Times New Roman" w:hAnsi="Times New Roman"/>
          <w:sz w:val="24"/>
          <w:szCs w:val="24"/>
        </w:rPr>
        <w:t xml:space="preserve">Birla Institute of Technology, Mesra (Lalpur Unit)</w:t>
      </w:r>
    </w:p>
    <w:p>
      <w:pPr>
        <w:spacing w:after="0" w:line="360"/>
        <w:jc w:val="right"/>
      </w:pPr>
      <w:r>
        <w:rPr>
          <w:rFonts w:ascii="Times New Roman" w:cs="Times New Roman" w:eastAsia="Times New Roman" w:hAnsi="Times New Roman"/>
          <w:sz w:val="24"/>
          <w:szCs w:val="24"/>
        </w:rPr>
        <w:t xml:space="preserve">Ranchi, Jharkhand, 834001</w:t>
      </w:r>
    </w:p>
    <w:p>
      <w:r>
        <w:br w:type="pag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400" w:before="0" w:line="360"/>
        <w:jc w:val="center"/>
      </w:pPr>
      <w:r>
        <w:rPr>
          <w:rFonts w:ascii="Times New Roman" w:cs="Times New Roman" w:eastAsia="Times New Roman" w:hAnsi="Times New Roman"/>
          <w:b/>
          <w:bCs/>
          <w:i w:val="false"/>
          <w:iCs w:val="false"/>
          <w:sz w:val="32"/>
          <w:szCs w:val="32"/>
        </w:rPr>
        <w:t xml:space="preserve">Certificate of Approval</w:t>
      </w:r>
    </w:p>
    <w:p>
      <w:pPr>
        <w:spacing w:after="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foregoing project is hereby approved as a creditable work on "Indian Stock Market Direction Prediction Using Machine Learning and Deep Learning", carried out and presented in the manner satisfactory to warrant its acceptance as prerequisite to the degree for which it has been entitled.</w:t>
      </w:r>
    </w:p>
    <w:p>
      <w:pPr>
        <w:spacing w:after="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It is understood that by this approval the undersigned do not endorse any statement made or opinion expressed but approve work for the purpose for which it is submitted.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24"/>
          <w:szCs w:val="24"/>
        </w:rPr>
        <w:t xml:space="preserve">Committee for evaluation of the project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right" w:pos="8308"/>
        </w:tabs>
        <w:spacing w:after="0" w:line="360"/>
      </w:pPr>
      <w:r>
        <w:rPr>
          <w:rFonts w:ascii="Times New Roman" w:cs="Times New Roman" w:eastAsia="Times New Roman" w:hAnsi="Times New Roman"/>
          <w:sz w:val="24"/>
          <w:szCs w:val="24"/>
        </w:rPr>
        <w:t xml:space="preserve">External Examiner	Internal Examiner</w:t>
      </w:r>
    </w:p>
    <w:p>
      <w:pPr>
        <w:spacing w:after="0" w:line="240"/>
      </w:pPr>
      <w:r>
        <w:rPr>
          <w:rFonts w:ascii="Times New Roman" w:cs="Times New Roman" w:eastAsia="Times New Roman" w:hAnsi="Times New Roman"/>
          <w:sz w:val="24"/>
          <w:szCs w:val="24"/>
        </w:rPr>
        <w:t xml:space="preserve"/>
      </w:r>
    </w:p>
    <w:p>
      <w:pPr>
        <w:tabs>
          <w:tab w:val="right" w:pos="8308"/>
        </w:tabs>
        <w:spacing w:after="0" w:line="360"/>
      </w:pPr>
      <w:r>
        <w:rPr>
          <w:rFonts w:ascii="Times New Roman" w:cs="Times New Roman" w:eastAsia="Times New Roman" w:hAnsi="Times New Roman"/>
          <w:sz w:val="24"/>
          <w:szCs w:val="24"/>
        </w:rPr>
        <w:t xml:space="preserve">Date:	Date:</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val="false"/>
          <w:bCs w:val="false"/>
          <w:i w:val="false"/>
          <w:iCs w:val="false"/>
          <w:sz w:val="24"/>
          <w:szCs w:val="24"/>
        </w:rPr>
        <w:t xml:space="preserve">Professor In charge</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Birla Institute of Technology, Mesra</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(Lalpur Unit) Ranchi, Jharkhand, 834001</w:t>
      </w:r>
    </w:p>
    <w:p>
      <w:r>
        <w:br w:type="page"/>
      </w:r>
    </w:p>
    <w:p>
      <w:pPr>
        <w:spacing w:after="0" w:line="240"/>
      </w:pPr>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i w:val="false"/>
          <w:iCs w:val="false"/>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We wish to record our sincere gratitude to our guide, Dr. Binod Kumar Sharma, Department of Computer Science and Engineering, Birla Institute of Technology, Mesra (Lalpur Unit), for his guidance throughout the course of this project. His insistence on methodological rigour, in particular on validating a time series model in a manner that respects the order of time, shaped the direction of this work more than any other single factor, and the negative result reported in this report is a direct consequence of following that advice.</w:t>
      </w:r>
    </w:p>
    <w:p>
      <w:pPr>
        <w:spacing w:after="120" w:before="0" w:line="360"/>
        <w:jc w:val="both"/>
      </w:pPr>
      <w:r>
        <w:rPr>
          <w:rFonts w:ascii="Times New Roman" w:cs="Times New Roman" w:eastAsia="Times New Roman" w:hAnsi="Times New Roman"/>
          <w:sz w:val="24"/>
          <w:szCs w:val="24"/>
        </w:rPr>
        <w:t xml:space="preserve">We thank the Department of Computer Science and Engineering for providing the computing facilities and the academic environment in which this project was carried out.</w:t>
      </w:r>
    </w:p>
    <w:p>
      <w:pPr>
        <w:spacing w:after="120" w:before="0" w:line="360"/>
        <w:jc w:val="both"/>
      </w:pPr>
      <w:r>
        <w:rPr>
          <w:rFonts w:ascii="Times New Roman" w:cs="Times New Roman" w:eastAsia="Times New Roman" w:hAnsi="Times New Roman"/>
          <w:sz w:val="24"/>
          <w:szCs w:val="24"/>
        </w:rPr>
        <w:t xml:space="preserve">We also acknowledge the open source community whose libraries this project depends upon, in particular the maintainers of scikit-learn, XGBoost, TensorFlow, pandas, pandas-ta, Plotly, Streamlit and yfinance. The project would not have been feasible within a single semester without them.</w:t>
      </w:r>
    </w:p>
    <w:p>
      <w:pPr>
        <w:spacing w:after="120" w:before="0" w:line="360"/>
        <w:jc w:val="both"/>
      </w:pPr>
      <w:r>
        <w:rPr>
          <w:rFonts w:ascii="Times New Roman" w:cs="Times New Roman" w:eastAsia="Times New Roman" w:hAnsi="Times New Roman"/>
          <w:sz w:val="24"/>
          <w:szCs w:val="24"/>
        </w:rPr>
        <w:t xml:space="preserve">Finally, we thank our families and classmates for their encouragement and patience during the preparation of this work.</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008"/>
      </w:tblGrid>
      <w:tr>
        <w:tc>
          <w:tcPr>
            <w:tcW w:type="dxa" w:w="900"/>
            <w:shd w:fill="D9D9D9" w:val="clear"/>
            <w:tcMar>
              <w:top w:type="dxa" w:w="80"/>
              <w:left w:type="dxa" w:w="80"/>
              <w:bottom w:type="dxa" w:w="80"/>
              <w:right w:type="dxa" w:w="80"/>
            </w:tcMar>
          </w:tcPr>
          <w:p>
            <w:pPr>
              <w:spacing w:after="0" w:line="240"/>
              <w:jc w:val="center"/>
            </w:pPr>
            <w:r>
              <w:rPr>
                <w:rFonts w:ascii="Times New Roman" w:cs="Times New Roman" w:eastAsia="Times New Roman" w:hAnsi="Times New Roman"/>
                <w:b/>
                <w:bCs/>
                <w:sz w:val="22"/>
                <w:szCs w:val="22"/>
              </w:rPr>
              <w:t xml:space="preserve">Roll</w:t>
            </w:r>
          </w:p>
        </w:tc>
        <w:tc>
          <w:tcPr>
            <w:tcW w:type="dxa" w:w="3400"/>
            <w:shd w:fill="D9D9D9" w:val="clear"/>
            <w:tcMar>
              <w:top w:type="dxa" w:w="80"/>
              <w:left w:type="dxa" w:w="80"/>
              <w:bottom w:type="dxa" w:w="80"/>
              <w:right w:type="dxa" w:w="80"/>
            </w:tcMar>
          </w:tcPr>
          <w:p>
            <w:pPr>
              <w:spacing w:after="0" w:line="240"/>
              <w:jc w:val="center"/>
            </w:pPr>
            <w:r>
              <w:rPr>
                <w:rFonts w:ascii="Times New Roman" w:cs="Times New Roman" w:eastAsia="Times New Roman" w:hAnsi="Times New Roman"/>
                <w:b/>
                <w:bCs/>
                <w:sz w:val="22"/>
                <w:szCs w:val="22"/>
              </w:rPr>
              <w:t xml:space="preserve">Name</w:t>
            </w:r>
          </w:p>
        </w:tc>
        <w:tc>
          <w:tcPr>
            <w:tcW w:type="dxa" w:w="4008"/>
            <w:shd w:fill="D9D9D9" w:val="clear"/>
            <w:tcMar>
              <w:top w:type="dxa" w:w="80"/>
              <w:left w:type="dxa" w:w="80"/>
              <w:bottom w:type="dxa" w:w="80"/>
              <w:right w:type="dxa" w:w="80"/>
            </w:tcMar>
          </w:tcPr>
          <w:p>
            <w:pPr>
              <w:spacing w:after="0" w:line="240"/>
              <w:jc w:val="center"/>
            </w:pPr>
            <w:r>
              <w:rPr>
                <w:rFonts w:ascii="Times New Roman" w:cs="Times New Roman" w:eastAsia="Times New Roman" w:hAnsi="Times New Roman"/>
                <w:b/>
                <w:bCs/>
                <w:sz w:val="22"/>
                <w:szCs w:val="22"/>
              </w:rPr>
              <w:t xml:space="preserve">Signature / Date</w:t>
            </w:r>
          </w:p>
        </w:tc>
      </w:tr>
      <w:tr>
        <w:tc>
          <w:tcPr>
            <w:tcW w:type="dxa" w:w="9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1</w:t>
            </w:r>
          </w:p>
        </w:tc>
        <w:tc>
          <w:tcPr>
            <w:tcW w:type="dxa" w:w="34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Arindam Pal  (BCA/40002/24)</w:t>
            </w:r>
          </w:p>
        </w:tc>
        <w:tc>
          <w:tcPr>
            <w:tcW w:type="dxa" w:w="4008"/>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
            </w:r>
          </w:p>
        </w:tc>
      </w:tr>
      <w:tr>
        <w:tc>
          <w:tcPr>
            <w:tcW w:type="dxa" w:w="9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2</w:t>
            </w:r>
          </w:p>
        </w:tc>
        <w:tc>
          <w:tcPr>
            <w:tcW w:type="dxa" w:w="34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Sujal Kumar  (BCA/40005/24)</w:t>
            </w:r>
          </w:p>
        </w:tc>
        <w:tc>
          <w:tcPr>
            <w:tcW w:type="dxa" w:w="4008"/>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
            </w:r>
          </w:p>
        </w:tc>
      </w:tr>
      <w:tr>
        <w:tc>
          <w:tcPr>
            <w:tcW w:type="dxa" w:w="9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3</w:t>
            </w:r>
          </w:p>
        </w:tc>
        <w:tc>
          <w:tcPr>
            <w:tcW w:type="dxa" w:w="34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Khushi Kumari  (BCA/40016/24)</w:t>
            </w:r>
          </w:p>
        </w:tc>
        <w:tc>
          <w:tcPr>
            <w:tcW w:type="dxa" w:w="4008"/>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
            </w:r>
          </w:p>
        </w:tc>
      </w:tr>
      <w:tr>
        <w:tc>
          <w:tcPr>
            <w:tcW w:type="dxa" w:w="9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4</w:t>
            </w:r>
          </w:p>
        </w:tc>
        <w:tc>
          <w:tcPr>
            <w:tcW w:type="dxa" w:w="3400"/>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Sneha Tiwari  (BCA/40020/24)</w:t>
            </w:r>
          </w:p>
        </w:tc>
        <w:tc>
          <w:tcPr>
            <w:tcW w:type="dxa" w:w="4008"/>
            <w:tcMar>
              <w:top w:type="dxa" w:w="80"/>
              <w:left w:type="dxa" w:w="80"/>
              <w:bottom w:type="dxa" w:w="80"/>
              <w:right w:type="dxa" w:w="80"/>
            </w:tcMar>
          </w:tcPr>
          <w:p>
            <w:pPr>
              <w:spacing w:after="0" w:line="240"/>
              <w:jc w:val="center"/>
            </w:pPr>
            <w:r>
              <w:rPr>
                <w:rFonts w:ascii="Times New Roman" w:cs="Times New Roman" w:eastAsia="Times New Roman" w:hAnsi="Times New Roman"/>
                <w:b w:val="false"/>
                <w:bCs w:val="false"/>
                <w:sz w:val="22"/>
                <w:szCs w:val="22"/>
              </w:rPr>
              <w:t xml:space="preserve"/>
            </w:r>
          </w:p>
        </w:tc>
      </w:tr>
    </w:tbl>
    <w:p>
      <w:r>
        <w:br w:type="page"/>
      </w:r>
    </w:p>
    <w:p>
      <w:pPr>
        <w:spacing w:after="0" w:line="240"/>
      </w:pPr>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i w:val="false"/>
          <w:iCs w:val="false"/>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This project investigates whether the direction of the next trading day's close can be predicted for the Indian equity market using machine learning and deep learning models trained on historical price data. The system, named Disha, formulates the task as a three class classification problem, predicting whether an instrument will close UP, DOWN or NEUTRAL relative to a volatility aware threshold, and converts that prediction into a BUY, SELL or HOLD recommendation subject to a minimum confidence requirement.</w:t>
      </w:r>
    </w:p>
    <w:p>
      <w:pPr>
        <w:spacing w:after="120" w:before="0" w:line="360"/>
        <w:jc w:val="both"/>
      </w:pPr>
      <w:r>
        <w:rPr>
          <w:rFonts w:ascii="Times New Roman" w:cs="Times New Roman" w:eastAsia="Times New Roman" w:hAnsi="Times New Roman"/>
          <w:sz w:val="24"/>
          <w:szCs w:val="24"/>
        </w:rPr>
        <w:t xml:space="preserve">Validation used an expanding window walk forward scheme of four folds, each validating on a distinct market regime between 2020 and 2023, followed by a single evaluation on a sealed test window covering January 2024 onward. Accuracy was compared against a majority class baseline rather than random chance, and strategy performance was assessed with a transaction cost of 0.05 percent charged on every change of position. Across twenty four model and instrument combinations, sixteen fell within two standard errors of the majority class baseline and were therefore statistically indistinguishable from it, eight exceeded it by more than two standard errors, and none fell significantly below it. Macro averaged F1 score was approximately 1.91 times that of the constant baseline, indicating that the models do recover genuine class structure that raw accuracy conceals. However, only seven of twenty four combinations exceeded a simple buy and hold strategy on risk adjusted return after transaction costs. Increasing model complexity did not produce a consistent improvement, and the LSTM recorded the lowest mean accuracy of the three model families while consuming approximately ninety three percent of total training time.</w:t>
      </w:r>
    </w:p>
    <w:p>
      <w:pPr>
        <w:spacing w:after="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Stock market prediction, direction classification, Random Forest, XGBoost, Long Short Term Memory, walk forward validation, technical indicators, backtesting, NIFTY 50, National Stock Exchange.</w:t>
      </w:r>
    </w:p>
    <w:p>
      <w:r>
        <w:br w:type="page"/>
      </w:r>
    </w:p>
    <w:p>
      <w:pPr>
        <w:spacing w:after="0" w:line="240"/>
      </w:pPr>
      <w:r>
        <w:rPr>
          <w:rFonts w:ascii="Times New Roman" w:cs="Times New Roman" w:eastAsia="Times New Roman" w:hAnsi="Times New Roman"/>
          <w:sz w:val="24"/>
          <w:szCs w:val="24"/>
        </w:rPr>
        <w:t xml:space="preserve"/>
      </w:r>
    </w:p>
    <w:p>
      <w:pPr>
        <w:spacing w:after="360" w:before="0" w:line="360"/>
        <w:jc w:val="center"/>
      </w:pPr>
      <w:r>
        <w:rPr>
          <w:rFonts w:ascii="Times New Roman" w:cs="Times New Roman" w:eastAsia="Times New Roman" w:hAnsi="Times New Roman"/>
          <w:b/>
          <w:bCs/>
          <w:i w:val="false"/>
          <w:iCs w:val="false"/>
          <w:sz w:val="32"/>
          <w:szCs w:val="32"/>
        </w:rPr>
        <w:t xml:space="preserve">TABLE OF CONTENTS</w:t>
      </w:r>
    </w:p>
    <w:p>
      <w:pPr>
        <w:tabs>
          <w:tab w:val="right" w:pos="8308" w:leader="dot"/>
        </w:tabs>
        <w:spacing w:after="0" w:line="300"/>
        <w:ind w:left="0"/>
      </w:pPr>
      <w:r>
        <w:rPr>
          <w:rFonts w:ascii="Times New Roman" w:cs="Times New Roman" w:eastAsia="Times New Roman" w:hAnsi="Times New Roman"/>
          <w:b/>
          <w:bCs/>
          <w:sz w:val="24"/>
          <w:szCs w:val="24"/>
        </w:rPr>
        <w:t xml:space="preserve">Certificate	ii</w:t>
      </w:r>
    </w:p>
    <w:p>
      <w:pPr>
        <w:tabs>
          <w:tab w:val="right" w:pos="8308" w:leader="dot"/>
        </w:tabs>
        <w:spacing w:after="0" w:line="300"/>
        <w:ind w:left="0"/>
      </w:pPr>
      <w:r>
        <w:rPr>
          <w:rFonts w:ascii="Times New Roman" w:cs="Times New Roman" w:eastAsia="Times New Roman" w:hAnsi="Times New Roman"/>
          <w:b/>
          <w:bCs/>
          <w:sz w:val="24"/>
          <w:szCs w:val="24"/>
        </w:rPr>
        <w:t xml:space="preserve">Certificate of Approval	iii</w:t>
      </w:r>
    </w:p>
    <w:p>
      <w:pPr>
        <w:tabs>
          <w:tab w:val="right" w:pos="8308" w:leader="dot"/>
        </w:tabs>
        <w:spacing w:after="0" w:line="300"/>
        <w:ind w:left="0"/>
      </w:pPr>
      <w:r>
        <w:rPr>
          <w:rFonts w:ascii="Times New Roman" w:cs="Times New Roman" w:eastAsia="Times New Roman" w:hAnsi="Times New Roman"/>
          <w:b/>
          <w:bCs/>
          <w:sz w:val="24"/>
          <w:szCs w:val="24"/>
        </w:rPr>
        <w:t xml:space="preserve">Acknowledgement	iv</w:t>
      </w:r>
    </w:p>
    <w:p>
      <w:pPr>
        <w:tabs>
          <w:tab w:val="right" w:pos="8308" w:leader="dot"/>
        </w:tabs>
        <w:spacing w:after="0" w:line="300"/>
        <w:ind w:left="0"/>
      </w:pPr>
      <w:r>
        <w:rPr>
          <w:rFonts w:ascii="Times New Roman" w:cs="Times New Roman" w:eastAsia="Times New Roman" w:hAnsi="Times New Roman"/>
          <w:b/>
          <w:bCs/>
          <w:sz w:val="24"/>
          <w:szCs w:val="24"/>
        </w:rPr>
        <w:t xml:space="preserve">Abstract	v</w:t>
      </w:r>
    </w:p>
    <w:p>
      <w:pPr>
        <w:tabs>
          <w:tab w:val="right" w:pos="8308" w:leader="dot"/>
        </w:tabs>
        <w:spacing w:after="0" w:line="300"/>
        <w:ind w:left="0"/>
      </w:pPr>
      <w:r>
        <w:rPr>
          <w:rFonts w:ascii="Times New Roman" w:cs="Times New Roman" w:eastAsia="Times New Roman" w:hAnsi="Times New Roman"/>
          <w:b/>
          <w:bCs/>
          <w:sz w:val="24"/>
          <w:szCs w:val="24"/>
        </w:rPr>
        <w:t xml:space="preserve">Table of Contents	vi</w:t>
      </w:r>
    </w:p>
    <w:p>
      <w:pPr>
        <w:tabs>
          <w:tab w:val="right" w:pos="8308" w:leader="dot"/>
        </w:tabs>
        <w:spacing w:after="0" w:line="300"/>
        <w:ind w:left="0"/>
      </w:pPr>
      <w:r>
        <w:rPr>
          <w:rFonts w:ascii="Times New Roman" w:cs="Times New Roman" w:eastAsia="Times New Roman" w:hAnsi="Times New Roman"/>
          <w:b/>
          <w:bCs/>
          <w:sz w:val="24"/>
          <w:szCs w:val="24"/>
        </w:rPr>
        <w:t xml:space="preserve">List of Figures and Tables	viii</w:t>
      </w:r>
    </w:p>
    <w:p>
      <w:pPr>
        <w:spacing w:after="0" w:line="240"/>
      </w:pPr>
      <w:r>
        <w:rPr>
          <w:rFonts w:ascii="Times New Roman" w:cs="Times New Roman" w:eastAsia="Times New Roman" w:hAnsi="Times New Roman"/>
          <w:sz w:val="24"/>
          <w:szCs w:val="24"/>
        </w:rPr>
        <w:t xml:space="preserve"/>
      </w:r>
    </w:p>
    <w:p>
      <w:pPr>
        <w:tabs>
          <w:tab w:val="right" w:pos="8308" w:leader="dot"/>
        </w:tabs>
        <w:spacing w:after="0" w:line="300"/>
        <w:ind w:left="0"/>
      </w:pPr>
      <w:r>
        <w:rPr>
          <w:rFonts w:ascii="Times New Roman" w:cs="Times New Roman" w:eastAsia="Times New Roman" w:hAnsi="Times New Roman"/>
          <w:b/>
          <w:bCs/>
          <w:sz w:val="24"/>
          <w:szCs w:val="24"/>
        </w:rPr>
        <w:t xml:space="preserve">CHAPTER 1  INTRODUCTION	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1.1  Background	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1.2  Motivation	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1.3  Problem  Statement	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1.4  Research  Question	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1.5  Objectives	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1.6  Scope  and  Limitations	3</w:t>
      </w:r>
    </w:p>
    <w:p>
      <w:pPr>
        <w:tabs>
          <w:tab w:val="right" w:pos="8308" w:leader="dot"/>
        </w:tabs>
        <w:spacing w:after="0" w:line="300"/>
        <w:ind w:left="0"/>
      </w:pPr>
      <w:r>
        <w:rPr>
          <w:rFonts w:ascii="Times New Roman" w:cs="Times New Roman" w:eastAsia="Times New Roman" w:hAnsi="Times New Roman"/>
          <w:b/>
          <w:bCs/>
          <w:sz w:val="24"/>
          <w:szCs w:val="24"/>
        </w:rPr>
        <w:t xml:space="preserve">CHAPTER 2  LITERATURE REVIEW	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2.1  Deep  Learning  Approaches  to  Stock  Prediction	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2.2  Gradient  Boosting  and  Hybrid  Forecasting  Models	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2.3  Comparative  Studies  on  the  Indian  Equity  Market	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2.4  Foundations  of  the  Random  Forest  Algorithm	6</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2.5  Empirical  Behaviour  of  XGBoost	6</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2.6  Technical  Indicators  and  the  RSI	6</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2.7  Summary  of  Literature  and  Research  Gap	7</w:t>
      </w:r>
    </w:p>
    <w:p>
      <w:pPr>
        <w:tabs>
          <w:tab w:val="right" w:pos="8308" w:leader="dot"/>
        </w:tabs>
        <w:spacing w:after="0" w:line="300"/>
        <w:ind w:left="0"/>
      </w:pPr>
      <w:r>
        <w:rPr>
          <w:rFonts w:ascii="Times New Roman" w:cs="Times New Roman" w:eastAsia="Times New Roman" w:hAnsi="Times New Roman"/>
          <w:b/>
          <w:bCs/>
          <w:sz w:val="24"/>
          <w:szCs w:val="24"/>
        </w:rPr>
        <w:t xml:space="preserve">CHAPTER 3  SYSTEM ANALYSIS	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3.1  Analysis  of  Prevailing  Approaches	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3.2  Proposed  System	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3.3  Feasibility  Study	10</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3.4  Requirement  Specification	10</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3.4.1  Functional  Requirements	11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3.4.2  Non  Functional  Requirements	11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3.5  Hardware  and  Software  Requirements	12</w:t>
      </w:r>
    </w:p>
    <w:p>
      <w:pPr>
        <w:tabs>
          <w:tab w:val="right" w:pos="8308" w:leader="dot"/>
        </w:tabs>
        <w:spacing w:after="0" w:line="300"/>
        <w:ind w:left="0"/>
      </w:pPr>
      <w:r>
        <w:rPr>
          <w:rFonts w:ascii="Times New Roman" w:cs="Times New Roman" w:eastAsia="Times New Roman" w:hAnsi="Times New Roman"/>
          <w:b/>
          <w:bCs/>
          <w:sz w:val="24"/>
          <w:szCs w:val="24"/>
        </w:rPr>
        <w:t xml:space="preserve">CHAPTER 4  SYSTEM DESIGN	13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4.1  Architectural  Overview	13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4.2  Data  Flow  Through  the  System	14</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4.3  Module  Decomposition	14</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4.4  The  Instrument  Abstraction	15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4.5  The  Model  Abstraction  Layer	16</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4.6  Repository  Structure	16</w:t>
      </w:r>
    </w:p>
    <w:p>
      <w:pPr>
        <w:tabs>
          <w:tab w:val="right" w:pos="8308" w:leader="dot"/>
        </w:tabs>
        <w:spacing w:after="0" w:line="300"/>
        <w:ind w:left="0"/>
      </w:pPr>
      <w:r>
        <w:rPr>
          <w:rFonts w:ascii="Times New Roman" w:cs="Times New Roman" w:eastAsia="Times New Roman" w:hAnsi="Times New Roman"/>
          <w:b/>
          <w:bCs/>
          <w:sz w:val="24"/>
          <w:szCs w:val="24"/>
        </w:rPr>
        <w:t xml:space="preserve">CHAPTER 5  METHODOLOGY	18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5.1  Data  Acquisition	18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5.2  Data  Cleaning	18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5.3  Feature  Engineering	18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5.3.1  Technical  Indicators	18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5.3.2  Scale  Invariance	19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5.4  Macroeconomic  Features  and  Leakage  Control	20</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5.5  Target  Definition	20</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5.6  Walk  Forward  Validation  Design	21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5.7  Random  Forest  Configuration	21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5.8  XGBoost  Configuration	22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5.9  LSTM  Configuration	22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5.10  Backtesting  Engine	23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5.11  Recommendation  Layer  and  Confidence  Gate	24</w:t>
      </w:r>
    </w:p>
    <w:p>
      <w:pPr>
        <w:tabs>
          <w:tab w:val="right" w:pos="8308" w:leader="dot"/>
        </w:tabs>
        <w:spacing w:after="0" w:line="300"/>
        <w:ind w:left="0"/>
      </w:pPr>
      <w:r>
        <w:rPr>
          <w:rFonts w:ascii="Times New Roman" w:cs="Times New Roman" w:eastAsia="Times New Roman" w:hAnsi="Times New Roman"/>
          <w:b/>
          <w:bCs/>
          <w:sz w:val="24"/>
          <w:szCs w:val="24"/>
        </w:rPr>
        <w:t xml:space="preserve">CHAPTER 6  IMPLEMENTATION	25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6.1  Pipeline  Orchestration	25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6.2  Dashboard  Architecture	25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6.3  Instrument  Universe  Management	26</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6.4  On  Demand  Model  Training	27</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6.5  The  Loading  Interface	28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6.6  Multi  Resolution  Charting	29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6.7  Technical  Screener	29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6.8  Caching  Strategy	31</w:t>
      </w:r>
    </w:p>
    <w:p>
      <w:pPr>
        <w:tabs>
          <w:tab w:val="right" w:pos="8308" w:leader="dot"/>
        </w:tabs>
        <w:spacing w:after="0" w:line="300"/>
        <w:ind w:left="0"/>
      </w:pPr>
      <w:r>
        <w:rPr>
          <w:rFonts w:ascii="Times New Roman" w:cs="Times New Roman" w:eastAsia="Times New Roman" w:hAnsi="Times New Roman"/>
          <w:b/>
          <w:bCs/>
          <w:sz w:val="24"/>
          <w:szCs w:val="24"/>
        </w:rPr>
        <w:t xml:space="preserve">CHAPTER 7  RESULTS AND DISCUSSION	32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7.1  Exploratory  Data  Analysis	32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7.2  Walk  Forward  Fold  Results	33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7.3  Sealed  Test  Set  Results	33</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7.4  Statistical  Significance  Against  the  Baseline	35</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7.5  Confusion  Matrix  Analysis	37</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7.6  Trading  Performance  After  Costs	37</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7.7  Effect  of  Model  Complexity	38</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7.8  Computational  Cost	39</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7.9  Consolidated  Observations	39</w:t>
      </w:r>
    </w:p>
    <w:p>
      <w:pPr>
        <w:tabs>
          <w:tab w:val="right" w:pos="8308" w:leader="dot"/>
        </w:tabs>
        <w:spacing w:after="0" w:line="300"/>
        <w:ind w:left="0"/>
      </w:pPr>
      <w:r>
        <w:rPr>
          <w:rFonts w:ascii="Times New Roman" w:cs="Times New Roman" w:eastAsia="Times New Roman" w:hAnsi="Times New Roman"/>
          <w:b/>
          <w:bCs/>
          <w:sz w:val="24"/>
          <w:szCs w:val="24"/>
        </w:rPr>
        <w:t xml:space="preserve">CHAPTER 8  CONCLUSION	41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8.1  Summary  of  Work	41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8.2  Answer  to  the  Research  Question	41</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8.3  Limitations	42</w:t>
      </w:r>
    </w:p>
    <w:p>
      <w:pPr>
        <w:tabs>
          <w:tab w:val="right" w:pos="8308" w:leader="dot"/>
        </w:tabs>
        <w:spacing w:after="0" w:line="300"/>
        <w:ind w:left="360"/>
      </w:pPr>
      <w:r>
        <w:rPr>
          <w:rFonts w:ascii="Times New Roman" w:cs="Times New Roman" w:eastAsia="Times New Roman" w:hAnsi="Times New Roman"/>
          <w:b w:val="false"/>
          <w:bCs w:val="false"/>
          <w:sz w:val="24"/>
          <w:szCs w:val="24"/>
        </w:rPr>
        <w:t xml:space="preserve">8.4  Future  Scope	42</w:t>
      </w:r>
    </w:p>
    <w:p>
      <w:pPr>
        <w:tabs>
          <w:tab w:val="right" w:pos="8308" w:leader="dot"/>
        </w:tabs>
        <w:spacing w:after="0" w:line="300"/>
        <w:ind w:left="0"/>
      </w:pPr>
      <w:r>
        <w:rPr>
          <w:rFonts w:ascii="Times New Roman" w:cs="Times New Roman" w:eastAsia="Times New Roman" w:hAnsi="Times New Roman"/>
          <w:b/>
          <w:bCs/>
          <w:sz w:val="24"/>
          <w:szCs w:val="24"/>
        </w:rPr>
        <w:t xml:space="preserve">BIBLIOGRAPHY	44</w:t>
      </w:r>
    </w:p>
    <w:p>
      <w:r>
        <w:br w:type="page"/>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30"/>
          <w:szCs w:val="30"/>
        </w:rPr>
        <w:t xml:space="preserve">LIST OF FIGURES</w:t>
      </w:r>
    </w:p>
    <w:p>
      <w:pPr>
        <w:tabs>
          <w:tab w:val="right" w:pos="8308" w:leader="dot"/>
        </w:tabs>
        <w:spacing w:after="0" w:line="300"/>
      </w:pPr>
      <w:r>
        <w:rPr>
          <w:rFonts w:ascii="Times New Roman" w:cs="Times New Roman" w:eastAsia="Times New Roman" w:hAnsi="Times New Roman"/>
          <w:sz w:val="24"/>
          <w:szCs w:val="24"/>
        </w:rPr>
        <w:t xml:space="preserve">Figure 4.1  End to end system architecture	13</w:t>
      </w:r>
    </w:p>
    <w:p>
      <w:pPr>
        <w:tabs>
          <w:tab w:val="right" w:pos="8308" w:leader="dot"/>
        </w:tabs>
        <w:spacing w:after="0" w:line="300"/>
      </w:pPr>
      <w:r>
        <w:rPr>
          <w:rFonts w:ascii="Times New Roman" w:cs="Times New Roman" w:eastAsia="Times New Roman" w:hAnsi="Times New Roman"/>
          <w:sz w:val="24"/>
          <w:szCs w:val="24"/>
        </w:rPr>
        <w:t xml:space="preserve">Figure 4.2  Pipeline and dual model design as presented inside the application	14</w:t>
      </w:r>
    </w:p>
    <w:p>
      <w:pPr>
        <w:tabs>
          <w:tab w:val="right" w:pos="8308" w:leader="dot"/>
        </w:tabs>
        <w:spacing w:after="0" w:line="300"/>
      </w:pPr>
      <w:r>
        <w:rPr>
          <w:rFonts w:ascii="Times New Roman" w:cs="Times New Roman" w:eastAsia="Times New Roman" w:hAnsi="Times New Roman"/>
          <w:sz w:val="24"/>
          <w:szCs w:val="24"/>
        </w:rPr>
        <w:t xml:space="preserve">Figure 5.1  Expanding window walk forward validation scheme	21</w:t>
      </w:r>
    </w:p>
    <w:p>
      <w:pPr>
        <w:tabs>
          <w:tab w:val="right" w:pos="8308" w:leader="dot"/>
        </w:tabs>
        <w:spacing w:after="0" w:line="300"/>
      </w:pPr>
      <w:r>
        <w:rPr>
          <w:rFonts w:ascii="Times New Roman" w:cs="Times New Roman" w:eastAsia="Times New Roman" w:hAnsi="Times New Roman"/>
          <w:sz w:val="24"/>
          <w:szCs w:val="24"/>
        </w:rPr>
        <w:t xml:space="preserve">Figure 6.1  Main dashboard showing the prediction for the next session	26</w:t>
      </w:r>
    </w:p>
    <w:p>
      <w:pPr>
        <w:tabs>
          <w:tab w:val="right" w:pos="8308" w:leader="dot"/>
        </w:tabs>
        <w:spacing w:after="0" w:line="300"/>
      </w:pPr>
      <w:r>
        <w:rPr>
          <w:rFonts w:ascii="Times New Roman" w:cs="Times New Roman" w:eastAsia="Times New Roman" w:hAnsi="Times New Roman"/>
          <w:sz w:val="24"/>
          <w:szCs w:val="24"/>
        </w:rPr>
        <w:t xml:space="preserve">Figure 6.2  Untrained instrument state offering quick and full training	28</w:t>
      </w:r>
    </w:p>
    <w:p>
      <w:pPr>
        <w:tabs>
          <w:tab w:val="right" w:pos="8308" w:leader="dot"/>
        </w:tabs>
        <w:spacing w:after="0" w:line="300"/>
      </w:pPr>
      <w:r>
        <w:rPr>
          <w:rFonts w:ascii="Times New Roman" w:cs="Times New Roman" w:eastAsia="Times New Roman" w:hAnsi="Times New Roman"/>
          <w:sz w:val="24"/>
          <w:szCs w:val="24"/>
        </w:rPr>
        <w:t xml:space="preserve">Figure 6.3  Disha loading interface during a training run	29</w:t>
      </w:r>
    </w:p>
    <w:p>
      <w:pPr>
        <w:tabs>
          <w:tab w:val="right" w:pos="8308" w:leader="dot"/>
        </w:tabs>
        <w:spacing w:after="0" w:line="300"/>
      </w:pPr>
      <w:r>
        <w:rPr>
          <w:rFonts w:ascii="Times New Roman" w:cs="Times New Roman" w:eastAsia="Times New Roman" w:hAnsi="Times New Roman"/>
          <w:sz w:val="24"/>
          <w:szCs w:val="24"/>
        </w:rPr>
        <w:t xml:space="preserve">Figure 6.4  Price chart with moving averages and relative strength index	29</w:t>
      </w:r>
    </w:p>
    <w:p>
      <w:pPr>
        <w:tabs>
          <w:tab w:val="right" w:pos="8308" w:leader="dot"/>
        </w:tabs>
        <w:spacing w:after="0" w:line="300"/>
      </w:pPr>
      <w:r>
        <w:rPr>
          <w:rFonts w:ascii="Times New Roman" w:cs="Times New Roman" w:eastAsia="Times New Roman" w:hAnsi="Times New Roman"/>
          <w:sz w:val="24"/>
          <w:szCs w:val="24"/>
        </w:rPr>
        <w:t xml:space="preserve">Figure 6.5  Technical screener showing the RSI screen and breakout table	30</w:t>
      </w:r>
    </w:p>
    <w:p>
      <w:pPr>
        <w:tabs>
          <w:tab w:val="right" w:pos="8308" w:leader="dot"/>
        </w:tabs>
        <w:spacing w:after="0" w:line="300"/>
      </w:pPr>
      <w:r>
        <w:rPr>
          <w:rFonts w:ascii="Times New Roman" w:cs="Times New Roman" w:eastAsia="Times New Roman" w:hAnsi="Times New Roman"/>
          <w:sz w:val="24"/>
          <w:szCs w:val="24"/>
        </w:rPr>
        <w:t xml:space="preserve">Figure 6.6  Bollinger band breakout chart with breaching closes circled	30</w:t>
      </w:r>
    </w:p>
    <w:p>
      <w:pPr>
        <w:tabs>
          <w:tab w:val="right" w:pos="8308" w:leader="dot"/>
        </w:tabs>
        <w:spacing w:after="0" w:line="300"/>
      </w:pPr>
      <w:r>
        <w:rPr>
          <w:rFonts w:ascii="Times New Roman" w:cs="Times New Roman" w:eastAsia="Times New Roman" w:hAnsi="Times New Roman"/>
          <w:sz w:val="24"/>
          <w:szCs w:val="24"/>
        </w:rPr>
        <w:t xml:space="preserve">Figure 7.1  Track record of settled calls against realised outcomes	34</w:t>
      </w:r>
    </w:p>
    <w:p>
      <w:pPr>
        <w:tabs>
          <w:tab w:val="right" w:pos="8308" w:leader="dot"/>
        </w:tabs>
        <w:spacing w:after="0" w:line="300"/>
      </w:pPr>
      <w:r>
        <w:rPr>
          <w:rFonts w:ascii="Times New Roman" w:cs="Times New Roman" w:eastAsia="Times New Roman" w:hAnsi="Times New Roman"/>
          <w:sz w:val="24"/>
          <w:szCs w:val="24"/>
        </w:rPr>
        <w:t xml:space="preserve">Figure 7.2  Model comparison on the sealed test set	35</w:t>
      </w:r>
    </w:p>
    <w:p>
      <w:pPr>
        <w:spacing w:after="0" w:line="24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bCs/>
          <w:i w:val="false"/>
          <w:iCs w:val="false"/>
          <w:sz w:val="30"/>
          <w:szCs w:val="30"/>
        </w:rPr>
        <w:t xml:space="preserve">LIST OF TABLES</w:t>
      </w:r>
    </w:p>
    <w:p>
      <w:pPr>
        <w:tabs>
          <w:tab w:val="right" w:pos="8308" w:leader="dot"/>
        </w:tabs>
        <w:spacing w:after="0" w:line="300"/>
      </w:pPr>
      <w:r>
        <w:rPr>
          <w:rFonts w:ascii="Times New Roman" w:cs="Times New Roman" w:eastAsia="Times New Roman" w:hAnsi="Times New Roman"/>
          <w:sz w:val="24"/>
          <w:szCs w:val="24"/>
        </w:rPr>
        <w:t xml:space="preserve">Table 2.1  Summary of reviewed literature and relation to this project	7</w:t>
      </w:r>
    </w:p>
    <w:p>
      <w:pPr>
        <w:tabs>
          <w:tab w:val="right" w:pos="8308" w:leader="dot"/>
        </w:tabs>
        <w:spacing w:after="0" w:line="300"/>
      </w:pPr>
      <w:r>
        <w:rPr>
          <w:rFonts w:ascii="Times New Roman" w:cs="Times New Roman" w:eastAsia="Times New Roman" w:hAnsi="Times New Roman"/>
          <w:sz w:val="24"/>
          <w:szCs w:val="24"/>
        </w:rPr>
        <w:t xml:space="preserve">Table 3.1  Functional requirements	11</w:t>
      </w:r>
    </w:p>
    <w:p>
      <w:pPr>
        <w:tabs>
          <w:tab w:val="right" w:pos="8308" w:leader="dot"/>
        </w:tabs>
        <w:spacing w:after="0" w:line="300"/>
      </w:pPr>
      <w:r>
        <w:rPr>
          <w:rFonts w:ascii="Times New Roman" w:cs="Times New Roman" w:eastAsia="Times New Roman" w:hAnsi="Times New Roman"/>
          <w:sz w:val="24"/>
          <w:szCs w:val="24"/>
        </w:rPr>
        <w:t xml:space="preserve">Table 3.2  Software environment and library versions	12</w:t>
      </w:r>
    </w:p>
    <w:p>
      <w:pPr>
        <w:tabs>
          <w:tab w:val="right" w:pos="8308" w:leader="dot"/>
        </w:tabs>
        <w:spacing w:after="0" w:line="300"/>
      </w:pPr>
      <w:r>
        <w:rPr>
          <w:rFonts w:ascii="Times New Roman" w:cs="Times New Roman" w:eastAsia="Times New Roman" w:hAnsi="Times New Roman"/>
          <w:sz w:val="24"/>
          <w:szCs w:val="24"/>
        </w:rPr>
        <w:t xml:space="preserve">Table 4.1  Module decomposition and responsibilities	14</w:t>
      </w:r>
    </w:p>
    <w:p>
      <w:pPr>
        <w:tabs>
          <w:tab w:val="right" w:pos="8308" w:leader="dot"/>
        </w:tabs>
        <w:spacing w:after="0" w:line="300"/>
      </w:pPr>
      <w:r>
        <w:rPr>
          <w:rFonts w:ascii="Times New Roman" w:cs="Times New Roman" w:eastAsia="Times New Roman" w:hAnsi="Times New Roman"/>
          <w:sz w:val="24"/>
          <w:szCs w:val="24"/>
        </w:rPr>
        <w:t xml:space="preserve">Table 5.1  Scale invariant features derived for every instrument	19</w:t>
      </w:r>
    </w:p>
    <w:p>
      <w:pPr>
        <w:tabs>
          <w:tab w:val="right" w:pos="8308" w:leader="dot"/>
        </w:tabs>
        <w:spacing w:after="0" w:line="300"/>
      </w:pPr>
      <w:r>
        <w:rPr>
          <w:rFonts w:ascii="Times New Roman" w:cs="Times New Roman" w:eastAsia="Times New Roman" w:hAnsi="Times New Roman"/>
          <w:sz w:val="24"/>
          <w:szCs w:val="24"/>
        </w:rPr>
        <w:t xml:space="preserve">Table 5.2  Walk forward fold definitions and market regimes	21</w:t>
      </w:r>
    </w:p>
    <w:p>
      <w:pPr>
        <w:tabs>
          <w:tab w:val="right" w:pos="8308" w:leader="dot"/>
        </w:tabs>
        <w:spacing w:after="0" w:line="300"/>
      </w:pPr>
      <w:r>
        <w:rPr>
          <w:rFonts w:ascii="Times New Roman" w:cs="Times New Roman" w:eastAsia="Times New Roman" w:hAnsi="Times New Roman"/>
          <w:sz w:val="24"/>
          <w:szCs w:val="24"/>
        </w:rPr>
        <w:t xml:space="preserve">Table 5.3  Random Forest hyperparameters	21</w:t>
      </w:r>
    </w:p>
    <w:p>
      <w:pPr>
        <w:tabs>
          <w:tab w:val="right" w:pos="8308" w:leader="dot"/>
        </w:tabs>
        <w:spacing w:after="0" w:line="300"/>
      </w:pPr>
      <w:r>
        <w:rPr>
          <w:rFonts w:ascii="Times New Roman" w:cs="Times New Roman" w:eastAsia="Times New Roman" w:hAnsi="Times New Roman"/>
          <w:sz w:val="24"/>
          <w:szCs w:val="24"/>
        </w:rPr>
        <w:t xml:space="preserve">Table 5.4  XGBoost hyperparameters	22</w:t>
      </w:r>
    </w:p>
    <w:p>
      <w:pPr>
        <w:tabs>
          <w:tab w:val="right" w:pos="8308" w:leader="dot"/>
        </w:tabs>
        <w:spacing w:after="0" w:line="300"/>
      </w:pPr>
      <w:r>
        <w:rPr>
          <w:rFonts w:ascii="Times New Roman" w:cs="Times New Roman" w:eastAsia="Times New Roman" w:hAnsi="Times New Roman"/>
          <w:sz w:val="24"/>
          <w:szCs w:val="24"/>
        </w:rPr>
        <w:t xml:space="preserve">Table 5.5  LSTM architecture and training configuration	22</w:t>
      </w:r>
    </w:p>
    <w:p>
      <w:pPr>
        <w:tabs>
          <w:tab w:val="right" w:pos="8308" w:leader="dot"/>
        </w:tabs>
        <w:spacing w:after="0" w:line="300"/>
      </w:pPr>
      <w:r>
        <w:rPr>
          <w:rFonts w:ascii="Times New Roman" w:cs="Times New Roman" w:eastAsia="Times New Roman" w:hAnsi="Times New Roman"/>
          <w:sz w:val="24"/>
          <w:szCs w:val="24"/>
        </w:rPr>
        <w:t xml:space="preserve">Table 6.1  Dashboard views and their data dependencies	26</w:t>
      </w:r>
    </w:p>
    <w:p>
      <w:pPr>
        <w:tabs>
          <w:tab w:val="right" w:pos="8308" w:leader="dot"/>
        </w:tabs>
        <w:spacing w:after="0" w:line="300"/>
      </w:pPr>
      <w:r>
        <w:rPr>
          <w:rFonts w:ascii="Times New Roman" w:cs="Times New Roman" w:eastAsia="Times New Roman" w:hAnsi="Times New Roman"/>
          <w:sz w:val="24"/>
          <w:szCs w:val="24"/>
        </w:rPr>
        <w:t xml:space="preserve">Table 7.1  Class balance of the NIFTY 50 labelled dataset	32</w:t>
      </w:r>
    </w:p>
    <w:p>
      <w:pPr>
        <w:tabs>
          <w:tab w:val="right" w:pos="8308" w:leader="dot"/>
        </w:tabs>
        <w:spacing w:after="0" w:line="300"/>
      </w:pPr>
      <w:r>
        <w:rPr>
          <w:rFonts w:ascii="Times New Roman" w:cs="Times New Roman" w:eastAsia="Times New Roman" w:hAnsi="Times New Roman"/>
          <w:sz w:val="24"/>
          <w:szCs w:val="24"/>
        </w:rPr>
        <w:t xml:space="preserve">Table 7.2  Walk forward fold results for the NIFTY 50 index	33</w:t>
      </w:r>
    </w:p>
    <w:p>
      <w:pPr>
        <w:tabs>
          <w:tab w:val="right" w:pos="8308" w:leader="dot"/>
        </w:tabs>
        <w:spacing w:after="0" w:line="300"/>
      </w:pPr>
      <w:r>
        <w:rPr>
          <w:rFonts w:ascii="Times New Roman" w:cs="Times New Roman" w:eastAsia="Times New Roman" w:hAnsi="Times New Roman"/>
          <w:sz w:val="24"/>
          <w:szCs w:val="24"/>
        </w:rPr>
        <w:t xml:space="preserve">Table 7.3  Sealed test set results, NIFTY 50 index (689 observations)	33</w:t>
      </w:r>
    </w:p>
    <w:p>
      <w:pPr>
        <w:tabs>
          <w:tab w:val="right" w:pos="8308" w:leader="dot"/>
        </w:tabs>
        <w:spacing w:after="0" w:line="300"/>
      </w:pPr>
      <w:r>
        <w:rPr>
          <w:rFonts w:ascii="Times New Roman" w:cs="Times New Roman" w:eastAsia="Times New Roman" w:hAnsi="Times New Roman"/>
          <w:sz w:val="24"/>
          <w:szCs w:val="24"/>
        </w:rPr>
        <w:t xml:space="preserve">Table 7.4  Sealed test set accuracy across all eight instruments	35</w:t>
      </w:r>
    </w:p>
    <w:p>
      <w:pPr>
        <w:tabs>
          <w:tab w:val="right" w:pos="8308" w:leader="dot"/>
        </w:tabs>
        <w:spacing w:after="0" w:line="300"/>
      </w:pPr>
      <w:r>
        <w:rPr>
          <w:rFonts w:ascii="Times New Roman" w:cs="Times New Roman" w:eastAsia="Times New Roman" w:hAnsi="Times New Roman"/>
          <w:sz w:val="24"/>
          <w:szCs w:val="24"/>
        </w:rPr>
        <w:t xml:space="preserve">Table 7.5  Statistical comparison against the majority class baseline	36</w:t>
      </w:r>
    </w:p>
    <w:p>
      <w:pPr>
        <w:tabs>
          <w:tab w:val="right" w:pos="8308" w:leader="dot"/>
        </w:tabs>
        <w:spacing w:after="0" w:line="300"/>
      </w:pPr>
      <w:r>
        <w:rPr>
          <w:rFonts w:ascii="Times New Roman" w:cs="Times New Roman" w:eastAsia="Times New Roman" w:hAnsi="Times New Roman"/>
          <w:sz w:val="24"/>
          <w:szCs w:val="24"/>
        </w:rPr>
        <w:t xml:space="preserve">Table 7.6  Confusion matrix, Random Forest on the NIFTY 50 sealed test set	37</w:t>
      </w:r>
    </w:p>
    <w:p>
      <w:pPr>
        <w:tabs>
          <w:tab w:val="right" w:pos="8308" w:leader="dot"/>
        </w:tabs>
        <w:spacing w:after="0" w:line="300"/>
      </w:pPr>
      <w:r>
        <w:rPr>
          <w:rFonts w:ascii="Times New Roman" w:cs="Times New Roman" w:eastAsia="Times New Roman" w:hAnsi="Times New Roman"/>
          <w:sz w:val="24"/>
          <w:szCs w:val="24"/>
        </w:rPr>
        <w:t xml:space="preserve">Table 7.7  Risk adjusted performance against buy and hold (annualised Sharpe)	37</w:t>
      </w:r>
    </w:p>
    <w:p>
      <w:pPr>
        <w:tabs>
          <w:tab w:val="right" w:pos="8308" w:leader="dot"/>
        </w:tabs>
        <w:spacing w:after="0" w:line="300"/>
      </w:pPr>
      <w:r>
        <w:rPr>
          <w:rFonts w:ascii="Times New Roman" w:cs="Times New Roman" w:eastAsia="Times New Roman" w:hAnsi="Times New Roman"/>
          <w:sz w:val="24"/>
          <w:szCs w:val="24"/>
        </w:rPr>
        <w:t xml:space="preserve">Table 7.8  Mean performance by model family across eight instruments	38</w:t>
      </w:r>
    </w:p>
    <w:p>
      <w:pPr>
        <w:tabs>
          <w:tab w:val="right" w:pos="8308" w:leader="dot"/>
        </w:tabs>
        <w:spacing w:after="0" w:line="300"/>
        <w:sectPr>
          <w:footerReference w:type="default" r:id="rId6"/>
          <w:pgSz w:w="11906" w:h="16838" w:orient="portrait"/>
          <w:pgMar w:top="1440" w:right="1440" w:bottom="1440" w:left="2160" w:header="708" w:footer="708" w:gutter="0"/>
          <w:pgNumType w:start="2" w:fmt="lowerRoman"/>
          <w:docGrid w:linePitch="360"/>
        </w:sectPr>
      </w:pPr>
      <w:r>
        <w:rPr>
          <w:rFonts w:ascii="Times New Roman" w:cs="Times New Roman" w:eastAsia="Times New Roman" w:hAnsi="Times New Roman"/>
          <w:sz w:val="24"/>
          <w:szCs w:val="24"/>
        </w:rPr>
        <w:t xml:space="preserve">Table 7.9  Measured training time per model family	39</w:t>
      </w:r>
    </w:p>
    <w:p>
      <w:pPr>
        <w:pStyle w:val="Heading1"/>
        <w:spacing w:after="240" w:before="240" w:line="360"/>
        <w:jc w:val="left"/>
      </w:pPr>
      <w:r>
        <w:rPr>
          <w:rFonts w:ascii="Times New Roman" w:cs="Times New Roman" w:eastAsia="Times New Roman" w:hAnsi="Times New Roman"/>
          <w:b/>
          <w:bCs/>
          <w:sz w:val="32"/>
          <w:szCs w:val="32"/>
        </w:rPr>
        <w:t xml:space="preserve">CHAPTER 1</w:t>
      </w:r>
    </w:p>
    <w:p>
      <w:pPr>
        <w:pStyle w:val="Heading1"/>
        <w:spacing w:after="240" w:before="240" w:line="360"/>
        <w:jc w:val="left"/>
      </w:pPr>
      <w:r>
        <w:rPr>
          <w:rFonts w:ascii="Times New Roman" w:cs="Times New Roman" w:eastAsia="Times New Roman" w:hAnsi="Times New Roman"/>
          <w:b/>
          <w:bCs/>
          <w:sz w:val="32"/>
          <w:szCs w:val="32"/>
        </w:rPr>
        <w:t xml:space="preserve">INTRODUCTION</w:t>
      </w:r>
    </w:p>
    <w:p>
      <w:pPr>
        <w:pStyle w:val="Heading2"/>
        <w:spacing w:after="120" w:before="240" w:line="360"/>
        <w:jc w:val="left"/>
      </w:pPr>
      <w:r>
        <w:rPr>
          <w:rFonts w:ascii="Times New Roman" w:cs="Times New Roman" w:eastAsia="Times New Roman" w:hAnsi="Times New Roman"/>
          <w:b/>
          <w:bCs/>
          <w:sz w:val="26"/>
          <w:szCs w:val="26"/>
        </w:rPr>
        <w:t xml:space="preserve">1.1  Background</w:t>
      </w:r>
    </w:p>
    <w:p>
      <w:pPr>
        <w:spacing w:after="120" w:before="0" w:line="360"/>
        <w:jc w:val="both"/>
      </w:pPr>
      <w:r>
        <w:rPr>
          <w:rFonts w:ascii="Times New Roman" w:cs="Times New Roman" w:eastAsia="Times New Roman" w:hAnsi="Times New Roman"/>
          <w:sz w:val="24"/>
          <w:szCs w:val="24"/>
        </w:rPr>
        <w:t xml:space="preserve">The National Stock Exchange of India is among the largest exchanges in the world by number of trades, and the NIFTY 50 index, which tracks fifty of the largest and most liquid companies listed on it, is the most widely followed barometer of Indian equity market sentiment. The question of whether future price movement on such an exchange can be anticipated from information already contained in past prices is one of the oldest questions in quantitative finance, and it remains contested.</w:t>
      </w:r>
    </w:p>
    <w:p>
      <w:pPr>
        <w:spacing w:after="120" w:before="0" w:line="360"/>
        <w:jc w:val="both"/>
      </w:pPr>
      <w:r>
        <w:rPr>
          <w:rFonts w:ascii="Times New Roman" w:cs="Times New Roman" w:eastAsia="Times New Roman" w:hAnsi="Times New Roman"/>
          <w:sz w:val="24"/>
          <w:szCs w:val="24"/>
        </w:rPr>
        <w:t xml:space="preserve">The efficient market hypothesis, in its weak form, asserts that all information contained in historical prices is already reflected in the current price, and that no trading rule based solely on past prices can therefore produce consistent excess returns. Against this stands a very large body of applied work, much of it published in the last decade, reporting that machine learning and deep learning models can predict stock movement with accuracies well above chance. The apparent contradiction between these two positions is not merely theoretical. It has direct consequences for how such a model should be built, validated and reported.</w:t>
      </w:r>
    </w:p>
    <w:p>
      <w:pPr>
        <w:spacing w:after="120" w:before="0" w:line="360"/>
        <w:jc w:val="both"/>
      </w:pPr>
      <w:r>
        <w:rPr>
          <w:rFonts w:ascii="Times New Roman" w:cs="Times New Roman" w:eastAsia="Times New Roman" w:hAnsi="Times New Roman"/>
          <w:sz w:val="24"/>
          <w:szCs w:val="24"/>
        </w:rPr>
        <w:t xml:space="preserve">This project was conceived as a direct examination of that gap. Rather than seeking the highest achievable accuracy figure, the work sets out to determine what accuracy survives when the validation design is made deliberately strict, and to report that figure whether or not it is favourable.</w:t>
      </w:r>
    </w:p>
    <w:p>
      <w:pPr>
        <w:pStyle w:val="Heading2"/>
        <w:spacing w:after="120" w:before="240" w:line="360"/>
        <w:jc w:val="left"/>
      </w:pPr>
      <w:r>
        <w:rPr>
          <w:rFonts w:ascii="Times New Roman" w:cs="Times New Roman" w:eastAsia="Times New Roman" w:hAnsi="Times New Roman"/>
          <w:b/>
          <w:bCs/>
          <w:sz w:val="26"/>
          <w:szCs w:val="26"/>
        </w:rPr>
        <w:t xml:space="preserve">1.2  Motivation</w:t>
      </w:r>
    </w:p>
    <w:p>
      <w:pPr>
        <w:spacing w:after="120" w:before="0" w:line="360"/>
        <w:jc w:val="both"/>
      </w:pPr>
      <w:r>
        <w:rPr>
          <w:rFonts w:ascii="Times New Roman" w:cs="Times New Roman" w:eastAsia="Times New Roman" w:hAnsi="Times New Roman"/>
          <w:sz w:val="24"/>
          <w:szCs w:val="24"/>
        </w:rPr>
        <w:t xml:space="preserve">Three considerations motivated the choice of this problem.</w:t>
      </w:r>
    </w:p>
    <w:p>
      <w:pPr>
        <w:spacing w:after="120" w:before="0" w:line="360"/>
        <w:jc w:val="both"/>
      </w:pPr>
      <w:r>
        <w:rPr>
          <w:rFonts w:ascii="Times New Roman" w:cs="Times New Roman" w:eastAsia="Times New Roman" w:hAnsi="Times New Roman"/>
          <w:sz w:val="24"/>
          <w:szCs w:val="24"/>
        </w:rPr>
        <w:t xml:space="preserve">First, the problem is genuinely difficult and genuinely unresolved, which makes it a more instructive subject for a final semester project than a problem with a known correct answer. The outcome of the investigation was not predetermined at the point the project began.</w:t>
      </w:r>
    </w:p>
    <w:p>
      <w:pPr>
        <w:spacing w:after="120" w:before="0" w:line="360"/>
        <w:jc w:val="both"/>
      </w:pPr>
      <w:r>
        <w:rPr>
          <w:rFonts w:ascii="Times New Roman" w:cs="Times New Roman" w:eastAsia="Times New Roman" w:hAnsi="Times New Roman"/>
          <w:sz w:val="24"/>
          <w:szCs w:val="24"/>
        </w:rPr>
        <w:t xml:space="preserve">Third, the project permits a controlled study of model complexity. Random Forest, XGBoost and Long Short Term Memory networks represent three distinct and increasingly sophisticated approaches to supervised learning: bootstrap aggregation of decision trees, sequential gradient boosting of weak learners, and gated recurrent neural networks able to model temporal dependence directly. Running all three through an identical data pipeline, with identical features, identical splits and identical evaluation, isolates the effect of model architecture from every other variable.</w:t>
      </w:r>
    </w:p>
    <w:p>
      <w:pPr>
        <w:pStyle w:val="Heading2"/>
        <w:spacing w:after="120" w:before="240" w:line="360"/>
        <w:jc w:val="left"/>
      </w:pPr>
      <w:r>
        <w:rPr>
          <w:rFonts w:ascii="Times New Roman" w:cs="Times New Roman" w:eastAsia="Times New Roman" w:hAnsi="Times New Roman"/>
          <w:b/>
          <w:bCs/>
          <w:sz w:val="26"/>
          <w:szCs w:val="26"/>
        </w:rPr>
        <w:t xml:space="preserve">1.3  Problem Statement</w:t>
      </w:r>
    </w:p>
    <w:p>
      <w:pPr>
        <w:spacing w:after="120" w:before="0" w:line="360"/>
        <w:jc w:val="both"/>
      </w:pPr>
      <w:r>
        <w:rPr>
          <w:rFonts w:ascii="Times New Roman" w:cs="Times New Roman" w:eastAsia="Times New Roman" w:hAnsi="Times New Roman"/>
          <w:sz w:val="24"/>
          <w:szCs w:val="24"/>
        </w:rPr>
        <w:t xml:space="preserve">The system is required to answer a single question for a given listed instrument: will the instrument close higher, lower, or approximately unchanged on the next trading day relative to its present close?</w:t>
      </w:r>
    </w:p>
    <w:p>
      <w:pPr>
        <w:spacing w:after="120" w:before="0" w:line="360"/>
        <w:jc w:val="both"/>
      </w:pPr>
      <w:r>
        <w:rPr>
          <w:rFonts w:ascii="Times New Roman" w:cs="Times New Roman" w:eastAsia="Times New Roman" w:hAnsi="Times New Roman"/>
          <w:sz w:val="24"/>
          <w:szCs w:val="24"/>
        </w:rPr>
        <w:t xml:space="preserve">The third class, NEUTRAL, is necessary rather than cosmetic. Equity prices almost never close exactly unchanged, so a strictly binary formulation would classify a movement of two basis points as a genuine upward move and would require the model to resolve what is effectively measurement noise. A threshold band around zero absorbs these movements. The band is set at plus or minus 0.25 percent for the index and plus or minus 0.50 percent for individual stocks, reflecting the observation that a single company is approximately twice as volatile on a daily basis as the index of which it is a constituent.</w:t>
      </w:r>
    </w:p>
    <w:p>
      <w:pPr>
        <w:spacing w:after="120" w:before="0" w:line="360"/>
        <w:jc w:val="both"/>
      </w:pPr>
      <w:r>
        <w:rPr>
          <w:rFonts w:ascii="Times New Roman" w:cs="Times New Roman" w:eastAsia="Times New Roman" w:hAnsi="Times New Roman"/>
          <w:sz w:val="24"/>
          <w:szCs w:val="24"/>
        </w:rPr>
        <w:t xml:space="preserve">The prediction must then be translated into an actionable recommendation of BUY, SELL or HOLD, subject to the requirement that the system declines to commit when its own confidence is insufficient to justify a position.</w:t>
      </w:r>
    </w:p>
    <w:p>
      <w:pPr>
        <w:pStyle w:val="Heading2"/>
        <w:spacing w:after="120" w:before="240" w:line="360"/>
        <w:jc w:val="left"/>
      </w:pPr>
      <w:r>
        <w:rPr>
          <w:rFonts w:ascii="Times New Roman" w:cs="Times New Roman" w:eastAsia="Times New Roman" w:hAnsi="Times New Roman"/>
          <w:b/>
          <w:bCs/>
          <w:sz w:val="26"/>
          <w:szCs w:val="26"/>
        </w:rPr>
        <w:t xml:space="preserve">1.4  Research Question</w:t>
      </w:r>
    </w:p>
    <w:p>
      <w:pPr>
        <w:spacing w:after="120" w:before="0" w:line="360"/>
        <w:jc w:val="both"/>
      </w:pPr>
      <w:r>
        <w:rPr>
          <w:rFonts w:ascii="Times New Roman" w:cs="Times New Roman" w:eastAsia="Times New Roman" w:hAnsi="Times New Roman"/>
          <w:sz w:val="24"/>
          <w:szCs w:val="24"/>
        </w:rPr>
        <w:t xml:space="preserve">The project is organised around one primary research question and one secondary question that follows from the multi instrument design.</w:t>
      </w:r>
    </w:p>
    <w:p>
      <w:pPr>
        <w:spacing w:after="120" w:before="0" w:line="360"/>
        <w:jc w:val="both"/>
      </w:pPr>
      <w:r>
        <w:rPr>
          <w:rFonts w:ascii="Times New Roman" w:cs="Times New Roman" w:eastAsia="Times New Roman" w:hAnsi="Times New Roman"/>
          <w:b/>
          <w:bCs/>
          <w:i w:val="false"/>
          <w:iCs w:val="false"/>
          <w:sz w:val="24"/>
          <w:szCs w:val="24"/>
        </w:rPr>
        <w:t xml:space="preserve">Primary: </w:t>
      </w:r>
      <w:r>
        <w:rPr>
          <w:rFonts w:ascii="Times New Roman" w:cs="Times New Roman" w:eastAsia="Times New Roman" w:hAnsi="Times New Roman"/>
          <w:b w:val="false"/>
          <w:bCs w:val="false"/>
          <w:i w:val="false"/>
          <w:iCs w:val="false"/>
          <w:sz w:val="24"/>
          <w:szCs w:val="24"/>
        </w:rPr>
        <w:t xml:space="preserve">Does increasing model complexity, proceeding from Random Forest to XGBoost to Long Short Term Memory networks, improve predictive accuracy and trading performance on the Indian stock market, when all three are evaluated under an identical and temporally correct validation scheme?</w:t>
      </w:r>
    </w:p>
    <w:p>
      <w:pPr>
        <w:spacing w:after="120" w:before="0" w:line="360"/>
        <w:jc w:val="both"/>
      </w:pPr>
      <w:r>
        <w:rPr>
          <w:rFonts w:ascii="Times New Roman" w:cs="Times New Roman" w:eastAsia="Times New Roman" w:hAnsi="Times New Roman"/>
          <w:b/>
          <w:bCs/>
          <w:i w:val="false"/>
          <w:iCs w:val="false"/>
          <w:sz w:val="24"/>
          <w:szCs w:val="24"/>
        </w:rPr>
        <w:t xml:space="preserve">Secondary: </w:t>
      </w:r>
      <w:r>
        <w:rPr>
          <w:rFonts w:ascii="Times New Roman" w:cs="Times New Roman" w:eastAsia="Times New Roman" w:hAnsi="Times New Roman"/>
          <w:b w:val="false"/>
          <w:bCs w:val="false"/>
          <w:i w:val="false"/>
          <w:iCs w:val="false"/>
          <w:sz w:val="24"/>
          <w:szCs w:val="24"/>
        </w:rPr>
        <w:t xml:space="preserve">Is an individual stock easier or harder to predict than the index of which it is a constituent? The pipeline runs identically on both, so the comparison is made on equal terms.</w:t>
      </w:r>
    </w:p>
    <w:p>
      <w:pPr>
        <w:pStyle w:val="Heading2"/>
        <w:spacing w:after="120" w:before="240" w:line="360"/>
        <w:jc w:val="left"/>
      </w:pPr>
      <w:r>
        <w:rPr>
          <w:rFonts w:ascii="Times New Roman" w:cs="Times New Roman" w:eastAsia="Times New Roman" w:hAnsi="Times New Roman"/>
          <w:b/>
          <w:bCs/>
          <w:sz w:val="26"/>
          <w:szCs w:val="26"/>
        </w:rPr>
        <w:t xml:space="preserve">1.5  Objectives</w:t>
      </w:r>
    </w:p>
    <w:p>
      <w:pPr>
        <w:spacing w:after="120" w:before="0" w:line="360"/>
        <w:jc w:val="both"/>
      </w:pPr>
      <w:r>
        <w:rPr>
          <w:rFonts w:ascii="Times New Roman" w:cs="Times New Roman" w:eastAsia="Times New Roman" w:hAnsi="Times New Roman"/>
          <w:sz w:val="24"/>
          <w:szCs w:val="24"/>
        </w:rPr>
        <w:t xml:space="preserve">The following objectives were defined at the outset of the project.</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construct a reproducible data pipeline that acquires daily price history for the NIFTY 50 index and its constituent companies, cleans it, and derives a consistent set of technical features.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define a labelling scheme that converts next day returns into three directional classes using a volatility aware threshold.</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implement an expanding window walk forward validation scheme that respects the chronological ordering of financial data and never permits a model to train on observations that postdate its test window.</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implement Random Forest, XGBoost and LSTM classifiers behind a common interface so that they can be substituted for one another without modification to the surrounding pipeline.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evaluate all models against a majority class baseline rather than against random chance, and to report the statistical significance of any difference.</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implement a backtesting engine that converts predictions into positions and charges a realistic transaction cost on every change of position.</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develop an interactive dashboard that exposes the current prediction, the historical track record, the comparative model results and the methodology to a non specialist user.</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document the findings honestly, including the possibility that no model demonstrates a durable predictive advantage.</w:t>
      </w:r>
    </w:p>
    <w:p>
      <w:pPr>
        <w:pStyle w:val="Heading2"/>
        <w:spacing w:after="120" w:before="240" w:line="360"/>
        <w:jc w:val="left"/>
      </w:pPr>
      <w:r>
        <w:rPr>
          <w:rFonts w:ascii="Times New Roman" w:cs="Times New Roman" w:eastAsia="Times New Roman" w:hAnsi="Times New Roman"/>
          <w:b/>
          <w:bCs/>
          <w:sz w:val="26"/>
          <w:szCs w:val="26"/>
        </w:rPr>
        <w:t xml:space="preserve">1.6  Scope and Limitations</w:t>
      </w:r>
    </w:p>
    <w:p>
      <w:pPr>
        <w:spacing w:after="120" w:before="0" w:line="360"/>
        <w:jc w:val="both"/>
      </w:pPr>
      <w:r>
        <w:rPr>
          <w:rFonts w:ascii="Times New Roman" w:cs="Times New Roman" w:eastAsia="Times New Roman" w:hAnsi="Times New Roman"/>
          <w:sz w:val="24"/>
          <w:szCs w:val="24"/>
        </w:rPr>
        <w:t xml:space="preserve">The scope of the project is bounded as follows. The system operates on daily bars only. It predicts one trading day ahead and no further. It uses price derived technical features together with two macroeconomic series, and does not incorporate news text, analyst estimates, order book depth, corporate filings or any other alternative data. It covers the NIFTY 50 index and the fifty constituent companies of that index, with the facility for a user to add any symbol available from the data provider.</w:t>
      </w:r>
    </w:p>
    <w:p>
      <w:pPr>
        <w:spacing w:after="120" w:before="0" w:line="360"/>
        <w:jc w:val="both"/>
      </w:pPr>
      <w:r>
        <w:rPr>
          <w:rFonts w:ascii="Times New Roman" w:cs="Times New Roman" w:eastAsia="Times New Roman" w:hAnsi="Times New Roman"/>
          <w:sz w:val="24"/>
          <w:szCs w:val="24"/>
        </w:rPr>
        <w:t xml:space="preserve">The following limitations are acknowledged explicitly. The backtest assumes that a position can be taken at the closing price of the day on which the signal is generated, which ignores slippage and the practical difficulty of executing at the close. Short selling is assumed to be available without borrowing constraints or cost beyond the stated transaction charge. The transaction cost of 0.05 percent is a simplification that does not separate brokerage, exchange charges, securities transaction tax and goods and services tax. Dividends are handled through the use of adjusted prices rather than modelled explicitly. Finally, several constituents of the index listed after 2015 and therefore possess shorter histories than the remainder, which the system reports but does not otherwise compensate for.</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2</w:t>
      </w:r>
    </w:p>
    <w:p>
      <w:pPr>
        <w:pStyle w:val="Heading1"/>
        <w:spacing w:after="240" w:before="240" w:line="360"/>
        <w:jc w:val="left"/>
      </w:pPr>
      <w:r>
        <w:rPr>
          <w:rFonts w:ascii="Times New Roman" w:cs="Times New Roman" w:eastAsia="Times New Roman" w:hAnsi="Times New Roman"/>
          <w:b/>
          <w:bCs/>
          <w:sz w:val="32"/>
          <w:szCs w:val="32"/>
        </w:rPr>
        <w:t xml:space="preserve">LITERATURE REVIEW</w:t>
      </w:r>
    </w:p>
    <w:p>
      <w:pPr>
        <w:spacing w:after="120" w:before="0" w:line="360"/>
        <w:jc w:val="both"/>
      </w:pPr>
      <w:r>
        <w:rPr>
          <w:rFonts w:ascii="Times New Roman" w:cs="Times New Roman" w:eastAsia="Times New Roman" w:hAnsi="Times New Roman"/>
          <w:sz w:val="24"/>
          <w:szCs w:val="24"/>
        </w:rPr>
        <w:t xml:space="preserve">This chapter surveys the published work most directly relevant to the modelling choices made in this project. The selected references fall into three groups: studies applying deep learning and ensemble methods to stock forecasting, foundational descriptions of the two tree based algorithms employed, and work on the technical indicators used as model inputs. The chapter concludes by identifying the methodological gap this project addresses.</w:t>
      </w:r>
    </w:p>
    <w:p>
      <w:pPr>
        <w:pStyle w:val="Heading2"/>
        <w:spacing w:after="120" w:before="240" w:line="360"/>
        <w:jc w:val="left"/>
      </w:pPr>
      <w:r>
        <w:rPr>
          <w:rFonts w:ascii="Times New Roman" w:cs="Times New Roman" w:eastAsia="Times New Roman" w:hAnsi="Times New Roman"/>
          <w:b/>
          <w:bCs/>
          <w:sz w:val="26"/>
          <w:szCs w:val="26"/>
        </w:rPr>
        <w:t xml:space="preserve">2.1  Deep Learning Approaches to Stock Prediction</w:t>
      </w:r>
    </w:p>
    <w:p>
      <w:pPr>
        <w:spacing w:after="120" w:before="0" w:line="360"/>
        <w:jc w:val="both"/>
      </w:pPr>
      <w:r>
        <w:rPr>
          <w:rFonts w:ascii="Times New Roman" w:cs="Times New Roman" w:eastAsia="Times New Roman" w:hAnsi="Times New Roman"/>
          <w:sz w:val="24"/>
          <w:szCs w:val="24"/>
        </w:rPr>
        <w:t xml:space="preserve">Sunny, Maswood and Alharbi, in their work on deep learning based stock price prediction using LSTM and bi-directional LSTM models, examine the application of recurrent neural architectures to the stock forecasting problem. Long Short Term Memory networks are of particular relevance to the present project because they are explicitly designed to model sequential dependence, retaining information across many time steps through a gated cell state and thereby addressing the vanishing gradient problem that limits simple recurrent networks on long sequences. The bi-directional variant extends this by processing a sequence in both the forward and reverse directions.</w:t>
      </w:r>
    </w:p>
    <w:p>
      <w:pPr>
        <w:pStyle w:val="Heading2"/>
        <w:spacing w:after="120" w:before="240" w:line="360"/>
        <w:jc w:val="left"/>
      </w:pPr>
      <w:r>
        <w:rPr>
          <w:rFonts w:ascii="Times New Roman" w:cs="Times New Roman" w:eastAsia="Times New Roman" w:hAnsi="Times New Roman"/>
          <w:b/>
          <w:bCs/>
          <w:sz w:val="26"/>
          <w:szCs w:val="26"/>
        </w:rPr>
        <w:t xml:space="preserve">2.2  Gradient Boosting and Hybrid Forecasting Models</w:t>
      </w:r>
    </w:p>
    <w:p>
      <w:pPr>
        <w:spacing w:after="120" w:before="0" w:line="360"/>
        <w:jc w:val="both"/>
      </w:pPr>
      <w:r>
        <w:rPr>
          <w:rFonts w:ascii="Times New Roman" w:cs="Times New Roman" w:eastAsia="Times New Roman" w:hAnsi="Times New Roman"/>
          <w:sz w:val="24"/>
          <w:szCs w:val="24"/>
        </w:rPr>
        <w:t xml:space="preserve">Oukhouya, Kadiri, El Himdi and Guerbaz, in their study forecasting international stock market trends, consider XGBoost, LSTM and a combined LSTM-XGBoost formulation, and additionally address the backtesting of XGBoost models. This work is methodologically the closest of the reviewed references to the present project, in that it compares the same two principal model families and explicitly treats backtesting as part of the evaluation rather than reporting classification metrics alone.</w:t>
      </w:r>
    </w:p>
    <w:p>
      <w:pPr>
        <w:pStyle w:val="Heading2"/>
        <w:spacing w:after="120" w:before="240" w:line="360"/>
        <w:jc w:val="left"/>
      </w:pPr>
      <w:r>
        <w:rPr>
          <w:rFonts w:ascii="Times New Roman" w:cs="Times New Roman" w:eastAsia="Times New Roman" w:hAnsi="Times New Roman"/>
          <w:b/>
          <w:bCs/>
          <w:sz w:val="26"/>
          <w:szCs w:val="26"/>
        </w:rPr>
        <w:t xml:space="preserve">2.3  Comparative Studies on the Indian Equity Market</w:t>
      </w:r>
    </w:p>
    <w:p>
      <w:pPr>
        <w:spacing w:after="120" w:before="0" w:line="360"/>
        <w:jc w:val="both"/>
      </w:pPr>
      <w:r>
        <w:rPr>
          <w:rFonts w:ascii="Times New Roman" w:cs="Times New Roman" w:eastAsia="Times New Roman" w:hAnsi="Times New Roman"/>
          <w:sz w:val="24"/>
          <w:szCs w:val="24"/>
        </w:rPr>
        <w:t xml:space="preserve">Khandelwal, Borkar and Ukhalkar present a comparative analysis of LSTM, Random Forest and XGBoost models for stock price prediction in the Indian equity market. This reference is the most directly comparable to the present work, since it examines the same three model families on the same national market.</w:t>
      </w:r>
    </w:p>
    <w:p>
      <w:pPr>
        <w:spacing w:after="120" w:before="0" w:line="360"/>
        <w:jc w:val="both"/>
      </w:pPr>
      <w:r>
        <w:rPr>
          <w:rFonts w:ascii="Times New Roman" w:cs="Times New Roman" w:eastAsia="Times New Roman" w:hAnsi="Times New Roman"/>
          <w:sz w:val="24"/>
          <w:szCs w:val="24"/>
        </w:rPr>
        <w:t xml:space="preserve">The present project differs from this reference in formulation and in evaluation standard. The task here is three class direction classification rather than price prediction, the comparison is made against a majority class baseline rather than against an absolute accuracy figure, and the test window is sealed and evaluated once rather than being used repeatedly during model selection.</w:t>
      </w:r>
    </w:p>
    <w:p>
      <w:pPr>
        <w:pStyle w:val="Heading2"/>
        <w:spacing w:after="120" w:before="240" w:line="360"/>
        <w:jc w:val="left"/>
      </w:pPr>
      <w:r>
        <w:rPr>
          <w:rFonts w:ascii="Times New Roman" w:cs="Times New Roman" w:eastAsia="Times New Roman" w:hAnsi="Times New Roman"/>
          <w:b/>
          <w:bCs/>
          <w:sz w:val="26"/>
          <w:szCs w:val="26"/>
        </w:rPr>
        <w:t xml:space="preserve">2.4  Foundations of the Random Forest Algorithm</w:t>
      </w:r>
    </w:p>
    <w:p>
      <w:pPr>
        <w:spacing w:after="120" w:before="0" w:line="360"/>
        <w:jc w:val="both"/>
      </w:pPr>
      <w:r>
        <w:rPr>
          <w:rFonts w:ascii="Times New Roman" w:cs="Times New Roman" w:eastAsia="Times New Roman" w:hAnsi="Times New Roman"/>
          <w:sz w:val="24"/>
          <w:szCs w:val="24"/>
        </w:rPr>
        <w:t xml:space="preserve">Salman, Kalakech and Steiti provide an overview of the Random Forest algorithm. Random Forest constructs an ensemble of decision trees, each fitted to a bootstrap resample of the training data and each considering a random subset of the available features at every split. Predictions are aggregated across the ensemble, which reduces the variance that a single deep decision tree would exhibit while retaining the ability to represent non linear interactions between features.</w:t>
      </w:r>
    </w:p>
    <w:p>
      <w:pPr>
        <w:spacing w:after="120" w:before="0" w:line="360"/>
        <w:jc w:val="both"/>
      </w:pPr>
      <w:r>
        <w:rPr>
          <w:rFonts w:ascii="Times New Roman" w:cs="Times New Roman" w:eastAsia="Times New Roman" w:hAnsi="Times New Roman"/>
          <w:sz w:val="24"/>
          <w:szCs w:val="24"/>
        </w:rPr>
        <w:t xml:space="preserve">Two properties of the algorithm are directly relevant to this project. First, Random Forest is comparatively robust to irrelevant features, because a feature carrying no information is unlikely to be selected for a split when better alternatives are available in the random subset. Given that the present project supplies twenty six to twenty eight technical features, many of which are correlated with one another, this robustness is valuable. Second, the algorithm supports class weighting, which permits the majority NEUTRAL class to be prevented from dominating the fitted model. The configuration adopted in this project uses balanced subsample weighting for this reason.</w:t>
      </w:r>
    </w:p>
    <w:p>
      <w:pPr>
        <w:pStyle w:val="Heading2"/>
        <w:spacing w:after="120" w:before="240" w:line="360"/>
        <w:jc w:val="left"/>
      </w:pPr>
      <w:r>
        <w:rPr>
          <w:rFonts w:ascii="Times New Roman" w:cs="Times New Roman" w:eastAsia="Times New Roman" w:hAnsi="Times New Roman"/>
          <w:b/>
          <w:bCs/>
          <w:sz w:val="26"/>
          <w:szCs w:val="26"/>
        </w:rPr>
        <w:t xml:space="preserve">2.5  Empirical Behaviour of XGBoost</w:t>
      </w:r>
    </w:p>
    <w:p>
      <w:pPr>
        <w:spacing w:after="120" w:before="0" w:line="360"/>
        <w:jc w:val="both"/>
      </w:pPr>
      <w:r>
        <w:rPr>
          <w:rFonts w:ascii="Times New Roman" w:cs="Times New Roman" w:eastAsia="Times New Roman" w:hAnsi="Times New Roman"/>
          <w:sz w:val="24"/>
          <w:szCs w:val="24"/>
        </w:rPr>
        <w:t xml:space="preserve">Ramraj, Uzir, Sunil and Banerjee report on experiments applying the XGBoost algorithm to prediction and classification across different datasets. XGBoost implements gradient boosting, in which trees are fitted sequentially and each successive tree is trained to correct the residual errors of the ensemble constructed so far. Unlike Random Forest, where trees are independent and averaging reduces variance, boosting reduces bias by construction and is consequently more prone to overfitting if left unregularised.</w:t>
      </w:r>
    </w:p>
    <w:p>
      <w:pPr>
        <w:pStyle w:val="Heading2"/>
        <w:spacing w:after="120" w:before="240" w:line="360"/>
        <w:jc w:val="left"/>
      </w:pPr>
      <w:r>
        <w:rPr>
          <w:rFonts w:ascii="Times New Roman" w:cs="Times New Roman" w:eastAsia="Times New Roman" w:hAnsi="Times New Roman"/>
          <w:b/>
          <w:bCs/>
          <w:sz w:val="26"/>
          <w:szCs w:val="26"/>
        </w:rPr>
        <w:t xml:space="preserve">2.6  Technical Indicators and the RSI</w:t>
      </w:r>
    </w:p>
    <w:p>
      <w:pPr>
        <w:spacing w:after="120" w:before="0" w:line="360"/>
        <w:jc w:val="both"/>
      </w:pPr>
      <w:r>
        <w:rPr>
          <w:rFonts w:ascii="Times New Roman" w:cs="Times New Roman" w:eastAsia="Times New Roman" w:hAnsi="Times New Roman"/>
          <w:sz w:val="24"/>
          <w:szCs w:val="24"/>
        </w:rPr>
        <w:t xml:space="preserve">Sahin and Ozbayoglu propose a trend-normalized RSI indicator for stock trading systems using evolutionary computation. The Relative Strength Index is a bounded momentum oscillator that compares the magnitude of recent gains to the magnitude of recent losses over a lookback window, conventionally fourteen periods, producing a value between zero and one hundred. Readings above seventy are conventionally interpreted as indicating an overbought condition and readings below thirty an oversold condition.</w:t>
      </w:r>
    </w:p>
    <w:p>
      <w:pPr>
        <w:pStyle w:val="Heading2"/>
        <w:spacing w:after="120" w:before="240" w:line="360"/>
        <w:jc w:val="left"/>
      </w:pPr>
      <w:r>
        <w:rPr>
          <w:rFonts w:ascii="Times New Roman" w:cs="Times New Roman" w:eastAsia="Times New Roman" w:hAnsi="Times New Roman"/>
          <w:b/>
          <w:bCs/>
          <w:sz w:val="26"/>
          <w:szCs w:val="26"/>
        </w:rPr>
        <w:t xml:space="preserve">2.7  Summary of Literature and Research Gap</w:t>
      </w:r>
    </w:p>
    <w:p>
      <w:pPr>
        <w:spacing w:after="80" w:before="160" w:line="240"/>
        <w:jc w:val="center"/>
      </w:pPr>
      <w:r>
        <w:rPr>
          <w:rFonts w:ascii="Times New Roman" w:cs="Times New Roman" w:eastAsia="Times New Roman" w:hAnsi="Times New Roman"/>
          <w:i/>
          <w:iCs/>
          <w:sz w:val="22"/>
          <w:szCs w:val="22"/>
        </w:rPr>
        <w:t xml:space="preserve">Table 2.1: Summary of reviewed literature and relation to this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493"/>
        <w:gridCol w:w="3656"/>
      </w:tblGrid>
      <w:tr>
        <w:trPr>
          <w:tblHeader/>
        </w:trPr>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Reference</w:t>
            </w:r>
          </w:p>
        </w:tc>
        <w:tc>
          <w:tcPr>
            <w:tcW w:type="dxa" w:w="249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Focus</w:t>
            </w:r>
          </w:p>
        </w:tc>
        <w:tc>
          <w:tcPr>
            <w:tcW w:type="dxa" w:w="365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Relation to this project</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Sunny, Maswood and Alharbi</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LSTM and bi-directional LSTM for stock price prediction</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Justifies inclusion of a recurrent architecture as the high complexity model</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Oukhouya, Kadiri, El Himdi and Guerbaz</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XGBoost, LSTM, hybrid models and backtesting</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Closest methodological parallel; supports pairing classification metrics with backtesting</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Khandelwal, Borkar and Ukhalkar</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Comparative LSTM, Random Forest and XGBoost on Indian equities</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Most directly comparable study; same three families, same market</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Salman, Kalakech and Steiti</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Random Forest algorithm overview</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Foundation for the baseline ensemble model and its class weighting</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Ramraj, Uzir, Sunil and Banerjee</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Empirical behaviour of XGBoost across datasets</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Informs the regularisation strategy adopted after observed overfitting</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Sahin and Ozbayoglu</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Trend-normalized RSI for trading systems</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Informs use and interpretation of RSI as a feature and in the screener</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gap this project addresses is not a gap in model architecture. It is a gap in evaluation standard. The present work contributes a study in which four methodological constraints are applied simultaneously and consistently across all three model families.</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Validation proceeds by expanding window walk forward splits in strict chronological order, with each validation year drawn from a distinct market regime, so that no model is ever fitted on observations postdating its evaluation window.</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A test window covering January 2024 onward is sealed and evaluated exactly once per model, so that no iterative tuning against the test set can occur.</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Accuracy is compared against the majority class baseline for each instrument rather than against an assumption of balanced classes, which raises the threshold a model must exceed to claim an advantage.</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Trading performance is assessed with a transaction cost charged on every change of position, so that high turnover strategies are penalised as they would be in practice.</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3</w:t>
      </w:r>
    </w:p>
    <w:p>
      <w:pPr>
        <w:pStyle w:val="Heading1"/>
        <w:spacing w:after="240" w:before="240" w:line="360"/>
        <w:jc w:val="left"/>
      </w:pPr>
      <w:r>
        <w:rPr>
          <w:rFonts w:ascii="Times New Roman" w:cs="Times New Roman" w:eastAsia="Times New Roman" w:hAnsi="Times New Roman"/>
          <w:b/>
          <w:bCs/>
          <w:sz w:val="32"/>
          <w:szCs w:val="32"/>
        </w:rPr>
        <w:t xml:space="preserve">SYSTEM ANALYSIS</w:t>
      </w:r>
    </w:p>
    <w:p>
      <w:pPr>
        <w:pStyle w:val="Heading2"/>
        <w:spacing w:after="120" w:before="240" w:line="360"/>
        <w:jc w:val="left"/>
      </w:pPr>
      <w:r>
        <w:rPr>
          <w:rFonts w:ascii="Times New Roman" w:cs="Times New Roman" w:eastAsia="Times New Roman" w:hAnsi="Times New Roman"/>
          <w:b/>
          <w:bCs/>
          <w:sz w:val="26"/>
          <w:szCs w:val="26"/>
        </w:rPr>
        <w:t xml:space="preserve">3.1  Analysis of Prevailing Approaches</w:t>
      </w:r>
    </w:p>
    <w:p>
      <w:pPr>
        <w:spacing w:after="120" w:before="0" w:line="360"/>
        <w:jc w:val="both"/>
      </w:pPr>
      <w:r>
        <w:rPr>
          <w:rFonts w:ascii="Times New Roman" w:cs="Times New Roman" w:eastAsia="Times New Roman" w:hAnsi="Times New Roman"/>
          <w:sz w:val="24"/>
          <w:szCs w:val="24"/>
        </w:rPr>
        <w:t xml:space="preserve">Before specifying the proposed system it is useful to state what it is intended to improve upon. Three characteristics recur in publicly available implementations of stock prediction systems and each introduces a specific defect.</w:t>
      </w:r>
    </w:p>
    <w:p>
      <w:pPr>
        <w:spacing w:after="120" w:before="0" w:line="360"/>
        <w:jc w:val="both"/>
      </w:pPr>
      <w:r>
        <w:rPr>
          <w:rFonts w:ascii="Times New Roman" w:cs="Times New Roman" w:eastAsia="Times New Roman" w:hAnsi="Times New Roman"/>
          <w:b/>
          <w:bCs/>
          <w:i w:val="false"/>
          <w:iCs w:val="false"/>
          <w:sz w:val="24"/>
          <w:szCs w:val="24"/>
        </w:rPr>
        <w:t xml:space="preserve">Random train and test splitting. </w:t>
      </w:r>
      <w:r>
        <w:rPr>
          <w:rFonts w:ascii="Times New Roman" w:cs="Times New Roman" w:eastAsia="Times New Roman" w:hAnsi="Times New Roman"/>
          <w:b w:val="false"/>
          <w:bCs w:val="false"/>
          <w:i w:val="false"/>
          <w:iCs w:val="false"/>
          <w:sz w:val="24"/>
          <w:szCs w:val="24"/>
        </w:rPr>
        <w:t xml:space="preserve">Applying a randomised split to a time ordered series places future observations in the training set and past observations in the test set. The resulting model has effectively been shown the answers to the questions on which it is subsequently examined. Reported accuracies obtained this way are not estimates of future performance.</w:t>
      </w:r>
    </w:p>
    <w:p>
      <w:pPr>
        <w:spacing w:after="120" w:before="0" w:line="360"/>
        <w:jc w:val="both"/>
      </w:pPr>
      <w:r>
        <w:rPr>
          <w:rFonts w:ascii="Times New Roman" w:cs="Times New Roman" w:eastAsia="Times New Roman" w:hAnsi="Times New Roman"/>
          <w:b/>
          <w:bCs/>
          <w:i w:val="false"/>
          <w:iCs w:val="false"/>
          <w:sz w:val="24"/>
          <w:szCs w:val="24"/>
        </w:rPr>
        <w:t xml:space="preserve">Comparison against an assumed uniform baseline. </w:t>
      </w:r>
      <w:r>
        <w:rPr>
          <w:rFonts w:ascii="Times New Roman" w:cs="Times New Roman" w:eastAsia="Times New Roman" w:hAnsi="Times New Roman"/>
          <w:b w:val="false"/>
          <w:bCs w:val="false"/>
          <w:i w:val="false"/>
          <w:iCs w:val="false"/>
          <w:sz w:val="24"/>
          <w:szCs w:val="24"/>
        </w:rPr>
        <w:t xml:space="preserve">A three class problem is frequently assessed against a figure of 33.3 percent on the assumption that the classes are equiprobable. Financial return classes are not equiprobable. In this project the NEUTRAL class accounts for approximately 27 percent of NIFTY 50 observations and the UP class for approximately 40 percent, so a trivial rule predicting the most frequent class every day already achieves close to 40 percent. A model reporting 35 percent accuracy is therefore worse than a rule requiring no model at all, despite appearing to exceed chance.</w:t>
      </w:r>
    </w:p>
    <w:p>
      <w:pPr>
        <w:spacing w:after="120" w:before="0" w:line="360"/>
        <w:jc w:val="both"/>
      </w:pPr>
      <w:r>
        <w:rPr>
          <w:rFonts w:ascii="Times New Roman" w:cs="Times New Roman" w:eastAsia="Times New Roman" w:hAnsi="Times New Roman"/>
          <w:b/>
          <w:bCs/>
          <w:i w:val="false"/>
          <w:iCs w:val="false"/>
          <w:sz w:val="24"/>
          <w:szCs w:val="24"/>
        </w:rPr>
        <w:t xml:space="preserve">Omission of transaction costs. </w:t>
      </w:r>
      <w:r>
        <w:rPr>
          <w:rFonts w:ascii="Times New Roman" w:cs="Times New Roman" w:eastAsia="Times New Roman" w:hAnsi="Times New Roman"/>
          <w:b w:val="false"/>
          <w:bCs w:val="false"/>
          <w:i w:val="false"/>
          <w:iCs w:val="false"/>
          <w:sz w:val="24"/>
          <w:szCs w:val="24"/>
        </w:rPr>
        <w:t xml:space="preserve">A directional model generates a position change whenever its prediction changes. At daily frequency this can produce several hundred position changes per year. Evaluating the resulting strategy without charging a cost for each change overstates its performance, and the overstatement grows with turnover, which is precisely the regime in which such models operate.</w:t>
      </w:r>
    </w:p>
    <w:p>
      <w:pPr>
        <w:pStyle w:val="Heading2"/>
        <w:spacing w:after="120" w:before="240" w:line="360"/>
        <w:jc w:val="left"/>
      </w:pPr>
      <w:r>
        <w:rPr>
          <w:rFonts w:ascii="Times New Roman" w:cs="Times New Roman" w:eastAsia="Times New Roman" w:hAnsi="Times New Roman"/>
          <w:b/>
          <w:bCs/>
          <w:sz w:val="26"/>
          <w:szCs w:val="26"/>
        </w:rPr>
        <w:t xml:space="preserve">3.2  Proposed System</w:t>
      </w:r>
    </w:p>
    <w:p>
      <w:pPr>
        <w:spacing w:after="120" w:before="0" w:line="360"/>
        <w:jc w:val="both"/>
      </w:pPr>
      <w:r>
        <w:rPr>
          <w:rFonts w:ascii="Times New Roman" w:cs="Times New Roman" w:eastAsia="Times New Roman" w:hAnsi="Times New Roman"/>
          <w:sz w:val="24"/>
          <w:szCs w:val="24"/>
        </w:rPr>
        <w:t xml:space="preserve">The proposed system is a complete pipeline from data acquisition through to an interactive user interface, organised so that each stage is independently inspectable and the artefacts of each stage persist on disk.</w:t>
      </w:r>
    </w:p>
    <w:p>
      <w:pPr>
        <w:spacing w:after="120" w:before="0" w:line="360"/>
        <w:jc w:val="both"/>
      </w:pPr>
      <w:r>
        <w:rPr>
          <w:rFonts w:ascii="Times New Roman" w:cs="Times New Roman" w:eastAsia="Times New Roman" w:hAnsi="Times New Roman"/>
          <w:sz w:val="24"/>
          <w:szCs w:val="24"/>
        </w:rPr>
        <w:t xml:space="preserve">Two design decisions distinguish the proposed system from a conventional implementation. The first is the dual model artefact: for every combination of instrument and algorithm the system retains two separately fitted models, one trained only on data preceding the sealed test window and scored exactly once, and one refitted on all available history and never scored. All reported performance figures derive from the first; all current recommendations derive from the second. The second decision is the separation of data preparation from model training, which permits the price data for the entire instrument universe to be prepared in advance while leaving the computationally expensive training to be performed on demand for the instrument a user actually selects.</w:t>
      </w:r>
    </w:p>
    <w:p>
      <w:pPr>
        <w:pStyle w:val="Heading2"/>
        <w:spacing w:after="120" w:before="240" w:line="360"/>
        <w:jc w:val="left"/>
      </w:pPr>
      <w:r>
        <w:rPr>
          <w:rFonts w:ascii="Times New Roman" w:cs="Times New Roman" w:eastAsia="Times New Roman" w:hAnsi="Times New Roman"/>
          <w:b/>
          <w:bCs/>
          <w:sz w:val="26"/>
          <w:szCs w:val="26"/>
        </w:rPr>
        <w:t xml:space="preserve">3.3  Feasibility Study</w:t>
      </w:r>
    </w:p>
    <w:p>
      <w:pPr>
        <w:spacing w:after="120" w:before="0" w:line="360"/>
        <w:jc w:val="both"/>
      </w:pPr>
      <w:r>
        <w:rPr>
          <w:rFonts w:ascii="Times New Roman" w:cs="Times New Roman" w:eastAsia="Times New Roman" w:hAnsi="Times New Roman"/>
          <w:sz w:val="24"/>
          <w:szCs w:val="24"/>
        </w:rPr>
        <w:t xml:space="preserve">The project is technically feasible on commodity hardware. All data is obtained from a freely available public interface, the two tree based models fit within seconds on approximately 2,900 daily observations, and the recurrent model requires approximately thirty six seconds per fit using the central processing unit alone. No graphics processing unit is required and total disk consumption for the full instrument universe remains within a few hundred megabytes.</w:t>
      </w:r>
    </w:p>
    <w:p>
      <w:pPr>
        <w:spacing w:after="120" w:before="0" w:line="360"/>
        <w:jc w:val="both"/>
      </w:pPr>
      <w:r>
        <w:rPr>
          <w:rFonts w:ascii="Times New Roman" w:cs="Times New Roman" w:eastAsia="Times New Roman" w:hAnsi="Times New Roman"/>
          <w:sz w:val="24"/>
          <w:szCs w:val="24"/>
        </w:rPr>
        <w:t xml:space="preserve">The project is economically feasible in that it incurs no licensing or subscription cost. Every component of the software stack is open source and the market data is obtained without charge, so the only resources consumed are development time and ordinary computing hardware.</w:t>
      </w:r>
    </w:p>
    <w:p>
      <w:pPr>
        <w:spacing w:after="120" w:before="0" w:line="360"/>
        <w:jc w:val="both"/>
      </w:pPr>
      <w:r>
        <w:rPr>
          <w:rFonts w:ascii="Times New Roman" w:cs="Times New Roman" w:eastAsia="Times New Roman" w:hAnsi="Times New Roman"/>
          <w:sz w:val="24"/>
          <w:szCs w:val="24"/>
        </w:rPr>
        <w:t xml:space="preserve">The project is operationally feasible in that the application is delivered as a local web application requiring a single command to start. A user without programming knowledge can select an instrument, initiate training and read the resulting recommendation without interacting with the source code, and explanatory material describing the pipeline and the reasoning behind the two model variants is embedded in the interface itself.</w:t>
      </w:r>
    </w:p>
    <w:p>
      <w:pPr>
        <w:pStyle w:val="Heading2"/>
        <w:spacing w:after="120" w:before="240" w:line="360"/>
        <w:jc w:val="left"/>
      </w:pPr>
      <w:r>
        <w:rPr>
          <w:rFonts w:ascii="Times New Roman" w:cs="Times New Roman" w:eastAsia="Times New Roman" w:hAnsi="Times New Roman"/>
          <w:b/>
          <w:bCs/>
          <w:sz w:val="26"/>
          <w:szCs w:val="26"/>
        </w:rPr>
        <w:t xml:space="preserve">3.4  Requirement Specification</w:t>
      </w:r>
    </w:p>
    <w:p>
      <w:pPr>
        <w:spacing w:after="120" w:before="0" w:line="360"/>
        <w:jc w:val="both"/>
      </w:pPr>
      <w:r>
        <w:rPr>
          <w:rFonts w:ascii="Times New Roman" w:cs="Times New Roman" w:eastAsia="Times New Roman" w:hAnsi="Times New Roman"/>
          <w:sz w:val="24"/>
          <w:szCs w:val="24"/>
        </w:rPr>
        <w:t xml:space="preserve">The requirements are separated into functional requirements, which state what the system must do, and non functional requirements, which constrain how it must do it. The non functional requirements concerning temporal integrity are of particular importance, since a violation of them would invalidate every performance figure the system produces while remaining invisible in its output.</w:t>
      </w:r>
    </w:p>
    <w:p>
      <w:pPr>
        <w:pStyle w:val="Heading3"/>
        <w:spacing w:after="120" w:before="180" w:line="360"/>
        <w:jc w:val="left"/>
      </w:pPr>
      <w:r>
        <w:rPr>
          <w:rFonts w:ascii="Times New Roman" w:cs="Times New Roman" w:eastAsia="Times New Roman" w:hAnsi="Times New Roman"/>
          <w:b/>
          <w:bCs/>
          <w:sz w:val="24"/>
          <w:szCs w:val="24"/>
        </w:rPr>
        <w:t xml:space="preserve">3.4.1  Functional Requirements</w:t>
      </w:r>
    </w:p>
    <w:p>
      <w:pPr>
        <w:spacing w:after="120" w:before="0" w:line="360"/>
        <w:jc w:val="both"/>
      </w:pPr>
      <w:r>
        <w:rPr>
          <w:rFonts w:ascii="Times New Roman" w:cs="Times New Roman" w:eastAsia="Times New Roman" w:hAnsi="Times New Roman"/>
          <w:sz w:val="24"/>
          <w:szCs w:val="24"/>
        </w:rPr>
        <w:t xml:space="preserve">Table 3.1 states the functional requirements of the system.</w:t>
      </w:r>
    </w:p>
    <w:p>
      <w:pPr>
        <w:spacing w:after="80" w:before="160" w:line="240"/>
        <w:jc w:val="center"/>
      </w:pPr>
      <w:r>
        <w:rPr>
          <w:rFonts w:ascii="Times New Roman" w:cs="Times New Roman" w:eastAsia="Times New Roman" w:hAnsi="Times New Roman"/>
          <w:i/>
          <w:iCs/>
          <w:sz w:val="22"/>
          <w:szCs w:val="22"/>
        </w:rPr>
        <w:t xml:space="preserve">Table 3.1: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
        <w:gridCol w:w="7478"/>
      </w:tblGrid>
      <w:tr>
        <w:trPr>
          <w:tblHeader/>
        </w:trPr>
        <w:tc>
          <w:tcPr>
            <w:tcW w:type="dxa" w:w="831"/>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w:t>
            </w:r>
          </w:p>
        </w:tc>
        <w:tc>
          <w:tcPr>
            <w:tcW w:type="dxa" w:w="747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Requirement</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FR1</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Acquire daily open, high, low, close and volume data for a specified instrument from January 2015 to the present.</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FR2</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Acquire the India VIX and USD to INR series as macroeconomic context, and the NIFTY 50 index as market context for individual stocks.</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FR3</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Derive a fixed set of scale invariant technical features from the acquired price data.</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FR4</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Assign each observation a directional label using an instrument specific threshold.</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FR5</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Train Random Forest, XGBoost and LSTM classifiers under an expanding window walk forward scheme.</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FR6</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Evaluate each trained model once on a sealed test window and persist the resulting metrics.</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FR7</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Refit each model on all available history and persist it separately for prediction use.</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FR8</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Produce a BUY, SELL or HOLD recommendation with an associated confidence value for the next session.</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FR9</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Downgrade any recommendation to HOLD when the leading class probability falls below the configured minimum.</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FR10</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Backtest predictions into a position series and report risk adjusted performance after transaction costs.</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FR11</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Present the recommendation, track record, comparative results and methodology through a graphical interface.</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FR12</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Permit a user to add any instrument available from the data provider and train models for it on demand.</w:t>
            </w:r>
          </w:p>
        </w:tc>
      </w:tr>
      <w:tr>
        <w:tc>
          <w:tcPr>
            <w:tcW w:type="dxa" w:w="83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FR13</w:t>
            </w:r>
          </w:p>
        </w:tc>
        <w:tc>
          <w:tcPr>
            <w:tcW w:type="dxa" w:w="747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Provide a screening facility filtering instruments by relative strength index and by Bollinger band breach.</w:t>
            </w:r>
          </w:p>
        </w:tc>
      </w:tr>
    </w:tbl>
    <w:p>
      <w:pPr>
        <w:spacing w:after="0" w:before="0" w:line="240"/>
      </w:pPr>
      <w:r>
        <w:rPr>
          <w:rFonts w:ascii="Times New Roman" w:cs="Times New Roman" w:eastAsia="Times New Roman" w:hAnsi="Times New Roman"/>
          <w:sz w:val="24"/>
          <w:szCs w:val="24"/>
        </w:rPr>
        <w:t xml:space="preserve"/>
      </w:r>
    </w:p>
    <w:p>
      <w:pPr>
        <w:pStyle w:val="Heading3"/>
        <w:spacing w:after="120" w:before="180" w:line="360"/>
        <w:jc w:val="left"/>
      </w:pPr>
      <w:r>
        <w:rPr>
          <w:rFonts w:ascii="Times New Roman" w:cs="Times New Roman" w:eastAsia="Times New Roman" w:hAnsi="Times New Roman"/>
          <w:b/>
          <w:bCs/>
          <w:sz w:val="24"/>
          <w:szCs w:val="24"/>
        </w:rPr>
        <w:t xml:space="preserve">3.4.2  Non Functional Requirements</w:t>
      </w:r>
    </w:p>
    <w:p>
      <w:pPr>
        <w:spacing w:after="120" w:before="0" w:line="360"/>
        <w:jc w:val="both"/>
      </w:pPr>
      <w:r>
        <w:rPr>
          <w:rFonts w:ascii="Times New Roman" w:cs="Times New Roman" w:eastAsia="Times New Roman" w:hAnsi="Times New Roman"/>
          <w:b/>
          <w:bCs/>
          <w:i w:val="false"/>
          <w:iCs w:val="false"/>
          <w:sz w:val="24"/>
          <w:szCs w:val="24"/>
        </w:rPr>
        <w:t xml:space="preserve">Reproducibility. </w:t>
      </w:r>
      <w:r>
        <w:rPr>
          <w:rFonts w:ascii="Times New Roman" w:cs="Times New Roman" w:eastAsia="Times New Roman" w:hAnsi="Times New Roman"/>
          <w:b w:val="false"/>
          <w:bCs w:val="false"/>
          <w:i w:val="false"/>
          <w:iCs w:val="false"/>
          <w:sz w:val="24"/>
          <w:szCs w:val="24"/>
        </w:rPr>
        <w:t xml:space="preserve">All stochastic components shall be seeded so that a given dataset and configuration produce identical results across runs.</w:t>
      </w:r>
    </w:p>
    <w:p>
      <w:pPr>
        <w:spacing w:after="120" w:before="0" w:line="360"/>
        <w:jc w:val="both"/>
      </w:pPr>
      <w:r>
        <w:rPr>
          <w:rFonts w:ascii="Times New Roman" w:cs="Times New Roman" w:eastAsia="Times New Roman" w:hAnsi="Times New Roman"/>
          <w:b/>
          <w:bCs/>
          <w:i w:val="false"/>
          <w:iCs w:val="false"/>
          <w:sz w:val="24"/>
          <w:szCs w:val="24"/>
        </w:rPr>
        <w:t xml:space="preserve">Temporal integrity. </w:t>
      </w:r>
      <w:r>
        <w:rPr>
          <w:rFonts w:ascii="Times New Roman" w:cs="Times New Roman" w:eastAsia="Times New Roman" w:hAnsi="Times New Roman"/>
          <w:b w:val="false"/>
          <w:bCs w:val="false"/>
          <w:i w:val="false"/>
          <w:iCs w:val="false"/>
          <w:sz w:val="24"/>
          <w:szCs w:val="24"/>
        </w:rPr>
        <w:t xml:space="preserve">No stage of the pipeline shall permit information from after a prediction point to influence that prediction. This constraint governs the labelling, the construction of macroeconomic features, the fold boundaries, the scaler fitting and the backtest alignment.</w:t>
      </w:r>
    </w:p>
    <w:p>
      <w:pPr>
        <w:spacing w:after="120" w:before="0" w:line="360"/>
        <w:jc w:val="both"/>
      </w:pPr>
      <w:r>
        <w:rPr>
          <w:rFonts w:ascii="Times New Roman" w:cs="Times New Roman" w:eastAsia="Times New Roman" w:hAnsi="Times New Roman"/>
          <w:b/>
          <w:bCs/>
          <w:i w:val="false"/>
          <w:iCs w:val="false"/>
          <w:sz w:val="24"/>
          <w:szCs w:val="24"/>
        </w:rPr>
        <w:t xml:space="preserve">Responsiveness. </w:t>
      </w:r>
      <w:r>
        <w:rPr>
          <w:rFonts w:ascii="Times New Roman" w:cs="Times New Roman" w:eastAsia="Times New Roman" w:hAnsi="Times New Roman"/>
          <w:b w:val="false"/>
          <w:bCs w:val="false"/>
          <w:i w:val="false"/>
          <w:iCs w:val="false"/>
          <w:sz w:val="24"/>
          <w:szCs w:val="24"/>
        </w:rPr>
        <w:t xml:space="preserve">Interface interactions that do not require model training shall complete without perceptible delay. This is achieved by caching derived artefacts and by preparing price data for the full universe in advance.</w:t>
      </w:r>
    </w:p>
    <w:p>
      <w:pPr>
        <w:spacing w:after="120" w:before="0" w:line="360"/>
        <w:jc w:val="both"/>
      </w:pPr>
      <w:r>
        <w:rPr>
          <w:rFonts w:ascii="Times New Roman" w:cs="Times New Roman" w:eastAsia="Times New Roman" w:hAnsi="Times New Roman"/>
          <w:b/>
          <w:bCs/>
          <w:i w:val="false"/>
          <w:iCs w:val="false"/>
          <w:sz w:val="24"/>
          <w:szCs w:val="24"/>
        </w:rPr>
        <w:t xml:space="preserve">Transparency. </w:t>
      </w:r>
      <w:r>
        <w:rPr>
          <w:rFonts w:ascii="Times New Roman" w:cs="Times New Roman" w:eastAsia="Times New Roman" w:hAnsi="Times New Roman"/>
          <w:b w:val="false"/>
          <w:bCs w:val="false"/>
          <w:i w:val="false"/>
          <w:iCs w:val="false"/>
          <w:sz w:val="24"/>
          <w:szCs w:val="24"/>
        </w:rPr>
        <w:t xml:space="preserve">The interface shall state the basis of every figure it displays, including which model variant produced it and over what window, and shall not present a recommendation without its associated confidence.</w:t>
      </w:r>
    </w:p>
    <w:p>
      <w:pPr>
        <w:spacing w:after="120" w:before="0" w:line="360"/>
        <w:jc w:val="both"/>
      </w:pPr>
      <w:r>
        <w:rPr>
          <w:rFonts w:ascii="Times New Roman" w:cs="Times New Roman" w:eastAsia="Times New Roman" w:hAnsi="Times New Roman"/>
          <w:b/>
          <w:bCs/>
          <w:i w:val="false"/>
          <w:iCs w:val="false"/>
          <w:sz w:val="24"/>
          <w:szCs w:val="24"/>
        </w:rPr>
        <w:t xml:space="preserve">Maintainability. </w:t>
      </w:r>
      <w:r>
        <w:rPr>
          <w:rFonts w:ascii="Times New Roman" w:cs="Times New Roman" w:eastAsia="Times New Roman" w:hAnsi="Times New Roman"/>
          <w:b w:val="false"/>
          <w:bCs w:val="false"/>
          <w:i w:val="false"/>
          <w:iCs w:val="false"/>
          <w:sz w:val="24"/>
          <w:szCs w:val="24"/>
        </w:rPr>
        <w:t xml:space="preserve">Each model shall implement a common abstract interface so that an additional model family can be introduced without modification to the pipeline, the evaluation code or the interface.</w:t>
      </w:r>
    </w:p>
    <w:p>
      <w:pPr>
        <w:pStyle w:val="Heading2"/>
        <w:spacing w:after="120" w:before="240" w:line="360"/>
        <w:jc w:val="left"/>
      </w:pPr>
      <w:r>
        <w:rPr>
          <w:rFonts w:ascii="Times New Roman" w:cs="Times New Roman" w:eastAsia="Times New Roman" w:hAnsi="Times New Roman"/>
          <w:b/>
          <w:bCs/>
          <w:sz w:val="26"/>
          <w:szCs w:val="26"/>
        </w:rPr>
        <w:t xml:space="preserve">3.5  Hardware and Software Requirements</w:t>
      </w:r>
    </w:p>
    <w:p>
      <w:pPr>
        <w:spacing w:after="120" w:before="0" w:line="360"/>
        <w:jc w:val="both"/>
      </w:pPr>
      <w:r>
        <w:rPr>
          <w:rFonts w:ascii="Times New Roman" w:cs="Times New Roman" w:eastAsia="Times New Roman" w:hAnsi="Times New Roman"/>
          <w:sz w:val="24"/>
          <w:szCs w:val="24"/>
        </w:rPr>
        <w:t xml:space="preserve">The system was developed and tested on a machine running Windows 11 with a multi core central processing unit and sixteen gigabytes of memory. No specialised hardware is required. Table 3.1 lists the software environment.</w:t>
      </w:r>
    </w:p>
    <w:p>
      <w:pPr>
        <w:spacing w:after="80" w:before="160" w:line="240"/>
        <w:jc w:val="center"/>
      </w:pPr>
      <w:r>
        <w:rPr>
          <w:rFonts w:ascii="Times New Roman" w:cs="Times New Roman" w:eastAsia="Times New Roman" w:hAnsi="Times New Roman"/>
          <w:i/>
          <w:iCs/>
          <w:sz w:val="22"/>
          <w:szCs w:val="22"/>
        </w:rPr>
        <w:t xml:space="preserve">Table 3.2: Software environment and library versions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96"/>
        <w:gridCol w:w="4653"/>
      </w:tblGrid>
      <w:tr>
        <w:trPr>
          <w:tblHeader/>
        </w:trPr>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Component</w:t>
            </w:r>
          </w:p>
        </w:tc>
        <w:tc>
          <w:tcPr>
            <w:tcW w:type="dxa" w:w="149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Version</w:t>
            </w:r>
          </w:p>
        </w:tc>
        <w:tc>
          <w:tcPr>
            <w:tcW w:type="dxa" w:w="465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Role in the system</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Python</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3.12.10</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Implementation language for the entire pipeline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pandas</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3.0.5</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Tabular data handling and time series resampling</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NumPy</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Bundled</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Numerical array operations</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scikit-learn</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1.9.0</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Random Forest, metrics, preprocessing utilities</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3.4.1</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Gradient boosted tree classifier</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TensorFlow</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2.21.0</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Keras backend for the LSTM network</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pandas-ta</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Bundled</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Technical indicator computation</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yfinance</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1.6.0</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Market data acquisition</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Streamlit</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1.61.1</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Interactive dashboard framework</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Plotly</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6.9.0</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Interactive charting</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joblib</w:t>
            </w:r>
          </w:p>
        </w:tc>
        <w:tc>
          <w:tcPr>
            <w:tcW w:type="dxa" w:w="149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Bundled</w:t>
            </w:r>
          </w:p>
        </w:tc>
        <w:tc>
          <w:tcPr>
            <w:tcW w:type="dxa" w:w="465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Model serialisation</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complete implementation comprises 3,869 lines of Python distributed across twenty one modules, excluding notebooks and generated artefacts.</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4</w:t>
      </w:r>
    </w:p>
    <w:p>
      <w:pPr>
        <w:pStyle w:val="Heading1"/>
        <w:spacing w:after="240" w:before="240" w:line="360"/>
        <w:jc w:val="left"/>
      </w:pPr>
      <w:r>
        <w:rPr>
          <w:rFonts w:ascii="Times New Roman" w:cs="Times New Roman" w:eastAsia="Times New Roman" w:hAnsi="Times New Roman"/>
          <w:b/>
          <w:bCs/>
          <w:sz w:val="32"/>
          <w:szCs w:val="32"/>
        </w:rPr>
        <w:t xml:space="preserve">SYSTEM DESIGN</w:t>
      </w:r>
    </w:p>
    <w:p>
      <w:pPr>
        <w:pStyle w:val="Heading2"/>
        <w:spacing w:after="120" w:before="240" w:line="360"/>
        <w:jc w:val="left"/>
      </w:pPr>
      <w:r>
        <w:rPr>
          <w:rFonts w:ascii="Times New Roman" w:cs="Times New Roman" w:eastAsia="Times New Roman" w:hAnsi="Times New Roman"/>
          <w:b/>
          <w:bCs/>
          <w:sz w:val="26"/>
          <w:szCs w:val="26"/>
        </w:rPr>
        <w:t xml:space="preserve">4.1  Architectural Overview</w:t>
      </w:r>
    </w:p>
    <w:p>
      <w:pPr>
        <w:spacing w:after="120" w:before="0" w:line="360"/>
        <w:jc w:val="both"/>
      </w:pPr>
      <w:r>
        <w:rPr>
          <w:rFonts w:ascii="Times New Roman" w:cs="Times New Roman" w:eastAsia="Times New Roman" w:hAnsi="Times New Roman"/>
          <w:sz w:val="24"/>
          <w:szCs w:val="24"/>
        </w:rPr>
        <w:t xml:space="preserve">The system is organised into two independent executables that communicate only through files written to disk. The first is a batch pipeline that acquires data, derives features, trains models and persists artefacts. The second is an interactive dashboard that reads those artefacts and presents them. The dashboard performs no training within its own process; when a user requests training it launches the pipeline as a separate operating system process and monitors its progress by reading the log file that process writes.</w:t>
      </w:r>
    </w:p>
    <w:p>
      <w:pPr>
        <w:spacing w:after="120" w:before="0" w:line="360"/>
        <w:jc w:val="both"/>
      </w:pPr>
      <w:r>
        <w:rPr>
          <w:rFonts w:ascii="Times New Roman" w:cs="Times New Roman" w:eastAsia="Times New Roman" w:hAnsi="Times New Roman"/>
          <w:sz w:val="24"/>
          <w:szCs w:val="24"/>
        </w:rPr>
        <w:t xml:space="preserve">Figure 4.1 presents the overall architecture. Rectangular stages denote processing steps and the labels beneath each arrow denote the artefact written at that stage.</w:t>
      </w:r>
    </w:p>
    <w:p>
      <w:pPr>
        <w:spacing w:after="0" w:before="120" w:line="240"/>
        <w:jc w:val="center"/>
      </w:pPr>
      <w:r>
        <w:drawing>
          <wp:inline distT="0" distB="0" distL="0" distR="0">
            <wp:extent cx="3886200" cy="4314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86200" cy="431482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4.1: End to end system architecture</w:t>
      </w:r>
    </w:p>
    <w:p>
      <w:pPr>
        <w:spacing w:after="120" w:before="0" w:line="360"/>
        <w:jc w:val="both"/>
      </w:pPr>
      <w:r>
        <w:rPr>
          <w:rFonts w:ascii="Times New Roman" w:cs="Times New Roman" w:eastAsia="Times New Roman" w:hAnsi="Times New Roman"/>
          <w:sz w:val="24"/>
          <w:szCs w:val="24"/>
        </w:rPr>
        <w:t xml:space="preserve">Figure 4.2 reproduces the summary of this design as it is presented to the user inside the application itself, which includes the division between the sealed evaluation model and the refitted prediction model.</w:t>
      </w:r>
    </w:p>
    <w:p>
      <w:pPr>
        <w:spacing w:after="0" w:before="120" w:line="240"/>
        <w:jc w:val="center"/>
      </w:pPr>
      <w:r>
        <w:drawing>
          <wp:inline distT="0" distB="0" distL="0" distR="0">
            <wp:extent cx="3238500" cy="2162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4.2: Pipeline and dual model design as presented inside the application</w:t>
      </w:r>
    </w:p>
    <w:p>
      <w:pPr>
        <w:pStyle w:val="Heading2"/>
        <w:spacing w:after="120" w:before="240" w:line="360"/>
        <w:jc w:val="left"/>
      </w:pPr>
      <w:r>
        <w:rPr>
          <w:rFonts w:ascii="Times New Roman" w:cs="Times New Roman" w:eastAsia="Times New Roman" w:hAnsi="Times New Roman"/>
          <w:b/>
          <w:bCs/>
          <w:sz w:val="26"/>
          <w:szCs w:val="26"/>
        </w:rPr>
        <w:t xml:space="preserve">4.2  Data Flow Through the System</w:t>
      </w:r>
    </w:p>
    <w:p>
      <w:pPr>
        <w:spacing w:after="120" w:before="0" w:line="360"/>
        <w:jc w:val="both"/>
      </w:pPr>
      <w:r>
        <w:rPr>
          <w:rFonts w:ascii="Times New Roman" w:cs="Times New Roman" w:eastAsia="Times New Roman" w:hAnsi="Times New Roman"/>
          <w:sz w:val="24"/>
          <w:szCs w:val="24"/>
        </w:rPr>
        <w:t xml:space="preserve">When the dashboard requires a current recommendation it performs no computation beyond loading the refitted model artefact, selecting the most recent row of the feature matrix, and executing a single forward pass. The absence of any acquisition, derivation or fitting at this point is what permits the interface to respond immediately.</w:t>
      </w:r>
    </w:p>
    <w:p>
      <w:pPr>
        <w:pStyle w:val="Heading2"/>
        <w:spacing w:after="120" w:before="240" w:line="360"/>
        <w:jc w:val="left"/>
      </w:pPr>
      <w:r>
        <w:rPr>
          <w:rFonts w:ascii="Times New Roman" w:cs="Times New Roman" w:eastAsia="Times New Roman" w:hAnsi="Times New Roman"/>
          <w:b/>
          <w:bCs/>
          <w:sz w:val="26"/>
          <w:szCs w:val="26"/>
        </w:rPr>
        <w:t xml:space="preserve">4.3  Module Decomposition</w:t>
      </w:r>
    </w:p>
    <w:p>
      <w:pPr>
        <w:spacing w:after="120" w:before="0" w:line="360"/>
        <w:jc w:val="both"/>
      </w:pPr>
      <w:r>
        <w:rPr>
          <w:rFonts w:ascii="Times New Roman" w:cs="Times New Roman" w:eastAsia="Times New Roman" w:hAnsi="Times New Roman"/>
          <w:sz w:val="24"/>
          <w:szCs w:val="24"/>
        </w:rPr>
        <w:t xml:space="preserve">Table 4.1 lists each module of the implementation together with its responsibility and its position in the pipeline.</w:t>
      </w:r>
    </w:p>
    <w:p>
      <w:pPr>
        <w:spacing w:after="80" w:before="160" w:line="240"/>
        <w:jc w:val="center"/>
      </w:pPr>
      <w:r>
        <w:rPr>
          <w:rFonts w:ascii="Times New Roman" w:cs="Times New Roman" w:eastAsia="Times New Roman" w:hAnsi="Times New Roman"/>
          <w:i/>
          <w:iCs/>
          <w:sz w:val="22"/>
          <w:szCs w:val="22"/>
        </w:rPr>
        <w:t xml:space="preserve">Table 4.1: Module decomposition and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93"/>
        <w:gridCol w:w="997"/>
        <w:gridCol w:w="4819"/>
      </w:tblGrid>
      <w:tr>
        <w:trPr>
          <w:tblHeader/>
        </w:trPr>
        <w:tc>
          <w:tcPr>
            <w:tcW w:type="dxa" w:w="249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Module</w:t>
            </w:r>
          </w:p>
        </w:tc>
        <w:tc>
          <w:tcPr>
            <w:tcW w:type="dxa" w:w="99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Lines</w:t>
            </w:r>
          </w:p>
        </w:tc>
        <w:tc>
          <w:tcPr>
            <w:tcW w:type="dxa" w:w="4819"/>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Responsibility</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config.py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228</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Paths, constants, instrument registry, feature list selection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data_loader.py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60</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Acquisition of price and macroeconomic series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data_cleaner.py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64</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Header normalisation, type coercion, deduplication, forward fill</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features.py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169</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Technical indicator computation and scale invariant transformation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target.py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77</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Directional labelling and class balance reporting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validation.py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79</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Walk forward fold definitions and the sealed test split</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evaluate.py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192</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Model construction, fold execution, metric computation, persistence</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backtest.py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259</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Position mapping, cost accounting, risk adjusted metrics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predict.py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107</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Model loading and current prediction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recommend.py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115</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Action mapping, confidence gate, indicator narrative</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run_pipeline.py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106</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Command line orchestration of the full pipeline</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prepare_universe.py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107</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Bulk preparation of all instruments without training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models/base.py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76</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Abstract model interface, probability alignment, sequence construction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models/rf_model.py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41</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Random Forest implementation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models/xgb_model.py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55</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XGBoost implementation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models/lstm_model.py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128</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LSTM implementation with scaling and early stopping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dashboard/app.py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~800</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Dashboard layout, views, caching, job launching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dashboard/retro.py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~620</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Interface styling, ASCII rendering, loading interface</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dashboard/screener.py</w:t>
            </w:r>
          </w:p>
        </w:tc>
        <w:tc>
          <w:tcPr>
            <w:tcW w:type="dxa" w:w="99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163</w:t>
            </w:r>
          </w:p>
        </w:tc>
        <w:tc>
          <w:tcPr>
            <w:tcW w:type="dxa" w:w="481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Cross sectional indicator screens</w:t>
            </w:r>
          </w:p>
        </w:tc>
      </w:tr>
    </w:tbl>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4.4  The Instrument Abstraction</w:t>
      </w:r>
    </w:p>
    <w:p>
      <w:pPr>
        <w:spacing w:after="120" w:before="0" w:line="360"/>
        <w:jc w:val="both"/>
      </w:pPr>
      <w:r>
        <w:rPr>
          <w:rFonts w:ascii="Times New Roman" w:cs="Times New Roman" w:eastAsia="Times New Roman" w:hAnsi="Times New Roman"/>
          <w:sz w:val="24"/>
          <w:szCs w:val="24"/>
        </w:rPr>
        <w:t xml:space="preserve">Every instrument the system can process is represented by a single immutable record carrying its internal key, the symbol understood by the data provider, a display name, a kind of either index or stock, and the threshold defining its NEUTRAL band. Critically, this record also owns its own file paths, so that no other module constructs a path by string concatenation.</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@dataclass(frozen=True)</w:t>
      </w:r>
    </w:p>
    <w:p>
      <w:pPr>
        <w:pBdr>
          <w:left w:val="single" w:color="BFBFBF" w:sz="6" w:space="6"/>
        </w:pBdr>
        <w:shd w:fill="F2F2F2" w:val="clear"/>
        <w:spacing w:after="0" w:before="0" w:line="240"/>
        <w:jc w:val="left"/>
      </w:pPr>
      <w:r>
        <w:rPr>
          <w:rFonts w:ascii="Consolas" w:cs="Consolas" w:eastAsia="Consolas" w:hAnsi="Consolas"/>
          <w:sz w:val="17"/>
          <w:szCs w:val="17"/>
        </w:rPr>
        <w:t xml:space="preserve">class Instrument:</w:t>
      </w:r>
    </w:p>
    <w:p>
      <w:pPr>
        <w:pBdr>
          <w:left w:val="single" w:color="BFBFBF" w:sz="6" w:space="6"/>
        </w:pBdr>
        <w:shd w:fill="F2F2F2" w:val="clear"/>
        <w:spacing w:after="0" w:before="0" w:line="240"/>
        <w:jc w:val="left"/>
      </w:pPr>
      <w:r>
        <w:rPr>
          <w:rFonts w:ascii="Consolas" w:cs="Consolas" w:eastAsia="Consolas" w:hAnsi="Consolas"/>
          <w:sz w:val="17"/>
          <w:szCs w:val="17"/>
        </w:rPr>
        <w:t xml:space="preserve">    key: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symbol: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name: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kind: str  # "index" or "stock"</w:t>
      </w:r>
    </w:p>
    <w:p>
      <w:pPr>
        <w:pBdr>
          <w:left w:val="single" w:color="BFBFBF" w:sz="6" w:space="6"/>
        </w:pBdr>
        <w:shd w:fill="F2F2F2" w:val="clear"/>
        <w:spacing w:after="0" w:before="0" w:line="240"/>
        <w:jc w:val="left"/>
      </w:pPr>
      <w:r>
        <w:rPr>
          <w:rFonts w:ascii="Consolas" w:cs="Consolas" w:eastAsia="Consolas" w:hAnsi="Consolas"/>
          <w:sz w:val="17"/>
          <w:szCs w:val="17"/>
        </w:rPr>
        <w:t xml:space="preserve">    threshold: float</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@property</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slug(self) -&gt;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self.key.lower()</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raw_path(self) -&gt; Path:</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RAW_DIR / f"{self.slug}_raw.csv"</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clean_path(self) -&gt; Path:</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PROCESSED_DIR / f"{self.slug}_clean.csv"</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features_path(self) -&gt; Path:</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PROCESSED_DIR / f"{self.slug}_features.csv"</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labeled_path(self) -&gt; Path:</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return PROCESSED_DIR / f"{self.slug}_labeled.csv"</w:t>
      </w:r>
    </w:p>
    <w:p>
      <w:pPr>
        <w:spacing w:after="200" w:before="80" w:line="240"/>
        <w:jc w:val="center"/>
      </w:pPr>
      <w:r>
        <w:rPr>
          <w:rFonts w:ascii="Times New Roman" w:cs="Times New Roman" w:eastAsia="Times New Roman" w:hAnsi="Times New Roman"/>
          <w:i/>
          <w:iCs/>
          <w:sz w:val="22"/>
          <w:szCs w:val="22"/>
        </w:rPr>
        <w:t xml:space="preserve">Listing 4.1: The immutable instrument record, which owns its own artefact paths</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set of features supplied to a model is likewise determined by the instrument, through a single function that both the training code and the prediction code call. This is what guarantees that the column order presented at prediction time is identical to the column order on which the model was fitted.</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def model_features_for(instrument: Instrument) -&gt; list[str]: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if instrument.kind == "stock":</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MODEL_FEATURES + MARKET_FEATURES   # 28 columns</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return list(MODEL_FEATURES)                   # 26 columns</w:t>
      </w:r>
    </w:p>
    <w:p>
      <w:pPr>
        <w:spacing w:after="200" w:before="80" w:line="240"/>
        <w:jc w:val="center"/>
      </w:pPr>
      <w:r>
        <w:rPr>
          <w:rFonts w:ascii="Times New Roman" w:cs="Times New Roman" w:eastAsia="Times New Roman" w:hAnsi="Times New Roman"/>
          <w:i/>
          <w:iCs/>
          <w:sz w:val="22"/>
          <w:szCs w:val="22"/>
        </w:rPr>
        <w:t xml:space="preserve">Listing 4.2: Feature selection, the single point at which the feature count is decided</w:t>
      </w:r>
    </w:p>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4.5  The Model Abstraction Layer</w:t>
      </w:r>
    </w:p>
    <w:p>
      <w:pPr>
        <w:spacing w:after="120" w:before="0" w:line="360"/>
        <w:jc w:val="both"/>
      </w:pPr>
      <w:r>
        <w:rPr>
          <w:rFonts w:ascii="Times New Roman" w:cs="Times New Roman" w:eastAsia="Times New Roman" w:hAnsi="Times New Roman"/>
          <w:sz w:val="24"/>
          <w:szCs w:val="24"/>
        </w:rPr>
        <w:t xml:space="preserve">All three model families implement a common abstract interface. This permits the evaluation code to treat them uniformly and allows a further family to be added without modification elsewhere.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class DirectionModel:</w:t>
      </w:r>
    </w:p>
    <w:p>
      <w:pPr>
        <w:pBdr>
          <w:left w:val="single" w:color="BFBFBF" w:sz="6" w:space="6"/>
        </w:pBdr>
        <w:shd w:fill="F2F2F2" w:val="clear"/>
        <w:spacing w:after="0" w:before="0" w:line="240"/>
        <w:jc w:val="left"/>
      </w:pPr>
      <w:r>
        <w:rPr>
          <w:rFonts w:ascii="Consolas" w:cs="Consolas" w:eastAsia="Consolas" w:hAnsi="Consolas"/>
          <w:sz w:val="17"/>
          <w:szCs w:val="17"/>
        </w:rPr>
        <w:t xml:space="preserve">    name: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lookback: int = 1          # 1 = tabular, &gt; 1 = requires a sequence</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fit(self, X, y):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predict_proba(self, X, context=None):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predict(self, X, context=None): ...</w:t>
      </w:r>
    </w:p>
    <w:p>
      <w:pPr>
        <w:pBdr>
          <w:left w:val="single" w:color="BFBFBF" w:sz="6" w:space="6"/>
        </w:pBdr>
        <w:shd w:fill="F2F2F2" w:val="clear"/>
        <w:spacing w:after="0" w:before="0" w:line="240"/>
        <w:jc w:val="left"/>
      </w:pPr>
      <w:r>
        <w:rPr>
          <w:rFonts w:ascii="Consolas" w:cs="Consolas" w:eastAsia="Consolas" w:hAnsi="Consolas"/>
          <w:sz w:val="17"/>
          <w:szCs w:val="17"/>
        </w:rPr>
        <w:t xml:space="preserve">    def save(self, stem): ...</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def load(stem): ...</w:t>
      </w:r>
    </w:p>
    <w:p>
      <w:pPr>
        <w:spacing w:after="200" w:before="80" w:line="240"/>
        <w:jc w:val="center"/>
      </w:pPr>
      <w:r>
        <w:rPr>
          <w:rFonts w:ascii="Times New Roman" w:cs="Times New Roman" w:eastAsia="Times New Roman" w:hAnsi="Times New Roman"/>
          <w:i/>
          <w:iCs/>
          <w:sz w:val="22"/>
          <w:szCs w:val="22"/>
        </w:rPr>
        <w:t xml:space="preserve">Listing 4.3: The abstract model interface shared by all three families</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lookback attribute is the mechanism by which sequential and tabular models coexist behind one interface. A model declaring a lookback of one receives a single row of features. A model declaring a larger lookback additionally receives a context argument containing the preceding rows, which it assembles internally into a sequence tensor. The surrounding pipeline does not branch on model type; it merely supplies the context when the model requests it.</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def align_proba(model_classes, proba) -&gt; np.ndarray:</w:t>
      </w:r>
    </w:p>
    <w:p>
      <w:pPr>
        <w:pBdr>
          <w:left w:val="single" w:color="BFBFBF" w:sz="6" w:space="6"/>
        </w:pBdr>
        <w:shd w:fill="F2F2F2" w:val="clear"/>
        <w:spacing w:after="0" w:before="0" w:line="240"/>
        <w:jc w:val="left"/>
      </w:pPr>
      <w:r>
        <w:rPr>
          <w:rFonts w:ascii="Consolas" w:cs="Consolas" w:eastAsia="Consolas" w:hAnsi="Consolas"/>
          <w:sz w:val="17"/>
          <w:szCs w:val="17"/>
        </w:rPr>
        <w:t xml:space="preserve">    """Pad a probability matrix to all three classes in order 0, 1, 2.</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A fold with no DOWN days yields a two column matrix. Reading column 1</w:t>
      </w:r>
    </w:p>
    <w:p>
      <w:pPr>
        <w:pBdr>
          <w:left w:val="single" w:color="BFBFBF" w:sz="6" w:space="6"/>
        </w:pBdr>
        <w:shd w:fill="F2F2F2" w:val="clear"/>
        <w:spacing w:after="0" w:before="0" w:line="240"/>
        <w:jc w:val="left"/>
      </w:pPr>
      <w:r>
        <w:rPr>
          <w:rFonts w:ascii="Consolas" w:cs="Consolas" w:eastAsia="Consolas" w:hAnsi="Consolas"/>
          <w:sz w:val="17"/>
          <w:szCs w:val="17"/>
        </w:rPr>
        <w:t xml:space="preserve">    positionally would report UP as NEUTRAL, which is silent and wrong.</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full = np.zeros((proba.shape[0], N_CLASSES))</w:t>
      </w:r>
    </w:p>
    <w:p>
      <w:pPr>
        <w:pBdr>
          <w:left w:val="single" w:color="BFBFBF" w:sz="6" w:space="6"/>
        </w:pBdr>
        <w:shd w:fill="F2F2F2" w:val="clear"/>
        <w:spacing w:after="0" w:before="0" w:line="240"/>
        <w:jc w:val="left"/>
      </w:pPr>
      <w:r>
        <w:rPr>
          <w:rFonts w:ascii="Consolas" w:cs="Consolas" w:eastAsia="Consolas" w:hAnsi="Consolas"/>
          <w:sz w:val="17"/>
          <w:szCs w:val="17"/>
        </w:rPr>
        <w:t xml:space="preserve">    for position, cls in enumerate(model_classes):</w:t>
      </w:r>
    </w:p>
    <w:p>
      <w:pPr>
        <w:pBdr>
          <w:left w:val="single" w:color="BFBFBF" w:sz="6" w:space="6"/>
        </w:pBdr>
        <w:shd w:fill="F2F2F2" w:val="clear"/>
        <w:spacing w:after="0" w:before="0" w:line="240"/>
        <w:jc w:val="left"/>
      </w:pPr>
      <w:r>
        <w:rPr>
          <w:rFonts w:ascii="Consolas" w:cs="Consolas" w:eastAsia="Consolas" w:hAnsi="Consolas"/>
          <w:sz w:val="17"/>
          <w:szCs w:val="17"/>
        </w:rPr>
        <w:t xml:space="preserve">        full[:, int(cls)] = proba[:, position]</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return full</w:t>
      </w:r>
    </w:p>
    <w:p>
      <w:pPr>
        <w:spacing w:after="200" w:before="80" w:line="240"/>
        <w:jc w:val="center"/>
      </w:pPr>
      <w:r>
        <w:rPr>
          <w:rFonts w:ascii="Times New Roman" w:cs="Times New Roman" w:eastAsia="Times New Roman" w:hAnsi="Times New Roman"/>
          <w:i/>
          <w:iCs/>
          <w:sz w:val="22"/>
          <w:szCs w:val="22"/>
        </w:rPr>
        <w:t xml:space="preserve">Listing 4.4: Probability alignment, which prevents silent class mislabelling</w:t>
      </w:r>
    </w:p>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4.6  Repository Structure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dishanifty/</w:t>
      </w:r>
    </w:p>
    <w:p>
      <w:pPr>
        <w:pBdr>
          <w:left w:val="single" w:color="BFBFBF" w:sz="6" w:space="6"/>
        </w:pBdr>
        <w:shd w:fill="F2F2F2" w:val="clear"/>
        <w:spacing w:after="0" w:before="0" w:line="240"/>
        <w:jc w:val="left"/>
      </w:pPr>
      <w:r>
        <w:rPr>
          <w:rFonts w:ascii="Consolas" w:cs="Consolas" w:eastAsia="Consolas" w:hAnsi="Consolas"/>
          <w:sz w:val="17"/>
          <w:szCs w:val="17"/>
        </w:rPr>
        <w:t xml:space="preserve">    src/</w:t>
      </w:r>
    </w:p>
    <w:p>
      <w:pPr>
        <w:pBdr>
          <w:left w:val="single" w:color="BFBFBF" w:sz="6" w:space="6"/>
        </w:pBdr>
        <w:shd w:fill="F2F2F2" w:val="clear"/>
        <w:spacing w:after="0" w:before="0" w:line="240"/>
        <w:jc w:val="left"/>
      </w:pPr>
      <w:r>
        <w:rPr>
          <w:rFonts w:ascii="Consolas" w:cs="Consolas" w:eastAsia="Consolas" w:hAnsi="Consolas"/>
          <w:sz w:val="17"/>
          <w:szCs w:val="17"/>
        </w:rPr>
        <w:t xml:space="preserve">        config.py  data_loader.py  data_cleaner.py  features.py</w:t>
      </w:r>
    </w:p>
    <w:p>
      <w:pPr>
        <w:pBdr>
          <w:left w:val="single" w:color="BFBFBF" w:sz="6" w:space="6"/>
        </w:pBdr>
        <w:shd w:fill="F2F2F2" w:val="clear"/>
        <w:spacing w:after="0" w:before="0" w:line="240"/>
        <w:jc w:val="left"/>
      </w:pPr>
      <w:r>
        <w:rPr>
          <w:rFonts w:ascii="Consolas" w:cs="Consolas" w:eastAsia="Consolas" w:hAnsi="Consolas"/>
          <w:sz w:val="17"/>
          <w:szCs w:val="17"/>
        </w:rPr>
        <w:t xml:space="preserve">        target.py  validation.py   evaluate.py      backtest.py</w:t>
      </w:r>
    </w:p>
    <w:p>
      <w:pPr>
        <w:pBdr>
          <w:left w:val="single" w:color="BFBFBF" w:sz="6" w:space="6"/>
        </w:pBdr>
        <w:shd w:fill="F2F2F2" w:val="clear"/>
        <w:spacing w:after="0" w:before="0" w:line="240"/>
        <w:jc w:val="left"/>
      </w:pPr>
      <w:r>
        <w:rPr>
          <w:rFonts w:ascii="Consolas" w:cs="Consolas" w:eastAsia="Consolas" w:hAnsi="Consolas"/>
          <w:sz w:val="17"/>
          <w:szCs w:val="17"/>
        </w:rPr>
        <w:t xml:space="preserve">        predict.py recommend.py    track_record.py  run_pipeline.py</w:t>
      </w:r>
    </w:p>
    <w:p>
      <w:pPr>
        <w:pBdr>
          <w:left w:val="single" w:color="BFBFBF" w:sz="6" w:space="6"/>
        </w:pBdr>
        <w:shd w:fill="F2F2F2" w:val="clear"/>
        <w:spacing w:after="0" w:before="0" w:line="240"/>
        <w:jc w:val="left"/>
      </w:pPr>
      <w:r>
        <w:rPr>
          <w:rFonts w:ascii="Consolas" w:cs="Consolas" w:eastAsia="Consolas" w:hAnsi="Consolas"/>
          <w:sz w:val="17"/>
          <w:szCs w:val="17"/>
        </w:rPr>
        <w:t xml:space="preserve">        prepare_universe.py        fetch_universe.py</w:t>
      </w:r>
    </w:p>
    <w:p>
      <w:pPr>
        <w:pBdr>
          <w:left w:val="single" w:color="BFBFBF" w:sz="6" w:space="6"/>
        </w:pBdr>
        <w:shd w:fill="F2F2F2" w:val="clear"/>
        <w:spacing w:after="0" w:before="0" w:line="240"/>
        <w:jc w:val="left"/>
      </w:pPr>
      <w:r>
        <w:rPr>
          <w:rFonts w:ascii="Consolas" w:cs="Consolas" w:eastAsia="Consolas" w:hAnsi="Consolas"/>
          <w:sz w:val="17"/>
          <w:szCs w:val="17"/>
        </w:rPr>
        <w:t xml:space="preserve">        models/</w:t>
      </w:r>
    </w:p>
    <w:p>
      <w:pPr>
        <w:pBdr>
          <w:left w:val="single" w:color="BFBFBF" w:sz="6" w:space="6"/>
        </w:pBdr>
        <w:shd w:fill="F2F2F2" w:val="clear"/>
        <w:spacing w:after="0" w:before="0" w:line="240"/>
        <w:jc w:val="left"/>
      </w:pPr>
      <w:r>
        <w:rPr>
          <w:rFonts w:ascii="Consolas" w:cs="Consolas" w:eastAsia="Consolas" w:hAnsi="Consolas"/>
          <w:sz w:val="17"/>
          <w:szCs w:val="17"/>
        </w:rPr>
        <w:t xml:space="preserve">            base.py  rf_model.py  xgb_model.py  lstm_model.py</w:t>
      </w:r>
    </w:p>
    <w:p>
      <w:pPr>
        <w:pBdr>
          <w:left w:val="single" w:color="BFBFBF" w:sz="6" w:space="6"/>
        </w:pBdr>
        <w:shd w:fill="F2F2F2" w:val="clear"/>
        <w:spacing w:after="0" w:before="0" w:line="240"/>
        <w:jc w:val="left"/>
      </w:pPr>
      <w:r>
        <w:rPr>
          <w:rFonts w:ascii="Consolas" w:cs="Consolas" w:eastAsia="Consolas" w:hAnsi="Consolas"/>
          <w:sz w:val="17"/>
          <w:szCs w:val="17"/>
        </w:rPr>
        <w:t xml:space="preserve">    dashboard/</w:t>
      </w:r>
    </w:p>
    <w:p>
      <w:pPr>
        <w:pBdr>
          <w:left w:val="single" w:color="BFBFBF" w:sz="6" w:space="6"/>
        </w:pBdr>
        <w:shd w:fill="F2F2F2" w:val="clear"/>
        <w:spacing w:after="0" w:before="0" w:line="240"/>
        <w:jc w:val="left"/>
      </w:pPr>
      <w:r>
        <w:rPr>
          <w:rFonts w:ascii="Consolas" w:cs="Consolas" w:eastAsia="Consolas" w:hAnsi="Consolas"/>
          <w:sz w:val="17"/>
          <w:szCs w:val="17"/>
        </w:rPr>
        <w:t xml:space="preserve">        app.py  retro.py  screener.py  timeframes.py</w:t>
      </w:r>
    </w:p>
    <w:p>
      <w:pPr>
        <w:pBdr>
          <w:left w:val="single" w:color="BFBFBF" w:sz="6" w:space="6"/>
        </w:pBdr>
        <w:shd w:fill="F2F2F2" w:val="clear"/>
        <w:spacing w:after="0" w:before="0" w:line="240"/>
        <w:jc w:val="left"/>
      </w:pPr>
      <w:r>
        <w:rPr>
          <w:rFonts w:ascii="Consolas" w:cs="Consolas" w:eastAsia="Consolas" w:hAnsi="Consolas"/>
          <w:sz w:val="17"/>
          <w:szCs w:val="17"/>
        </w:rPr>
        <w:t xml:space="preserve">    data/</w:t>
      </w:r>
    </w:p>
    <w:p>
      <w:pPr>
        <w:pBdr>
          <w:left w:val="single" w:color="BFBFBF" w:sz="6" w:space="6"/>
        </w:pBdr>
        <w:shd w:fill="F2F2F2" w:val="clear"/>
        <w:spacing w:after="0" w:before="0" w:line="240"/>
        <w:jc w:val="left"/>
      </w:pPr>
      <w:r>
        <w:rPr>
          <w:rFonts w:ascii="Consolas" w:cs="Consolas" w:eastAsia="Consolas" w:hAnsi="Consolas"/>
          <w:sz w:val="17"/>
          <w:szCs w:val="17"/>
        </w:rPr>
        <w:t xml:space="preserve">        raw/         processed/      predictions/</w:t>
      </w:r>
    </w:p>
    <w:p>
      <w:pPr>
        <w:pBdr>
          <w:left w:val="single" w:color="BFBFBF" w:sz="6" w:space="6"/>
        </w:pBdr>
        <w:shd w:fill="F2F2F2" w:val="clear"/>
        <w:spacing w:after="0" w:before="0" w:line="240"/>
        <w:jc w:val="left"/>
      </w:pPr>
      <w:r>
        <w:rPr>
          <w:rFonts w:ascii="Consolas" w:cs="Consolas" w:eastAsia="Consolas" w:hAnsi="Consolas"/>
          <w:sz w:val="17"/>
          <w:szCs w:val="17"/>
        </w:rPr>
        <w:t xml:space="preserve">        nifty50_constituents.json    universe_status.json</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results/         saved_models/   logs/   notebooks/</w:t>
      </w:r>
    </w:p>
    <w:p>
      <w:pPr>
        <w:spacing w:after="200" w:before="80" w:line="240"/>
        <w:jc w:val="center"/>
      </w:pPr>
      <w:r>
        <w:rPr>
          <w:rFonts w:ascii="Times New Roman" w:cs="Times New Roman" w:eastAsia="Times New Roman" w:hAnsi="Times New Roman"/>
          <w:i/>
          <w:iCs/>
          <w:sz w:val="22"/>
          <w:szCs w:val="22"/>
        </w:rPr>
        <w:t xml:space="preserve">Listing 4.5: Repository structure</w:t>
      </w:r>
    </w:p>
    <w:p>
      <w:pPr>
        <w:spacing w:after="0" w:before="0" w:line="240"/>
      </w:pPr>
      <w:r>
        <w:rPr>
          <w:rFonts w:ascii="Times New Roman" w:cs="Times New Roman" w:eastAsia="Times New Roman" w:hAnsi="Times New Roman"/>
          <w:sz w:val="24"/>
          <w:szCs w:val="24"/>
        </w:rPr>
        <w:t xml:space="preserve"/>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5</w:t>
      </w:r>
    </w:p>
    <w:p>
      <w:pPr>
        <w:pStyle w:val="Heading1"/>
        <w:spacing w:after="240" w:before="240" w:line="360"/>
        <w:jc w:val="left"/>
      </w:pPr>
      <w:r>
        <w:rPr>
          <w:rFonts w:ascii="Times New Roman" w:cs="Times New Roman" w:eastAsia="Times New Roman" w:hAnsi="Times New Roman"/>
          <w:b/>
          <w:bCs/>
          <w:sz w:val="32"/>
          <w:szCs w:val="32"/>
        </w:rPr>
        <w:t xml:space="preserve">METHODOLOGY</w:t>
      </w:r>
    </w:p>
    <w:p>
      <w:pPr>
        <w:spacing w:after="120" w:before="0" w:line="360"/>
        <w:jc w:val="both"/>
      </w:pPr>
      <w:r>
        <w:rPr>
          <w:rFonts w:ascii="Times New Roman" w:cs="Times New Roman" w:eastAsia="Times New Roman" w:hAnsi="Times New Roman"/>
          <w:sz w:val="24"/>
          <w:szCs w:val="24"/>
        </w:rPr>
        <w:t xml:space="preserve">This chapter documents each stage of the pipeline in the order in which it executes, stating the design decision taken at each point and the reasoning behind it.</w:t>
      </w:r>
    </w:p>
    <w:p>
      <w:pPr>
        <w:pStyle w:val="Heading2"/>
        <w:spacing w:after="120" w:before="240" w:line="360"/>
        <w:jc w:val="left"/>
      </w:pPr>
      <w:r>
        <w:rPr>
          <w:rFonts w:ascii="Times New Roman" w:cs="Times New Roman" w:eastAsia="Times New Roman" w:hAnsi="Times New Roman"/>
          <w:b/>
          <w:bCs/>
          <w:sz w:val="26"/>
          <w:szCs w:val="26"/>
        </w:rPr>
        <w:t xml:space="preserve">5.1  Data Acquisition</w:t>
      </w:r>
    </w:p>
    <w:p>
      <w:pPr>
        <w:spacing w:after="120" w:before="0" w:line="360"/>
        <w:jc w:val="both"/>
      </w:pPr>
      <w:r>
        <w:rPr>
          <w:rFonts w:ascii="Times New Roman" w:cs="Times New Roman" w:eastAsia="Times New Roman" w:hAnsi="Times New Roman"/>
          <w:sz w:val="24"/>
          <w:szCs w:val="24"/>
        </w:rPr>
        <w:t xml:space="preserve">Daily price history is retrieved through the yfinance interface to Yahoo Finance. For each instrument the open, high, low, close and volume series are requested from 1 January 2015 to the present date, with no fixed end date so that the test window extends automatically as time passes.</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df = yf.download(instrument.symbol, start=start, end=end,</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auto_adjust=True, progress=False)</w:t>
      </w:r>
    </w:p>
    <w:p>
      <w:pPr>
        <w:spacing w:after="200" w:before="80" w:line="240"/>
        <w:jc w:val="center"/>
      </w:pPr>
      <w:r>
        <w:rPr>
          <w:rFonts w:ascii="Times New Roman" w:cs="Times New Roman" w:eastAsia="Times New Roman" w:hAnsi="Times New Roman"/>
          <w:i/>
          <w:iCs/>
          <w:sz w:val="22"/>
          <w:szCs w:val="22"/>
        </w:rPr>
        <w:t xml:space="preserve">Listing 5.1: Price acquisition</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auto_adjust parameter is not optional. With adjustment disabled, a corporate action such as a stock split appears in the series as an abrupt single day movement of large magnitude. During development this was observed directly: the Tata Consultancy Services series exhibited an apparent fall of approximately fifty percent on its split date. A model trained on such a series learns that one specific historical date was catastrophic, which conveys nothing about future behaviour and corrupts every volatility derived feature in the surrounding window. Adjusted prices restore continuity across splits and dividend distributions.</w:t>
      </w:r>
    </w:p>
    <w:p>
      <w:pPr>
        <w:pStyle w:val="Heading2"/>
        <w:spacing w:after="120" w:before="240" w:line="360"/>
        <w:jc w:val="left"/>
      </w:pPr>
      <w:r>
        <w:rPr>
          <w:rFonts w:ascii="Times New Roman" w:cs="Times New Roman" w:eastAsia="Times New Roman" w:hAnsi="Times New Roman"/>
          <w:b/>
          <w:bCs/>
          <w:sz w:val="26"/>
          <w:szCs w:val="26"/>
        </w:rPr>
        <w:t xml:space="preserve">5.2  Data Cleaning</w:t>
      </w:r>
    </w:p>
    <w:p>
      <w:pPr>
        <w:pStyle w:val="Heading2"/>
        <w:spacing w:after="120" w:before="240" w:line="360"/>
        <w:jc w:val="left"/>
      </w:pPr>
      <w:r>
        <w:rPr>
          <w:rFonts w:ascii="Times New Roman" w:cs="Times New Roman" w:eastAsia="Times New Roman" w:hAnsi="Times New Roman"/>
          <w:b/>
          <w:bCs/>
          <w:sz w:val="26"/>
          <w:szCs w:val="26"/>
        </w:rPr>
        <w:t xml:space="preserve">5.3  Feature Engineering</w:t>
      </w:r>
    </w:p>
    <w:p>
      <w:pPr>
        <w:spacing w:after="120" w:before="0" w:line="360"/>
        <w:jc w:val="both"/>
      </w:pPr>
      <w:r>
        <w:rPr>
          <w:rFonts w:ascii="Times New Roman" w:cs="Times New Roman" w:eastAsia="Times New Roman" w:hAnsi="Times New Roman"/>
          <w:sz w:val="24"/>
          <w:szCs w:val="24"/>
        </w:rPr>
        <w:t xml:space="preserve">Feature engineering proceeds in two stages. The first computes conventional technical indicators from the cleaned price series. The second converts them into scale invariant form, which is the single most consequential decision in the data preparation pipeline.</w:t>
      </w:r>
    </w:p>
    <w:p>
      <w:pPr>
        <w:pStyle w:val="Heading3"/>
        <w:spacing w:after="120" w:before="180" w:line="360"/>
        <w:jc w:val="left"/>
      </w:pPr>
      <w:r>
        <w:rPr>
          <w:rFonts w:ascii="Times New Roman" w:cs="Times New Roman" w:eastAsia="Times New Roman" w:hAnsi="Times New Roman"/>
          <w:b/>
          <w:bCs/>
          <w:sz w:val="24"/>
          <w:szCs w:val="24"/>
        </w:rPr>
        <w:t xml:space="preserve">5.3.1  Technical Indicators</w:t>
      </w:r>
    </w:p>
    <w:p>
      <w:pPr>
        <w:spacing w:after="120" w:before="0" w:line="360"/>
        <w:jc w:val="both"/>
      </w:pPr>
      <w:r>
        <w:rPr>
          <w:rFonts w:ascii="Times New Roman" w:cs="Times New Roman" w:eastAsia="Times New Roman" w:hAnsi="Times New Roman"/>
          <w:sz w:val="24"/>
          <w:szCs w:val="24"/>
        </w:rPr>
        <w:t xml:space="preserve">The indicators computed are the daily return, rolling volatility over ten and twenty sessions, simple and exponential moving averages at ten, twenty and fifty sessions, the fourteen period Relative Strength Index, the Moving Average Convergence Divergence with its signal and histogram at the conventional twelve, twenty six and nine settings, Bollinger Bands at twenty periods and two standard deviations, the fourteen period Average True Range, and ten period momentum. Indicator output columns are selected by prefix rather than exact name, because the underlying library varies its suffix conventions between releases.</w:t>
      </w:r>
    </w:p>
    <w:p>
      <w:pPr>
        <w:pStyle w:val="Heading3"/>
        <w:spacing w:after="120" w:before="180" w:line="360"/>
        <w:jc w:val="left"/>
      </w:pPr>
      <w:r>
        <w:rPr>
          <w:rFonts w:ascii="Times New Roman" w:cs="Times New Roman" w:eastAsia="Times New Roman" w:hAnsi="Times New Roman"/>
          <w:b/>
          <w:bCs/>
          <w:sz w:val="24"/>
          <w:szCs w:val="24"/>
        </w:rPr>
        <w:t xml:space="preserve">5.3.2  Scale Invariance</w:t>
      </w:r>
    </w:p>
    <w:p>
      <w:pPr>
        <w:spacing w:after="120" w:before="0" w:line="360"/>
        <w:jc w:val="both"/>
      </w:pPr>
      <w:r>
        <w:rPr>
          <w:rFonts w:ascii="Times New Roman" w:cs="Times New Roman" w:eastAsia="Times New Roman" w:hAnsi="Times New Roman"/>
          <w:sz w:val="24"/>
          <w:szCs w:val="24"/>
        </w:rPr>
        <w:t xml:space="preserve">Raw price levels are never presented to a model. Every feature is expressed as a ratio, a percentage or a bounded oscillator. The reasoning is as follows. A decision tree fitted on data from 2015 may learn a split condition such as a fifty session moving average below nine thousand. That condition carried information in 2015. Once the same series trades at twenty four thousand the condition is never satisfied again and the learned rule is inert. Because the validation scheme is an expanding window in which early folds train only on early data, any feature expressed in absolute price units would degrade systematically as the window advances.</w:t>
      </w:r>
    </w:p>
    <w:p>
      <w:pPr>
        <w:spacing w:after="80" w:before="160" w:line="240"/>
        <w:jc w:val="center"/>
      </w:pPr>
      <w:r>
        <w:rPr>
          <w:rFonts w:ascii="Times New Roman" w:cs="Times New Roman" w:eastAsia="Times New Roman" w:hAnsi="Times New Roman"/>
          <w:i/>
          <w:iCs/>
          <w:sz w:val="22"/>
          <w:szCs w:val="22"/>
        </w:rPr>
        <w:t xml:space="preserve">Table 5.1: Scale invariant features derived for every instrument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825"/>
        <w:gridCol w:w="3324"/>
      </w:tblGrid>
      <w:tr>
        <w:trPr>
          <w:tblHeader/>
        </w:trPr>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Feature</w:t>
            </w:r>
          </w:p>
        </w:tc>
        <w:tc>
          <w:tcPr>
            <w:tcW w:type="dxa" w:w="282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Definition</w:t>
            </w:r>
          </w:p>
        </w:tc>
        <w:tc>
          <w:tcPr>
            <w:tcW w:type="dxa" w:w="3324"/>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Rationale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Return_Lag1 to Lag3</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Returns of the previous three sessions</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Short horizon autocorrelation</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Return_5d</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Five session cumulative return</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Week scale momentum</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Close_vs_SMA10 / 20 / 50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Close divided by simple moving average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Position relative to trend</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Close_vs_EMA10 / 20 / 50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Close divided by exponential moving average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Position relative to weighted trend</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SMA10_vs_SMA20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Ratio of two moving averages</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Short term trend alignment</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SMA20_vs_SMA50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Ratio of two moving averages</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Medium term trend alignment</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MACD_Norm</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MACD divided by close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Convergence signal, scale free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MACD_Hist_Norm</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MACD histogram divided by close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Rate of change of convergence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BB_Position</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Position within the Bollinger band, zero to one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Relative extension</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BB_Width</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Band width divided by close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Volatility regime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ATR_Pct</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Average true range divided by close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Realised range as a proportion</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Momentum_10_Pct</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Ten session momentum divided by close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Momentum, scale free</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Volume_Ratio</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Volume divided by its twenty session average</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Participation relative to normal</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RSI_14</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Fourteen period relative strength index</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Already bounded zero to one hundred</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Volatility_10 / 20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Rolling standard deviation of returns</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Already a ratio</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Market_Return</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Same day NIFTY 50 return (stocks only)</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Contemporaneous market context</w:t>
            </w:r>
          </w:p>
        </w:tc>
      </w:tr>
      <w:tr>
        <w:tc>
          <w:tcPr>
            <w:tcW w:type="dxa" w:w="216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Market_Return_5d</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Five session NIFTY 50 return (stocks only)</w:t>
            </w:r>
          </w:p>
        </w:tc>
        <w:tc>
          <w:tcPr>
            <w:tcW w:type="dxa" w:w="332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Market trend context</w:t>
            </w:r>
          </w:p>
        </w:tc>
      </w:tr>
    </w:tbl>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5.4  Macroeconomic Features and Leakage Control</w:t>
      </w:r>
    </w:p>
    <w:p>
      <w:pPr>
        <w:spacing w:after="120" w:before="0" w:line="360"/>
        <w:jc w:val="both"/>
      </w:pPr>
      <w:r>
        <w:rPr>
          <w:rFonts w:ascii="Times New Roman" w:cs="Times New Roman" w:eastAsia="Times New Roman" w:hAnsi="Times New Roman"/>
          <w:sz w:val="24"/>
          <w:szCs w:val="24"/>
        </w:rPr>
        <w:t xml:space="preserve">The direction of the fill is a correctness requirement rather than a convenience. A forward fill propagates a past observation onto a later date. It cannot move a future observation backward. Consequently no information that postdates a given prediction point can enter that point's feature vector. A backward fill or an interpolation at this stage would silently invalidate every performance figure the system subsequently produces, and would do so in a manner that is invisible in the output. This constraint is recorded in the module documentation so that any future extension of the macroeconomic feature set preserves it.</w:t>
      </w:r>
    </w:p>
    <w:p>
      <w:pPr>
        <w:pStyle w:val="Heading2"/>
        <w:spacing w:after="120" w:before="240" w:line="360"/>
        <w:jc w:val="left"/>
      </w:pPr>
      <w:r>
        <w:rPr>
          <w:rFonts w:ascii="Times New Roman" w:cs="Times New Roman" w:eastAsia="Times New Roman" w:hAnsi="Times New Roman"/>
          <w:b/>
          <w:bCs/>
          <w:sz w:val="26"/>
          <w:szCs w:val="26"/>
        </w:rPr>
        <w:t xml:space="preserve">5.5  Target Definition</w:t>
      </w:r>
    </w:p>
    <w:p>
      <w:pPr>
        <w:spacing w:after="120" w:before="0" w:line="360"/>
        <w:jc w:val="both"/>
      </w:pPr>
      <w:r>
        <w:rPr>
          <w:rFonts w:ascii="Times New Roman" w:cs="Times New Roman" w:eastAsia="Times New Roman" w:hAnsi="Times New Roman"/>
          <w:sz w:val="24"/>
          <w:szCs w:val="24"/>
        </w:rPr>
        <w:t xml:space="preserve">The label attached to each observation describes the movement from that observation's close to the following session's close.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df["Next_Return"] = df["Close"].pct_change().shift(-1)</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df["Target"] = 1                                        # NEUTRAL</w:t>
      </w:r>
    </w:p>
    <w:p>
      <w:pPr>
        <w:pBdr>
          <w:left w:val="single" w:color="BFBFBF" w:sz="6" w:space="6"/>
        </w:pBdr>
        <w:shd w:fill="F2F2F2" w:val="clear"/>
        <w:spacing w:after="0" w:before="0" w:line="240"/>
        <w:jc w:val="left"/>
      </w:pPr>
      <w:r>
        <w:rPr>
          <w:rFonts w:ascii="Consolas" w:cs="Consolas" w:eastAsia="Consolas" w:hAnsi="Consolas"/>
          <w:sz w:val="17"/>
          <w:szCs w:val="17"/>
        </w:rPr>
        <w:t xml:space="preserve">df.loc[df["Next_Return"] &gt;  threshold, "Target"] = 2    # UP</w:t>
      </w:r>
    </w:p>
    <w:p>
      <w:pPr>
        <w:pBdr>
          <w:left w:val="single" w:color="BFBFBF" w:sz="6" w:space="6"/>
        </w:pBdr>
        <w:shd w:fill="F2F2F2" w:val="clear"/>
        <w:spacing w:after="0" w:before="0" w:line="240"/>
        <w:jc w:val="left"/>
      </w:pPr>
      <w:r>
        <w:rPr>
          <w:rFonts w:ascii="Consolas" w:cs="Consolas" w:eastAsia="Consolas" w:hAnsi="Consolas"/>
          <w:sz w:val="17"/>
          <w:szCs w:val="17"/>
        </w:rPr>
        <w:t xml:space="preserve">df.loc[df["Next_Return"] &lt; -threshold, "Target"] = 0    # DOWN</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df = df.dropna(subset=["Next_Return"])</w:t>
      </w:r>
    </w:p>
    <w:p>
      <w:pPr>
        <w:spacing w:after="200" w:before="80" w:line="240"/>
        <w:jc w:val="center"/>
      </w:pPr>
      <w:r>
        <w:rPr>
          <w:rFonts w:ascii="Times New Roman" w:cs="Times New Roman" w:eastAsia="Times New Roman" w:hAnsi="Times New Roman"/>
          <w:i/>
          <w:iCs/>
          <w:sz w:val="22"/>
          <w:szCs w:val="22"/>
        </w:rPr>
        <w:t xml:space="preserve">Listing 5.2: Directional labelling</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negative shift is what makes this a forecasting problem rather than a description of the present. A row dated t carries features that were observable at the close of t and a label describing the move from t to t plus one. The final row of every series is discarded because its successor has not yet occurred and it therefore cannot be labelled. This also explains why the labelled file contains exactly one fewer observation than the feature file, and why the most recent feature row is available as a prediction input while never appearing as a training example.</w:t>
      </w:r>
    </w:p>
    <w:p>
      <w:pPr>
        <w:pStyle w:val="Heading2"/>
        <w:spacing w:after="120" w:before="240" w:line="360"/>
        <w:jc w:val="left"/>
      </w:pPr>
      <w:r>
        <w:rPr>
          <w:rFonts w:ascii="Times New Roman" w:cs="Times New Roman" w:eastAsia="Times New Roman" w:hAnsi="Times New Roman"/>
          <w:b/>
          <w:bCs/>
          <w:sz w:val="26"/>
          <w:szCs w:val="26"/>
        </w:rPr>
        <w:t xml:space="preserve">5.6  Walk Forward Validation Design</w:t>
      </w:r>
    </w:p>
    <w:p>
      <w:pPr>
        <w:spacing w:after="80" w:before="160" w:line="240"/>
        <w:jc w:val="center"/>
      </w:pPr>
      <w:r>
        <w:rPr>
          <w:rFonts w:ascii="Times New Roman" w:cs="Times New Roman" w:eastAsia="Times New Roman" w:hAnsi="Times New Roman"/>
          <w:i/>
          <w:iCs/>
          <w:sz w:val="22"/>
          <w:szCs w:val="22"/>
        </w:rPr>
        <w:t xml:space="preserve">Table 5.2: Walk forward fold definitions and market regimes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9"/>
        <w:gridCol w:w="2160"/>
        <w:gridCol w:w="1994"/>
        <w:gridCol w:w="2825"/>
      </w:tblGrid>
      <w:tr>
        <w:trPr>
          <w:tblHeader/>
        </w:trPr>
        <w:tc>
          <w:tcPr>
            <w:tcW w:type="dxa" w:w="1329"/>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Fold</w:t>
            </w:r>
          </w:p>
        </w:tc>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Training window</w:t>
            </w:r>
          </w:p>
        </w:tc>
        <w:tc>
          <w:tcPr>
            <w:tcW w:type="dxa" w:w="1994"/>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Validation year</w:t>
            </w:r>
          </w:p>
        </w:tc>
        <w:tc>
          <w:tcPr>
            <w:tcW w:type="dxa" w:w="282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Market regime</w:t>
            </w:r>
          </w:p>
        </w:tc>
      </w:tr>
      <w:tr>
        <w:tc>
          <w:tcPr>
            <w:tcW w:type="dxa" w:w="1329"/>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Fold 1</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2015 to 2019</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2020</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COVID-19 crash and recovery</w:t>
            </w:r>
          </w:p>
        </w:tc>
      </w:tr>
      <w:tr>
        <w:tc>
          <w:tcPr>
            <w:tcW w:type="dxa" w:w="1329"/>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Fold 2</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2015 to 2020</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2021</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Post-pandemic recovery rally</w:t>
            </w:r>
          </w:p>
        </w:tc>
      </w:tr>
      <w:tr>
        <w:tc>
          <w:tcPr>
            <w:tcW w:type="dxa" w:w="1329"/>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Fold 3</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2015 to 2021</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2022</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Global interest rate tightening</w:t>
            </w:r>
          </w:p>
        </w:tc>
      </w:tr>
      <w:tr>
        <w:tc>
          <w:tcPr>
            <w:tcW w:type="dxa" w:w="1329"/>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Fold 4</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2015 to 2022</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2023</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Stabilisation</w:t>
            </w:r>
          </w:p>
        </w:tc>
      </w:tr>
      <w:tr>
        <w:tc>
          <w:tcPr>
            <w:tcW w:type="dxa" w:w="1329"/>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Final test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2015 to 2023</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2024 onward</w:t>
            </w:r>
          </w:p>
        </w:tc>
        <w:tc>
          <w:tcPr>
            <w:tcW w:type="dxa" w:w="282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Sealed, evaluated once per model</w:t>
            </w:r>
          </w:p>
        </w:tc>
      </w:tr>
    </w:tbl>
    <w:p>
      <w:pPr>
        <w:spacing w:after="0" w:before="0" w:line="240"/>
      </w:pPr>
      <w:r>
        <w:rPr>
          <w:rFonts w:ascii="Times New Roman" w:cs="Times New Roman" w:eastAsia="Times New Roman" w:hAnsi="Times New Roman"/>
          <w:sz w:val="24"/>
          <w:szCs w:val="24"/>
        </w:rPr>
        <w:t xml:space="preserve"/>
      </w:r>
    </w:p>
    <w:p>
      <w:pPr>
        <w:spacing w:after="0" w:before="120" w:line="240"/>
        <w:jc w:val="center"/>
      </w:pPr>
      <w:r>
        <w:drawing>
          <wp:inline distT="0" distB="0" distL="0" distR="0">
            <wp:extent cx="3924300" cy="21240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24300" cy="21240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5.1: Expanding window walk forward validation scheme</w:t>
      </w:r>
    </w:p>
    <w:p>
      <w:pPr>
        <w:spacing w:after="120" w:before="0" w:line="360"/>
        <w:jc w:val="both"/>
      </w:pPr>
      <w:r>
        <w:rPr>
          <w:rFonts w:ascii="Times New Roman" w:cs="Times New Roman" w:eastAsia="Times New Roman" w:hAnsi="Times New Roman"/>
          <w:sz w:val="24"/>
          <w:szCs w:val="24"/>
        </w:rPr>
        <w:t xml:space="preserve">All observations from 1 January 2024 onward constitute the sealed test window. A single function opens this window and the training routine invokes it exactly once per model family. The purpose of the seal is to prevent the iterative tuning that would otherwise occur: a test set consulted repeatedly during configuration selection ceases to be an unbiased estimate of generalisation, because the configuration eventually selected is the one that happens to suit that particular stretch of history.</w:t>
      </w:r>
    </w:p>
    <w:p>
      <w:pPr>
        <w:pStyle w:val="Heading2"/>
        <w:spacing w:after="120" w:before="240" w:line="360"/>
        <w:jc w:val="left"/>
      </w:pPr>
      <w:r>
        <w:rPr>
          <w:rFonts w:ascii="Times New Roman" w:cs="Times New Roman" w:eastAsia="Times New Roman" w:hAnsi="Times New Roman"/>
          <w:b/>
          <w:bCs/>
          <w:sz w:val="26"/>
          <w:szCs w:val="26"/>
        </w:rPr>
        <w:t xml:space="preserve">5.7  Random Forest Configuration</w:t>
      </w:r>
    </w:p>
    <w:p>
      <w:pPr>
        <w:spacing w:after="120" w:before="0" w:line="360"/>
        <w:jc w:val="both"/>
      </w:pPr>
      <w:r>
        <w:rPr>
          <w:rFonts w:ascii="Times New Roman" w:cs="Times New Roman" w:eastAsia="Times New Roman" w:hAnsi="Times New Roman"/>
          <w:sz w:val="24"/>
          <w:szCs w:val="24"/>
        </w:rPr>
        <w:t xml:space="preserve">The Random Forest classifier was configured with deliberate constraints on tree depth and leaf size, in recognition that the signal to noise ratio in daily financial returns is low and an unconstrained ensemble will fit noise.</w:t>
      </w:r>
    </w:p>
    <w:p>
      <w:pPr>
        <w:spacing w:after="80" w:before="160" w:line="240"/>
        <w:jc w:val="center"/>
      </w:pPr>
      <w:r>
        <w:rPr>
          <w:rFonts w:ascii="Times New Roman" w:cs="Times New Roman" w:eastAsia="Times New Roman" w:hAnsi="Times New Roman"/>
          <w:i/>
          <w:iCs/>
          <w:sz w:val="22"/>
          <w:szCs w:val="22"/>
        </w:rPr>
        <w:t xml:space="preserve">Table 5.3: Random Forest hyperparameters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93"/>
        <w:gridCol w:w="2160"/>
        <w:gridCol w:w="3656"/>
      </w:tblGrid>
      <w:tr>
        <w:trPr>
          <w:tblHeader/>
        </w:trPr>
        <w:tc>
          <w:tcPr>
            <w:tcW w:type="dxa" w:w="249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Parameter</w:t>
            </w:r>
          </w:p>
        </w:tc>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Value</w:t>
            </w:r>
          </w:p>
        </w:tc>
        <w:tc>
          <w:tcPr>
            <w:tcW w:type="dxa" w:w="365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Justification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n_estimators</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500</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Variance reduction through averaging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max_depth</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Constrains interaction order; deliberate underfitting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min_samples_leaf</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Prevents leaves fitted to a handful of noisy observations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max_features</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sqrt</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Decorrelates trees across correlated technical features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class_weight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balanced_subsample</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Prevents the majority class from dominating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random_state</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42</w:t>
            </w:r>
          </w:p>
        </w:tc>
        <w:tc>
          <w:tcPr>
            <w:tcW w:type="dxa" w:w="365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Reproducibility</w:t>
            </w:r>
          </w:p>
        </w:tc>
      </w:tr>
    </w:tbl>
    <w:p>
      <w:pPr>
        <w:spacing w:after="0" w:before="0" w:line="240"/>
      </w:pPr>
      <w:r>
        <w:rPr>
          <w:rFonts w:ascii="Times New Roman" w:cs="Times New Roman" w:eastAsia="Times New Roman" w:hAnsi="Times New Roman"/>
          <w:sz w:val="24"/>
          <w:szCs w:val="24"/>
        </w:rPr>
        <w:t xml:space="preserve"/>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RandomForestClassifier(</w:t>
      </w:r>
    </w:p>
    <w:p>
      <w:pPr>
        <w:pBdr>
          <w:left w:val="single" w:color="BFBFBF" w:sz="6" w:space="6"/>
        </w:pBdr>
        <w:shd w:fill="F2F2F2" w:val="clear"/>
        <w:spacing w:after="0" w:before="0" w:line="240"/>
        <w:jc w:val="left"/>
      </w:pPr>
      <w:r>
        <w:rPr>
          <w:rFonts w:ascii="Consolas" w:cs="Consolas" w:eastAsia="Consolas" w:hAnsi="Consolas"/>
          <w:sz w:val="17"/>
          <w:szCs w:val="17"/>
        </w:rPr>
        <w:t xml:space="preserve">    n_estimators=500,</w:t>
      </w:r>
    </w:p>
    <w:p>
      <w:pPr>
        <w:pBdr>
          <w:left w:val="single" w:color="BFBFBF" w:sz="6" w:space="6"/>
        </w:pBdr>
        <w:shd w:fill="F2F2F2" w:val="clear"/>
        <w:spacing w:after="0" w:before="0" w:line="240"/>
        <w:jc w:val="left"/>
      </w:pPr>
      <w:r>
        <w:rPr>
          <w:rFonts w:ascii="Consolas" w:cs="Consolas" w:eastAsia="Consolas" w:hAnsi="Consolas"/>
          <w:sz w:val="17"/>
          <w:szCs w:val="17"/>
        </w:rPr>
        <w:t xml:space="preserve">    max_depth=8,</w:t>
      </w:r>
    </w:p>
    <w:p>
      <w:pPr>
        <w:pBdr>
          <w:left w:val="single" w:color="BFBFBF" w:sz="6" w:space="6"/>
        </w:pBdr>
        <w:shd w:fill="F2F2F2" w:val="clear"/>
        <w:spacing w:after="0" w:before="0" w:line="240"/>
        <w:jc w:val="left"/>
      </w:pPr>
      <w:r>
        <w:rPr>
          <w:rFonts w:ascii="Consolas" w:cs="Consolas" w:eastAsia="Consolas" w:hAnsi="Consolas"/>
          <w:sz w:val="17"/>
          <w:szCs w:val="17"/>
        </w:rPr>
        <w:t xml:space="preserve">    min_samples_leaf=25,</w:t>
      </w:r>
    </w:p>
    <w:p>
      <w:pPr>
        <w:pBdr>
          <w:left w:val="single" w:color="BFBFBF" w:sz="6" w:space="6"/>
        </w:pBdr>
        <w:shd w:fill="F2F2F2" w:val="clear"/>
        <w:spacing w:after="0" w:before="0" w:line="240"/>
        <w:jc w:val="left"/>
      </w:pPr>
      <w:r>
        <w:rPr>
          <w:rFonts w:ascii="Consolas" w:cs="Consolas" w:eastAsia="Consolas" w:hAnsi="Consolas"/>
          <w:sz w:val="17"/>
          <w:szCs w:val="17"/>
        </w:rPr>
        <w:t xml:space="preserve">    max_features="sqrt",</w:t>
      </w:r>
    </w:p>
    <w:p>
      <w:pPr>
        <w:pBdr>
          <w:left w:val="single" w:color="BFBFBF" w:sz="6" w:space="6"/>
        </w:pBdr>
        <w:shd w:fill="F2F2F2" w:val="clear"/>
        <w:spacing w:after="0" w:before="0" w:line="240"/>
        <w:jc w:val="left"/>
      </w:pPr>
      <w:r>
        <w:rPr>
          <w:rFonts w:ascii="Consolas" w:cs="Consolas" w:eastAsia="Consolas" w:hAnsi="Consolas"/>
          <w:sz w:val="17"/>
          <w:szCs w:val="17"/>
        </w:rPr>
        <w:t xml:space="preserve">    class_weight="balanced_subsample",</w:t>
      </w:r>
    </w:p>
    <w:p>
      <w:pPr>
        <w:pBdr>
          <w:left w:val="single" w:color="BFBFBF" w:sz="6" w:space="6"/>
        </w:pBdr>
        <w:shd w:fill="F2F2F2" w:val="clear"/>
        <w:spacing w:after="0" w:before="0" w:line="240"/>
        <w:jc w:val="left"/>
      </w:pPr>
      <w:r>
        <w:rPr>
          <w:rFonts w:ascii="Consolas" w:cs="Consolas" w:eastAsia="Consolas" w:hAnsi="Consolas"/>
          <w:sz w:val="17"/>
          <w:szCs w:val="17"/>
        </w:rPr>
        <w:t xml:space="preserve">    random_state=42,</w:t>
      </w:r>
    </w:p>
    <w:p>
      <w:pPr>
        <w:pBdr>
          <w:left w:val="single" w:color="BFBFBF" w:sz="6" w:space="6"/>
        </w:pBdr>
        <w:shd w:fill="F2F2F2" w:val="clear"/>
        <w:spacing w:after="0" w:before="0" w:line="240"/>
        <w:jc w:val="left"/>
      </w:pPr>
      <w:r>
        <w:rPr>
          <w:rFonts w:ascii="Consolas" w:cs="Consolas" w:eastAsia="Consolas" w:hAnsi="Consolas"/>
          <w:sz w:val="17"/>
          <w:szCs w:val="17"/>
        </w:rPr>
        <w:t xml:space="preserve">    n_jobs=-1,</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w:t>
      </w:r>
    </w:p>
    <w:p>
      <w:pPr>
        <w:spacing w:after="200" w:before="80" w:line="240"/>
        <w:jc w:val="center"/>
      </w:pPr>
      <w:r>
        <w:rPr>
          <w:rFonts w:ascii="Times New Roman" w:cs="Times New Roman" w:eastAsia="Times New Roman" w:hAnsi="Times New Roman"/>
          <w:i/>
          <w:iCs/>
          <w:sz w:val="22"/>
          <w:szCs w:val="22"/>
        </w:rPr>
        <w:t xml:space="preserve">Listing 5.3: Random Forest configuration</w:t>
      </w:r>
    </w:p>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5.8  XGBoost Configuration</w:t>
      </w:r>
    </w:p>
    <w:p>
      <w:pPr>
        <w:spacing w:after="120" w:before="0" w:line="360"/>
        <w:jc w:val="both"/>
      </w:pPr>
      <w:r>
        <w:rPr>
          <w:rFonts w:ascii="Times New Roman" w:cs="Times New Roman" w:eastAsia="Times New Roman" w:hAnsi="Times New Roman"/>
          <w:sz w:val="24"/>
          <w:szCs w:val="24"/>
        </w:rPr>
        <w:t xml:space="preserve">The XGBoost configuration is conspicuously conservative, and arrived at that state empirically. An initial configuration using four hundred estimators at a maximum depth of four produced a training accuracy of 0.88 against a validation accuracy of approximately 0.35. That gap is not a tuning inefficiency; it is memorisation of the training window. The configuration was progressively constrained until the gap closed.</w:t>
      </w:r>
    </w:p>
    <w:p>
      <w:pPr>
        <w:spacing w:after="80" w:before="160" w:line="240"/>
        <w:jc w:val="center"/>
      </w:pPr>
      <w:r>
        <w:rPr>
          <w:rFonts w:ascii="Times New Roman" w:cs="Times New Roman" w:eastAsia="Times New Roman" w:hAnsi="Times New Roman"/>
          <w:i/>
          <w:iCs/>
          <w:sz w:val="22"/>
          <w:szCs w:val="22"/>
        </w:rPr>
        <w:t xml:space="preserve">Table 5.4: XGBoost hyperparameters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93"/>
        <w:gridCol w:w="1828"/>
        <w:gridCol w:w="3988"/>
      </w:tblGrid>
      <w:tr>
        <w:trPr>
          <w:tblHeader/>
        </w:trPr>
        <w:tc>
          <w:tcPr>
            <w:tcW w:type="dxa" w:w="249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Parameter</w:t>
            </w:r>
          </w:p>
        </w:tc>
        <w:tc>
          <w:tcPr>
            <w:tcW w:type="dxa" w:w="182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Value</w:t>
            </w:r>
          </w:p>
        </w:tc>
        <w:tc>
          <w:tcPr>
            <w:tcW w:type="dxa" w:w="398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Justification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n_estimators</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150</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Reduced from 400 after observed overfitting</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learning_rate</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0.02</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Small steps limit the contribution of any single tree</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max_depth</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Reduced from 4; permits only shallow interactions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subsample</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0.6</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Row sampling introduces stochastic regularisation</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colsample_bytree</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Column sampling decorrelates successive trees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min_child_weight</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40</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Requires substantial support for any split</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reg_lambda</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20.0</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Strong L2 penalty on leaf weights</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reg_alpha</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L1 penalty encouraging sparsity</w:t>
            </w:r>
          </w:p>
        </w:tc>
      </w:tr>
      <w:tr>
        <w:tc>
          <w:tcPr>
            <w:tcW w:type="dxa" w:w="2493"/>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gamma</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398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Minimum loss reduction required to split</w:t>
            </w:r>
          </w:p>
        </w:tc>
      </w:tr>
    </w:tbl>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5.9  LSTM Configuration</w:t>
      </w:r>
    </w:p>
    <w:p>
      <w:pPr>
        <w:spacing w:after="80" w:before="160" w:line="240"/>
        <w:jc w:val="center"/>
      </w:pPr>
      <w:r>
        <w:rPr>
          <w:rFonts w:ascii="Times New Roman" w:cs="Times New Roman" w:eastAsia="Times New Roman" w:hAnsi="Times New Roman"/>
          <w:i/>
          <w:iCs/>
          <w:sz w:val="22"/>
          <w:szCs w:val="22"/>
        </w:rPr>
        <w:t xml:space="preserve">Table 5.5: LSTM architecture and training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26"/>
        <w:gridCol w:w="2493"/>
        <w:gridCol w:w="3490"/>
      </w:tblGrid>
      <w:tr>
        <w:trPr>
          <w:tblHeader/>
        </w:trPr>
        <w:tc>
          <w:tcPr>
            <w:tcW w:type="dxa" w:w="232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Component</w:t>
            </w:r>
          </w:p>
        </w:tc>
        <w:tc>
          <w:tcPr>
            <w:tcW w:type="dxa" w:w="249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Setting</w:t>
            </w:r>
          </w:p>
        </w:tc>
        <w:tc>
          <w:tcPr>
            <w:tcW w:type="dxa" w:w="349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Justification</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Lookback</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 sessions</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Approximately six trading weeks of context</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Layer 1</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LSTM, 64 units, sequences returned</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Primary temporal encoder</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Dropout 1</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Regularisation between recurrent layers</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Layer 2</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LSTM, 32 units</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Compression to a fixed length representation</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Dropout 2</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Regularisation before the dense head</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Dense</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 units, ReLU activation</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Non linear combination</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Output</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 units, softmax activation</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Class probability distribution</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Optimiser</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Adam, learning rate 0.001</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Standard adaptive optimiser</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Loss</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Sparse categorical cross entropy</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Integer class labels</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Epochs</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60, early stopping patience 8</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Best weights restored</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Batch size</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32</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Standard for sequence data of this length</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Gradient clipping</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Guards against exploding gradients</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Scaling</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StandardScaler</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See discussion below</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Seed</w:t>
            </w:r>
          </w:p>
        </w:tc>
        <w:tc>
          <w:tcPr>
            <w:tcW w:type="dxa" w:w="249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42</w:t>
            </w:r>
          </w:p>
        </w:tc>
        <w:tc>
          <w:tcPr>
            <w:tcW w:type="dxa" w:w="34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Reproducibility</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Two decisions in this configuration merit explanation.</w:t>
      </w:r>
    </w:p>
    <w:p>
      <w:pPr>
        <w:spacing w:after="120" w:before="0" w:line="360"/>
        <w:jc w:val="both"/>
      </w:pPr>
      <w:r>
        <w:rPr>
          <w:rFonts w:ascii="Times New Roman" w:cs="Times New Roman" w:eastAsia="Times New Roman" w:hAnsi="Times New Roman"/>
          <w:b/>
          <w:bCs/>
          <w:i w:val="false"/>
          <w:iCs w:val="false"/>
          <w:sz w:val="24"/>
          <w:szCs w:val="24"/>
        </w:rPr>
        <w:t xml:space="preserve">Choice of scaler. </w:t>
      </w:r>
      <w:r>
        <w:rPr>
          <w:rFonts w:ascii="Times New Roman" w:cs="Times New Roman" w:eastAsia="Times New Roman" w:hAnsi="Times New Roman"/>
          <w:b w:val="false"/>
          <w:bCs w:val="false"/>
          <w:i w:val="false"/>
          <w:iCs w:val="false"/>
          <w:sz w:val="24"/>
          <w:szCs w:val="24"/>
        </w:rPr>
        <w:t xml:space="preserve">Standardisation was used rather than min-max normalisation. Daily return distributions are heavy tailed. A min-max transformation derives its bounds from the extreme observations, so a single crash day compresses the ordinary ninety nine percent of observations into a narrow portion of the output range, destroying the resolution the network requires. Standardisation is governed by the mean and standard deviation and is far less sensitive to isolated extremes. The scaler is fitted inside the training routine on training data only, never on the full series.</w:t>
      </w:r>
    </w:p>
    <w:p>
      <w:pPr>
        <w:spacing w:after="120" w:before="0" w:line="360"/>
        <w:jc w:val="both"/>
      </w:pPr>
      <w:r>
        <w:rPr>
          <w:rFonts w:ascii="Times New Roman" w:cs="Times New Roman" w:eastAsia="Times New Roman" w:hAnsi="Times New Roman"/>
          <w:b/>
          <w:bCs/>
          <w:i w:val="false"/>
          <w:iCs w:val="false"/>
          <w:sz w:val="24"/>
          <w:szCs w:val="24"/>
        </w:rPr>
        <w:t xml:space="preserve">Early stopping split. </w:t>
      </w:r>
      <w:r>
        <w:rPr>
          <w:rFonts w:ascii="Times New Roman" w:cs="Times New Roman" w:eastAsia="Times New Roman" w:hAnsi="Times New Roman"/>
          <w:b w:val="false"/>
          <w:bCs w:val="false"/>
          <w:i w:val="false"/>
          <w:iCs w:val="false"/>
          <w:sz w:val="24"/>
          <w:szCs w:val="24"/>
        </w:rPr>
        <w:t xml:space="preserve">The validation subset used by early stopping is taken as the final fifteen percent of the training window in chronological order, never by random sampling. Shuffling at this point would reintroduce precisely the temporal leakage that the outer fold structure exists to prevent, and would do so invisibly within a single fold.</w:t>
      </w:r>
    </w:p>
    <w:p>
      <w:pPr>
        <w:pStyle w:val="Heading2"/>
        <w:spacing w:after="120" w:before="240" w:line="360"/>
        <w:jc w:val="left"/>
      </w:pPr>
      <w:r>
        <w:rPr>
          <w:rFonts w:ascii="Times New Roman" w:cs="Times New Roman" w:eastAsia="Times New Roman" w:hAnsi="Times New Roman"/>
          <w:b/>
          <w:bCs/>
          <w:sz w:val="26"/>
          <w:szCs w:val="26"/>
        </w:rPr>
        <w:t xml:space="preserve">5.10  Backtesting Engine</w:t>
      </w:r>
    </w:p>
    <w:p>
      <w:pPr>
        <w:spacing w:after="120" w:before="0" w:line="360"/>
        <w:jc w:val="both"/>
      </w:pPr>
      <w:r>
        <w:rPr>
          <w:rFonts w:ascii="Times New Roman" w:cs="Times New Roman" w:eastAsia="Times New Roman" w:hAnsi="Times New Roman"/>
          <w:sz w:val="24"/>
          <w:szCs w:val="24"/>
        </w:rPr>
        <w:t xml:space="preserve">The backtesting engine converts a prediction series into a position series, applies that series to realised returns, charges a transaction cost on every change of position, and computes risk adjusted performance metrics.</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TRANSACTION_COST = 0.0005        # 0.05 percent per position change</w:t>
      </w:r>
    </w:p>
    <w:p>
      <w:pPr>
        <w:pBdr>
          <w:left w:val="single" w:color="BFBFBF" w:sz="6" w:space="6"/>
        </w:pBdr>
        <w:shd w:fill="F2F2F2" w:val="clear"/>
        <w:spacing w:after="0" w:before="0" w:line="240"/>
        <w:jc w:val="left"/>
      </w:pPr>
      <w:r>
        <w:rPr>
          <w:rFonts w:ascii="Consolas" w:cs="Consolas" w:eastAsia="Consolas" w:hAnsi="Consolas"/>
          <w:sz w:val="17"/>
          <w:szCs w:val="17"/>
        </w:rPr>
        <w:t xml:space="preserve">TRADING_DAYS_PER_YEAR = 252</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POSITION_MAP = {0: -1, 1: 0, 2: 1}   # DOWN short, NEUTRAL cash, UP long</w:t>
      </w:r>
    </w:p>
    <w:p>
      <w:pPr>
        <w:spacing w:after="200" w:before="80" w:line="240"/>
        <w:jc w:val="center"/>
      </w:pPr>
      <w:r>
        <w:rPr>
          <w:rFonts w:ascii="Times New Roman" w:cs="Times New Roman" w:eastAsia="Times New Roman" w:hAnsi="Times New Roman"/>
          <w:i/>
          <w:iCs/>
          <w:sz w:val="22"/>
          <w:szCs w:val="22"/>
        </w:rPr>
        <w:t xml:space="preserve">Listing 5.4: Backtest constants</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alignment of positions to returns is the point at which lookahead would most easily be introduced, and is handled explicitly.</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aligned["Position"] = aligned["Predicted_Target"].map(POSITION_MAP)</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A signal decided using information available at t is applied to the</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realised from t to t+1, so the position is shifted forward one</w:t>
      </w:r>
    </w:p>
    <w:p>
      <w:pPr>
        <w:pBdr>
          <w:left w:val="single" w:color="BFBFBF" w:sz="6" w:space="6"/>
        </w:pBdr>
        <w:shd w:fill="F2F2F2" w:val="clear"/>
        <w:spacing w:after="0" w:before="0" w:line="240"/>
        <w:jc w:val="left"/>
      </w:pPr>
      <w:r>
        <w:rPr>
          <w:rFonts w:ascii="Consolas" w:cs="Consolas" w:eastAsia="Consolas" w:hAnsi="Consolas"/>
          <w:sz w:val="17"/>
          <w:szCs w:val="17"/>
        </w:rPr>
        <w:t xml:space="preserve"># day. Without this shift the backtest would act on its own answer.</w:t>
      </w:r>
    </w:p>
    <w:p>
      <w:pPr>
        <w:pBdr>
          <w:left w:val="single" w:color="BFBFBF" w:sz="6" w:space="6"/>
        </w:pBdr>
        <w:shd w:fill="F2F2F2" w:val="clear"/>
        <w:spacing w:after="0" w:before="0" w:line="240"/>
        <w:jc w:val="left"/>
      </w:pPr>
      <w:r>
        <w:rPr>
          <w:rFonts w:ascii="Consolas" w:cs="Consolas" w:eastAsia="Consolas" w:hAnsi="Consolas"/>
          <w:sz w:val="17"/>
          <w:szCs w:val="17"/>
        </w:rPr>
        <w:t xml:space="preserve">applied_position = aligned["Position"].shift(1).fillna(0)</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gross_returns = applied_position * aligned["Return"]</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position_changes = applied_position.diff().abs().fillna(applied_position.abs())</w:t>
      </w:r>
    </w:p>
    <w:p>
      <w:pPr>
        <w:pBdr>
          <w:left w:val="single" w:color="BFBFBF" w:sz="6" w:space="6"/>
        </w:pBdr>
        <w:shd w:fill="F2F2F2" w:val="clear"/>
        <w:spacing w:after="0" w:before="0" w:line="240"/>
        <w:jc w:val="left"/>
      </w:pPr>
      <w:r>
        <w:rPr>
          <w:rFonts w:ascii="Consolas" w:cs="Consolas" w:eastAsia="Consolas" w:hAnsi="Consolas"/>
          <w:sz w:val="17"/>
          <w:szCs w:val="17"/>
        </w:rPr>
        <w:t xml:space="preserve">costs = position_changes * transaction_cost</w:t>
      </w:r>
    </w:p>
    <w:p>
      <w:pPr>
        <w:pBdr>
          <w:left w:val="single" w:color="BFBFBF" w:sz="6" w:space="6"/>
        </w:pBdr>
        <w:shd w:fill="F2F2F2" w:val="clear"/>
        <w:spacing w:after="0" w:before="0" w:line="240"/>
        <w:jc w:val="left"/>
      </w:pPr>
      <w:r>
        <w:rPr>
          <w:rFonts w:ascii="Consolas" w:cs="Consolas" w:eastAsia="Consolas" w:hAnsi="Consolas"/>
          <w:sz w:val="17"/>
          <w:szCs w:val="17"/>
        </w:rPr>
        <w:t xml:space="preserve">strategy_returns = gross_returns - costs</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equity_curve = (1 + strategy_returns).cumprod()</w:t>
      </w:r>
    </w:p>
    <w:p>
      <w:pPr>
        <w:spacing w:after="200" w:before="80" w:line="240"/>
        <w:jc w:val="center"/>
      </w:pPr>
      <w:r>
        <w:rPr>
          <w:rFonts w:ascii="Times New Roman" w:cs="Times New Roman" w:eastAsia="Times New Roman" w:hAnsi="Times New Roman"/>
          <w:i/>
          <w:iCs/>
          <w:sz w:val="22"/>
          <w:szCs w:val="22"/>
        </w:rPr>
        <w:t xml:space="preserve">Listing 5.5: Position alignment and cost accounting</w:t>
      </w:r>
    </w:p>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5.11  Recommendation Layer and Confidence Gate</w:t>
      </w:r>
    </w:p>
    <w:p>
      <w:pPr>
        <w:spacing w:after="120" w:before="0" w:line="360"/>
        <w:jc w:val="both"/>
      </w:pPr>
      <w:r>
        <w:rPr>
          <w:rFonts w:ascii="Times New Roman" w:cs="Times New Roman" w:eastAsia="Times New Roman" w:hAnsi="Times New Roman"/>
          <w:sz w:val="24"/>
          <w:szCs w:val="24"/>
        </w:rPr>
        <w:t xml:space="preserve">The predicted class is mapped to an action, but not unconditionally.</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MIN_CONFIDENCE = 0.45</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predicted = int(np.argmax(proba))</w:t>
      </w:r>
    </w:p>
    <w:p>
      <w:pPr>
        <w:pBdr>
          <w:left w:val="single" w:color="BFBFBF" w:sz="6" w:space="6"/>
        </w:pBdr>
        <w:shd w:fill="F2F2F2" w:val="clear"/>
        <w:spacing w:after="0" w:before="0" w:line="240"/>
        <w:jc w:val="left"/>
      </w:pPr>
      <w:r>
        <w:rPr>
          <w:rFonts w:ascii="Consolas" w:cs="Consolas" w:eastAsia="Consolas" w:hAnsi="Consolas"/>
          <w:sz w:val="17"/>
          <w:szCs w:val="17"/>
        </w:rPr>
        <w:t xml:space="preserve">confidence = float(proba[predicted])</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Below the threshold the direction is still reported, but the action</w:t>
      </w:r>
    </w:p>
    <w:p>
      <w:pPr>
        <w:pBdr>
          <w:left w:val="single" w:color="BFBFBF" w:sz="6" w:space="6"/>
        </w:pBdr>
        <w:shd w:fill="F2F2F2" w:val="clear"/>
        <w:spacing w:after="0" w:before="0" w:line="240"/>
        <w:jc w:val="left"/>
      </w:pPr>
      <w:r>
        <w:rPr>
          <w:rFonts w:ascii="Consolas" w:cs="Consolas" w:eastAsia="Consolas" w:hAnsi="Consolas"/>
          <w:sz w:val="17"/>
          <w:szCs w:val="17"/>
        </w:rPr>
        <w:t xml:space="preserve"># becomes HOLD. A three class model over noisy daily returns routinely</w:t>
      </w:r>
    </w:p>
    <w:p>
      <w:pPr>
        <w:pBdr>
          <w:left w:val="single" w:color="BFBFBF" w:sz="6" w:space="6"/>
        </w:pBdr>
        <w:shd w:fill="F2F2F2" w:val="clear"/>
        <w:spacing w:after="0" w:before="0" w:line="240"/>
        <w:jc w:val="left"/>
      </w:pPr>
      <w:r>
        <w:rPr>
          <w:rFonts w:ascii="Consolas" w:cs="Consolas" w:eastAsia="Consolas" w:hAnsi="Consolas"/>
          <w:sz w:val="17"/>
          <w:szCs w:val="17"/>
        </w:rPr>
        <w:t xml:space="preserve"># puts its leading class at 36 percent, which is technically a winner</w:t>
      </w:r>
    </w:p>
    <w:p>
      <w:pPr>
        <w:pBdr>
          <w:left w:val="single" w:color="BFBFBF" w:sz="6" w:space="6"/>
        </w:pBdr>
        <w:shd w:fill="F2F2F2" w:val="clear"/>
        <w:spacing w:after="0" w:before="0" w:line="240"/>
        <w:jc w:val="left"/>
      </w:pPr>
      <w:r>
        <w:rPr>
          <w:rFonts w:ascii="Consolas" w:cs="Consolas" w:eastAsia="Consolas" w:hAnsi="Consolas"/>
          <w:sz w:val="17"/>
          <w:szCs w:val="17"/>
        </w:rPr>
        <w:t xml:space="preserve"># and far too weak to justify taking a position.</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acted = predicted if confidence &gt;= min_confidence else 1   # 1 = HOLD</w:t>
      </w:r>
    </w:p>
    <w:p>
      <w:pPr>
        <w:spacing w:after="200" w:before="80" w:line="240"/>
        <w:jc w:val="center"/>
      </w:pPr>
      <w:r>
        <w:rPr>
          <w:rFonts w:ascii="Times New Roman" w:cs="Times New Roman" w:eastAsia="Times New Roman" w:hAnsi="Times New Roman"/>
          <w:i/>
          <w:iCs/>
          <w:sz w:val="22"/>
          <w:szCs w:val="22"/>
        </w:rPr>
        <w:t xml:space="preserve">Listing 5.6: The confidence gate</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gate addresses a specific failure mode. With three classes, a model carrying no information still assigns approximately one third of probability mass to its leading class. A leading class probability of thirty six percent is therefore barely distinguishable from indifference, yet an unconditional argmax would convert it into a directional instruction. Requiring forty five percent before acting causes the system to decline frequently, which is the intended behaviour. The predicted direction continues to be displayed alongside the downgraded action so that the user can observe what the model inclined towards and how weakly.</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6</w:t>
      </w:r>
    </w:p>
    <w:p>
      <w:pPr>
        <w:pStyle w:val="Heading1"/>
        <w:spacing w:after="240" w:before="240" w:line="360"/>
        <w:jc w:val="left"/>
      </w:pPr>
      <w:r>
        <w:rPr>
          <w:rFonts w:ascii="Times New Roman" w:cs="Times New Roman" w:eastAsia="Times New Roman" w:hAnsi="Times New Roman"/>
          <w:b/>
          <w:bCs/>
          <w:sz w:val="32"/>
          <w:szCs w:val="32"/>
        </w:rPr>
        <w:t xml:space="preserve">IMPLEMENTATION</w:t>
      </w:r>
    </w:p>
    <w:p>
      <w:pPr>
        <w:pStyle w:val="Heading2"/>
        <w:spacing w:after="120" w:before="240" w:line="360"/>
        <w:jc w:val="left"/>
      </w:pPr>
      <w:r>
        <w:rPr>
          <w:rFonts w:ascii="Times New Roman" w:cs="Times New Roman" w:eastAsia="Times New Roman" w:hAnsi="Times New Roman"/>
          <w:b/>
          <w:bCs/>
          <w:sz w:val="26"/>
          <w:szCs w:val="26"/>
        </w:rPr>
        <w:t xml:space="preserve">6.1  Pipeline Orchestration</w:t>
      </w:r>
    </w:p>
    <w:p>
      <w:pPr>
        <w:spacing w:after="120" w:before="0" w:line="360"/>
        <w:jc w:val="both"/>
      </w:pPr>
      <w:r>
        <w:rPr>
          <w:rFonts w:ascii="Times New Roman" w:cs="Times New Roman" w:eastAsia="Times New Roman" w:hAnsi="Times New Roman"/>
          <w:sz w:val="24"/>
          <w:szCs w:val="24"/>
        </w:rPr>
        <w:t xml:space="preserve">The pipeline is driven by a command line entry point accepting an instrument key, a model specification, and flags controlling download behaviour and whether training should be performed at all.</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python -m src.run_pipeline --ticker SBIN --model all</w:t>
      </w:r>
    </w:p>
    <w:p>
      <w:pPr>
        <w:pBdr>
          <w:left w:val="single" w:color="BFBFBF" w:sz="6" w:space="6"/>
        </w:pBdr>
        <w:shd w:fill="F2F2F2" w:val="clear"/>
        <w:spacing w:after="0" w:before="0" w:line="240"/>
        <w:jc w:val="left"/>
      </w:pPr>
      <w:r>
        <w:rPr>
          <w:rFonts w:ascii="Consolas" w:cs="Consolas" w:eastAsia="Consolas" w:hAnsi="Consolas"/>
          <w:sz w:val="17"/>
          <w:szCs w:val="17"/>
        </w:rPr>
        <w:t xml:space="preserve">python -m src.run_pipeline --ticker NIFTY50 --model rf,xgb --skip-download</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python -m src.run_pipeline --ticker ITC --prepare-only --force</w:t>
      </w:r>
    </w:p>
    <w:p>
      <w:pPr>
        <w:spacing w:after="200" w:before="80" w:line="240"/>
        <w:jc w:val="center"/>
      </w:pPr>
      <w:r>
        <w:rPr>
          <w:rFonts w:ascii="Times New Roman" w:cs="Times New Roman" w:eastAsia="Times New Roman" w:hAnsi="Times New Roman"/>
          <w:i/>
          <w:iCs/>
          <w:sz w:val="22"/>
          <w:szCs w:val="22"/>
        </w:rPr>
        <w:t xml:space="preserve">Listing 6.1: Pipeline invocation</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 subtlety arises when only a subset of models is trained. The metrics file accumulates the performance of every model family, and a naive implementation would overwrite it with only the families just fitted. A twenty second run of the two tree based models would then erase an LSTM result that had taken four minutes to produce. The implementation preserves rows belonging to families not present in the current run.</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metrics_path = config.RESULTS_DIR / f"{instrument.slug}_metrics.csv"</w:t>
      </w:r>
    </w:p>
    <w:p>
      <w:pPr>
        <w:pBdr>
          <w:left w:val="single" w:color="BFBFBF" w:sz="6" w:space="6"/>
        </w:pBdr>
        <w:shd w:fill="F2F2F2" w:val="clear"/>
        <w:spacing w:after="0" w:before="0" w:line="240"/>
        <w:jc w:val="left"/>
      </w:pPr>
      <w:r>
        <w:rPr>
          <w:rFonts w:ascii="Consolas" w:cs="Consolas" w:eastAsia="Consolas" w:hAnsi="Consolas"/>
          <w:sz w:val="17"/>
          <w:szCs w:val="17"/>
        </w:rPr>
        <w:t xml:space="preserve">if metrics_path.exists():</w:t>
      </w:r>
    </w:p>
    <w:p>
      <w:pPr>
        <w:pBdr>
          <w:left w:val="single" w:color="BFBFBF" w:sz="6" w:space="6"/>
        </w:pBdr>
        <w:shd w:fill="F2F2F2" w:val="clear"/>
        <w:spacing w:after="0" w:before="0" w:line="240"/>
        <w:jc w:val="left"/>
      </w:pPr>
      <w:r>
        <w:rPr>
          <w:rFonts w:ascii="Consolas" w:cs="Consolas" w:eastAsia="Consolas" w:hAnsi="Consolas"/>
          <w:sz w:val="17"/>
          <w:szCs w:val="17"/>
        </w:rPr>
        <w:t xml:space="preserve">    previous = pd.read_csv(metrics_path)</w:t>
      </w:r>
    </w:p>
    <w:p>
      <w:pPr>
        <w:pBdr>
          <w:left w:val="single" w:color="BFBFBF" w:sz="6" w:space="6"/>
        </w:pBdr>
        <w:shd w:fill="F2F2F2" w:val="clear"/>
        <w:spacing w:after="0" w:before="0" w:line="240"/>
        <w:jc w:val="left"/>
      </w:pPr>
      <w:r>
        <w:rPr>
          <w:rFonts w:ascii="Consolas" w:cs="Consolas" w:eastAsia="Consolas" w:hAnsi="Consolas"/>
          <w:sz w:val="17"/>
          <w:szCs w:val="17"/>
        </w:rPr>
        <w:t xml:space="preserve">    fresh = set(metrics["model"])</w:t>
      </w:r>
    </w:p>
    <w:p>
      <w:pPr>
        <w:pBdr>
          <w:left w:val="single" w:color="BFBFBF" w:sz="6" w:space="6"/>
        </w:pBdr>
        <w:shd w:fill="F2F2F2" w:val="clear"/>
        <w:spacing w:after="0" w:before="0" w:line="240"/>
        <w:jc w:val="left"/>
      </w:pPr>
      <w:r>
        <w:rPr>
          <w:rFonts w:ascii="Consolas" w:cs="Consolas" w:eastAsia="Consolas" w:hAnsi="Consolas"/>
          <w:sz w:val="17"/>
          <w:szCs w:val="17"/>
        </w:rPr>
        <w:t xml:space="preserve">    kept = previous[~previous["model"].isin(fresh)]</w:t>
      </w:r>
    </w:p>
    <w:p>
      <w:pPr>
        <w:pBdr>
          <w:left w:val="single" w:color="BFBFBF" w:sz="6" w:space="6"/>
        </w:pBdr>
        <w:shd w:fill="F2F2F2" w:val="clear"/>
        <w:spacing w:after="0" w:before="0" w:line="240"/>
        <w:jc w:val="left"/>
      </w:pPr>
      <w:r>
        <w:rPr>
          <w:rFonts w:ascii="Consolas" w:cs="Consolas" w:eastAsia="Consolas" w:hAnsi="Consolas"/>
          <w:sz w:val="17"/>
          <w:szCs w:val="17"/>
        </w:rPr>
        <w:t xml:space="preserve">    metrics = pd.concat([metrics, kept], ignore_index=True)</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metrics.to_csv(metrics_path, index=False)</w:t>
      </w:r>
    </w:p>
    <w:p>
      <w:pPr>
        <w:spacing w:after="200" w:before="80" w:line="240"/>
        <w:jc w:val="center"/>
      </w:pPr>
      <w:r>
        <w:rPr>
          <w:rFonts w:ascii="Times New Roman" w:cs="Times New Roman" w:eastAsia="Times New Roman" w:hAnsi="Times New Roman"/>
          <w:i/>
          <w:iCs/>
          <w:sz w:val="22"/>
          <w:szCs w:val="22"/>
        </w:rPr>
        <w:t xml:space="preserve">Listing 6.2: Preserving metric rows for untouched model families</w:t>
      </w:r>
    </w:p>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6.2  Dashboard Architecture</w:t>
      </w:r>
    </w:p>
    <w:p>
      <w:pPr>
        <w:spacing w:after="120" w:before="0" w:line="360"/>
        <w:jc w:val="both"/>
      </w:pPr>
      <w:r>
        <w:rPr>
          <w:rFonts w:ascii="Times New Roman" w:cs="Times New Roman" w:eastAsia="Times New Roman" w:hAnsi="Times New Roman"/>
          <w:sz w:val="24"/>
          <w:szCs w:val="24"/>
        </w:rPr>
        <w:t xml:space="preserve">The dashboard is implemented using Streamlit, which re-executes the entire script on every user interaction. This execution model simplifies state management but makes caching essential, since an uncached implementation would reload model artefacts and parse data files on every click.</w:t>
      </w:r>
    </w:p>
    <w:p>
      <w:pPr>
        <w:spacing w:after="0" w:before="120" w:line="240"/>
        <w:jc w:val="center"/>
      </w:pPr>
      <w:r>
        <w:drawing>
          <wp:inline distT="0" distB="0" distL="0" distR="0">
            <wp:extent cx="3238500" cy="21621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6.1: Main dashboard showing the prediction for the next session</w:t>
      </w:r>
    </w:p>
    <w:p>
      <w:pPr>
        <w:spacing w:after="120" w:before="0" w:line="360"/>
        <w:jc w:val="both"/>
      </w:pPr>
      <w:r>
        <w:rPr>
          <w:rFonts w:ascii="Times New Roman" w:cs="Times New Roman" w:eastAsia="Times New Roman" w:hAnsi="Times New Roman"/>
          <w:sz w:val="24"/>
          <w:szCs w:val="24"/>
        </w:rPr>
        <w:t xml:space="preserve">The recommendation panel presents the action in large type, accompanied by the predicted direction, the confidence value and the reason for any downgrade. The probability distribution over the three classes is rendered as a set of proportional bars with a marker indicating the position of the confidence threshold, so that a user can see at a glance whether the leading class cleared it. A summary of the most recently settled prediction is displayed alongside, reporting what the model stated, what the market subsequently did, and whether the call was correct. This panel always shows the most recent settled observation and is not selected for favourability.</w:t>
      </w:r>
    </w:p>
    <w:p>
      <w:pPr>
        <w:spacing w:after="80" w:before="160" w:line="240"/>
        <w:jc w:val="center"/>
      </w:pPr>
      <w:r>
        <w:rPr>
          <w:rFonts w:ascii="Times New Roman" w:cs="Times New Roman" w:eastAsia="Times New Roman" w:hAnsi="Times New Roman"/>
          <w:i/>
          <w:iCs/>
          <w:sz w:val="22"/>
          <w:szCs w:val="22"/>
        </w:rPr>
        <w:t xml:space="preserve">Table 6.1: Dashboard views and their data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28"/>
        <w:gridCol w:w="3822"/>
        <w:gridCol w:w="2659"/>
      </w:tblGrid>
      <w:tr>
        <w:trPr>
          <w:tblHeader/>
        </w:trPr>
        <w:tc>
          <w:tcPr>
            <w:tcW w:type="dxa" w:w="182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View</w:t>
            </w:r>
          </w:p>
        </w:tc>
        <w:tc>
          <w:tcPr>
            <w:tcW w:type="dxa" w:w="382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Content</w:t>
            </w:r>
          </w:p>
        </w:tc>
        <w:tc>
          <w:tcPr>
            <w:tcW w:type="dxa" w:w="2659"/>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Reads from</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TODAY</w:t>
            </w:r>
          </w:p>
        </w:tc>
        <w:tc>
          <w:tcPr>
            <w:tcW w:type="dxa" w:w="382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Current recommendation, probabilities, price and RSI charts</w:t>
            </w:r>
          </w:p>
        </w:tc>
        <w:tc>
          <w:tcPr>
            <w:tcW w:type="dxa" w:w="265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Live model artefact, feature matrix</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TRACK RECORD</w:t>
            </w:r>
          </w:p>
        </w:tc>
        <w:tc>
          <w:tcPr>
            <w:tcW w:type="dxa" w:w="382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Settled predictions against outcomes, rolling accuracy</w:t>
            </w:r>
          </w:p>
        </w:tc>
        <w:tc>
          <w:tcPr>
            <w:tcW w:type="dxa" w:w="265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Sealed test predictions, labelled data</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MODELS</w:t>
            </w:r>
          </w:p>
        </w:tc>
        <w:tc>
          <w:tcPr>
            <w:tcW w:type="dxa" w:w="382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Comparative accuracy, metrics table, equity curves, confusion matrix</w:t>
            </w:r>
          </w:p>
        </w:tc>
        <w:tc>
          <w:tcPr>
            <w:tcW w:type="dxa" w:w="265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Metrics file, prediction files, confusion files</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HOW IT WORKS</w:t>
            </w:r>
          </w:p>
        </w:tc>
        <w:tc>
          <w:tcPr>
            <w:tcW w:type="dxa" w:w="382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Pipeline diagram and methodology in plain language</w:t>
            </w:r>
          </w:p>
        </w:tc>
        <w:tc>
          <w:tcPr>
            <w:tcW w:type="dxa" w:w="265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Static content</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SCREENER</w:t>
            </w:r>
          </w:p>
        </w:tc>
        <w:tc>
          <w:tcPr>
            <w:tcW w:type="dxa" w:w="382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RSI screen, Bollinger breakouts, band chart</w:t>
            </w:r>
          </w:p>
        </w:tc>
        <w:tc>
          <w:tcPr>
            <w:tcW w:type="dxa" w:w="265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Feature matrices of all instruments</w:t>
            </w:r>
          </w:p>
        </w:tc>
      </w:tr>
    </w:tbl>
    <w:p>
      <w:pPr>
        <w:spacing w:after="0" w:before="0" w:line="240"/>
      </w:pPr>
      <w:r>
        <w:rPr>
          <w:rFonts w:ascii="Times New Roman" w:cs="Times New Roman" w:eastAsia="Times New Roman" w:hAnsi="Times New Roman"/>
          <w:sz w:val="24"/>
          <w:szCs w:val="24"/>
        </w:rPr>
        <w:t xml:space="preserve"/>
      </w:r>
    </w:p>
    <w:p>
      <w:pPr>
        <w:pStyle w:val="Heading2"/>
        <w:spacing w:after="120" w:before="240" w:line="360"/>
        <w:jc w:val="left"/>
      </w:pPr>
      <w:r>
        <w:rPr>
          <w:rFonts w:ascii="Times New Roman" w:cs="Times New Roman" w:eastAsia="Times New Roman" w:hAnsi="Times New Roman"/>
          <w:b/>
          <w:bCs/>
          <w:sz w:val="26"/>
          <w:szCs w:val="26"/>
        </w:rPr>
        <w:t xml:space="preserve">6.3  Instrument Universe Management</w:t>
      </w:r>
    </w:p>
    <w:p>
      <w:pPr>
        <w:spacing w:after="120" w:before="0" w:line="360"/>
        <w:jc w:val="both"/>
      </w:pPr>
      <w:r>
        <w:rPr>
          <w:rFonts w:ascii="Times New Roman" w:cs="Times New Roman" w:eastAsia="Times New Roman" w:hAnsi="Times New Roman"/>
          <w:sz w:val="24"/>
          <w:szCs w:val="24"/>
        </w:rPr>
        <w:t xml:space="preserve">The constituent list of the NIFTY 50 index is not fixed. Membership is reviewed periodically and companies are added and removed. Hard coding the list in source would therefore guarantee that it becomes incorrect. The list is instead maintained as a data file, refreshed by a dedicated module.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def _load_universe() -&gt; list[Instrument]:</w:t>
      </w:r>
    </w:p>
    <w:p>
      <w:pPr>
        <w:pBdr>
          <w:left w:val="single" w:color="BFBFBF" w:sz="6" w:space="6"/>
        </w:pBdr>
        <w:shd w:fill="F2F2F2" w:val="clear"/>
        <w:spacing w:after="0" w:before="0" w:line="240"/>
        <w:jc w:val="left"/>
      </w:pPr>
      <w:r>
        <w:rPr>
          <w:rFonts w:ascii="Consolas" w:cs="Consolas" w:eastAsia="Consolas" w:hAnsi="Consolas"/>
          <w:sz w:val="17"/>
          <w:szCs w:val="17"/>
        </w:rPr>
        <w:t xml:space="preserve">    """Index constituents from disk. A missing or malformed file is not</w:t>
      </w:r>
    </w:p>
    <w:p>
      <w:pPr>
        <w:pBdr>
          <w:left w:val="single" w:color="BFBFBF" w:sz="6" w:space="6"/>
        </w:pBdr>
        <w:shd w:fill="F2F2F2" w:val="clear"/>
        <w:spacing w:after="0" w:before="0" w:line="240"/>
        <w:jc w:val="left"/>
      </w:pPr>
      <w:r>
        <w:rPr>
          <w:rFonts w:ascii="Consolas" w:cs="Consolas" w:eastAsia="Consolas" w:hAnsi="Consolas"/>
          <w:sz w:val="17"/>
          <w:szCs w:val="17"/>
        </w:rPr>
        <w:t xml:space="preserve">    fatal: the application falls back to the curated instruments rather</w:t>
      </w:r>
    </w:p>
    <w:p>
      <w:pPr>
        <w:pBdr>
          <w:left w:val="single" w:color="BFBFBF" w:sz="6" w:space="6"/>
        </w:pBdr>
        <w:shd w:fill="F2F2F2" w:val="clear"/>
        <w:spacing w:after="0" w:before="0" w:line="240"/>
        <w:jc w:val="left"/>
      </w:pPr>
      <w:r>
        <w:rPr>
          <w:rFonts w:ascii="Consolas" w:cs="Consolas" w:eastAsia="Consolas" w:hAnsi="Consolas"/>
          <w:sz w:val="17"/>
          <w:szCs w:val="17"/>
        </w:rPr>
        <w:t xml:space="preserve">    than refusing to start."""</w:t>
      </w:r>
    </w:p>
    <w:p>
      <w:pPr>
        <w:pBdr>
          <w:left w:val="single" w:color="BFBFBF" w:sz="6" w:space="6"/>
        </w:pBdr>
        <w:shd w:fill="F2F2F2" w:val="clear"/>
        <w:spacing w:after="0" w:before="0" w:line="240"/>
        <w:jc w:val="left"/>
      </w:pPr>
      <w:r>
        <w:rPr>
          <w:rFonts w:ascii="Consolas" w:cs="Consolas" w:eastAsia="Consolas" w:hAnsi="Consolas"/>
          <w:sz w:val="17"/>
          <w:szCs w:val="17"/>
        </w:rPr>
        <w:t xml:space="preserve">    try:</w:t>
      </w:r>
    </w:p>
    <w:p>
      <w:pPr>
        <w:pBdr>
          <w:left w:val="single" w:color="BFBFBF" w:sz="6" w:space="6"/>
        </w:pBdr>
        <w:shd w:fill="F2F2F2" w:val="clear"/>
        <w:spacing w:after="0" w:before="0" w:line="240"/>
        <w:jc w:val="left"/>
      </w:pPr>
      <w:r>
        <w:rPr>
          <w:rFonts w:ascii="Consolas" w:cs="Consolas" w:eastAsia="Consolas" w:hAnsi="Consolas"/>
          <w:sz w:val="17"/>
          <w:szCs w:val="17"/>
        </w:rPr>
        <w:t xml:space="preserve">        rows = json.loads(NIFTY50_FILE.read_text(encoding="utf-8"))</w:t>
      </w:r>
    </w:p>
    <w:p>
      <w:pPr>
        <w:pBdr>
          <w:left w:val="single" w:color="BFBFBF" w:sz="6" w:space="6"/>
        </w:pBdr>
        <w:shd w:fill="F2F2F2" w:val="clear"/>
        <w:spacing w:after="0" w:before="0" w:line="240"/>
        <w:jc w:val="left"/>
      </w:pPr>
      <w:r>
        <w:rPr>
          <w:rFonts w:ascii="Consolas" w:cs="Consolas" w:eastAsia="Consolas" w:hAnsi="Consolas"/>
          <w:sz w:val="17"/>
          <w:szCs w:val="17"/>
        </w:rPr>
        <w:t xml:space="preserve">    except (OSError, ValueError):</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out: list[Instrument] = []</w:t>
      </w:r>
    </w:p>
    <w:p>
      <w:pPr>
        <w:pBdr>
          <w:left w:val="single" w:color="BFBFBF" w:sz="6" w:space="6"/>
        </w:pBdr>
        <w:shd w:fill="F2F2F2" w:val="clear"/>
        <w:spacing w:after="0" w:before="0" w:line="240"/>
        <w:jc w:val="left"/>
      </w:pPr>
      <w:r>
        <w:rPr>
          <w:rFonts w:ascii="Consolas" w:cs="Consolas" w:eastAsia="Consolas" w:hAnsi="Consolas"/>
          <w:sz w:val="17"/>
          <w:szCs w:val="17"/>
        </w:rPr>
        <w:t xml:space="preserve">    for row in rows:</w:t>
      </w:r>
    </w:p>
    <w:p>
      <w:pPr>
        <w:pBdr>
          <w:left w:val="single" w:color="BFBFBF" w:sz="6" w:space="6"/>
        </w:pBdr>
        <w:shd w:fill="F2F2F2" w:val="clear"/>
        <w:spacing w:after="0" w:before="0" w:line="240"/>
        <w:jc w:val="left"/>
      </w:pPr>
      <w:r>
        <w:rPr>
          <w:rFonts w:ascii="Consolas" w:cs="Consolas" w:eastAsia="Consolas" w:hAnsi="Consolas"/>
          <w:sz w:val="17"/>
          <w:szCs w:val="17"/>
        </w:rPr>
        <w:t xml:space="preserve">        symbol = str(row.get("symbol", "")).strip().upper()</w:t>
      </w:r>
    </w:p>
    <w:p>
      <w:pPr>
        <w:pBdr>
          <w:left w:val="single" w:color="BFBFBF" w:sz="6" w:space="6"/>
        </w:pBdr>
        <w:shd w:fill="F2F2F2" w:val="clear"/>
        <w:spacing w:after="0" w:before="0" w:line="240"/>
        <w:jc w:val="left"/>
      </w:pPr>
      <w:r>
        <w:rPr>
          <w:rFonts w:ascii="Consolas" w:cs="Consolas" w:eastAsia="Consolas" w:hAnsi="Consolas"/>
          <w:sz w:val="17"/>
          <w:szCs w:val="17"/>
        </w:rPr>
        <w:t xml:space="preserve">        name = str(row.get("name", "")).strip()</w:t>
      </w:r>
    </w:p>
    <w:p>
      <w:pPr>
        <w:pBdr>
          <w:left w:val="single" w:color="BFBFBF" w:sz="6" w:space="6"/>
        </w:pBdr>
        <w:shd w:fill="F2F2F2" w:val="clear"/>
        <w:spacing w:after="0" w:before="0" w:line="240"/>
        <w:jc w:val="left"/>
      </w:pPr>
      <w:r>
        <w:rPr>
          <w:rFonts w:ascii="Consolas" w:cs="Consolas" w:eastAsia="Consolas" w:hAnsi="Consolas"/>
          <w:sz w:val="17"/>
          <w:szCs w:val="17"/>
        </w:rPr>
        <w:t xml:space="preserve">        if not symbol or not name:</w:t>
      </w:r>
    </w:p>
    <w:p>
      <w:pPr>
        <w:pBdr>
          <w:left w:val="single" w:color="BFBFBF" w:sz="6" w:space="6"/>
        </w:pBdr>
        <w:shd w:fill="F2F2F2" w:val="clear"/>
        <w:spacing w:after="0" w:before="0" w:line="240"/>
        <w:jc w:val="left"/>
      </w:pPr>
      <w:r>
        <w:rPr>
          <w:rFonts w:ascii="Consolas" w:cs="Consolas" w:eastAsia="Consolas" w:hAnsi="Consolas"/>
          <w:sz w:val="17"/>
          <w:szCs w:val="17"/>
        </w:rPr>
        <w:t xml:space="preserve">            continue</w:t>
      </w:r>
    </w:p>
    <w:p>
      <w:pPr>
        <w:pBdr>
          <w:left w:val="single" w:color="BFBFBF" w:sz="6" w:space="6"/>
        </w:pBdr>
        <w:shd w:fill="F2F2F2" w:val="clear"/>
        <w:spacing w:after="0" w:before="0" w:line="240"/>
        <w:jc w:val="left"/>
      </w:pPr>
      <w:r>
        <w:rPr>
          <w:rFonts w:ascii="Consolas" w:cs="Consolas" w:eastAsia="Consolas" w:hAnsi="Consolas"/>
          <w:sz w:val="17"/>
          <w:szCs w:val="17"/>
        </w:rPr>
        <w:t xml:space="preserve">        out.append(Instrument(_key_for(symbol), f"{symbol}.NS", name,</w:t>
      </w:r>
    </w:p>
    <w:p>
      <w:pPr>
        <w:pBdr>
          <w:left w:val="single" w:color="BFBFBF" w:sz="6" w:space="6"/>
        </w:pBdr>
        <w:shd w:fill="F2F2F2" w:val="clear"/>
        <w:spacing w:after="0" w:before="0" w:line="240"/>
        <w:jc w:val="left"/>
      </w:pPr>
      <w:r>
        <w:rPr>
          <w:rFonts w:ascii="Consolas" w:cs="Consolas" w:eastAsia="Consolas" w:hAnsi="Consolas"/>
          <w:sz w:val="17"/>
          <w:szCs w:val="17"/>
        </w:rPr>
        <w:t xml:space="preserve">                              "stock", _STOCK_THRESHOLD))</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return out</w:t>
      </w:r>
    </w:p>
    <w:p>
      <w:pPr>
        <w:spacing w:after="200" w:before="80" w:line="240"/>
        <w:jc w:val="center"/>
      </w:pPr>
      <w:r>
        <w:rPr>
          <w:rFonts w:ascii="Times New Roman" w:cs="Times New Roman" w:eastAsia="Times New Roman" w:hAnsi="Times New Roman"/>
          <w:i/>
          <w:iCs/>
          <w:sz w:val="22"/>
          <w:szCs w:val="22"/>
        </w:rPr>
        <w:t xml:space="preserve">Listing 6.3: Loading index constituents from a data file</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 separate bulk preparation module acquires, cleans, derives and labels data for every instrument without training any models. It is resumable, and a failure on one symbol does not abort the remainder. It additionally records the span of history available for each instrument, because several constituents listed after 2015 and therefore cannot support the early validation folds. In the preparation run reported here, fifty one of fifty one instruments were prepared successfully, of which forty eight possessed full history and three were flagged as having partial history.</w:t>
      </w:r>
    </w:p>
    <w:p>
      <w:pPr>
        <w:pStyle w:val="Heading2"/>
        <w:spacing w:after="120" w:before="240" w:line="360"/>
        <w:jc w:val="left"/>
      </w:pPr>
      <w:r>
        <w:rPr>
          <w:rFonts w:ascii="Times New Roman" w:cs="Times New Roman" w:eastAsia="Times New Roman" w:hAnsi="Times New Roman"/>
          <w:b/>
          <w:bCs/>
          <w:sz w:val="26"/>
          <w:szCs w:val="26"/>
        </w:rPr>
        <w:t xml:space="preserve">6.4  On Demand Model Training</w:t>
      </w:r>
    </w:p>
    <w:p>
      <w:pPr>
        <w:spacing w:after="120" w:before="0" w:line="360"/>
        <w:jc w:val="both"/>
      </w:pPr>
      <w:r>
        <w:rPr>
          <w:rFonts w:ascii="Times New Roman" w:cs="Times New Roman" w:eastAsia="Times New Roman" w:hAnsi="Times New Roman"/>
          <w:sz w:val="24"/>
          <w:szCs w:val="24"/>
        </w:rPr>
        <w:t xml:space="preserve">Preparing data for all instruments in advance while training only on demand is a deliberate division. Measured training times, reported in Chapter 7, show that the recurrent model accounts for approximately ninety three percent of the total cost of fitting all three families. Training every family for every instrument in advance would consume several hours and produce model artefacts occupying several hundred megabytes, the majority of which would never be consulted.</w:t>
      </w:r>
    </w:p>
    <w:p>
      <w:pPr>
        <w:spacing w:after="120" w:before="0" w:line="360"/>
        <w:jc w:val="both"/>
      </w:pPr>
      <w:r>
        <w:rPr>
          <w:rFonts w:ascii="Times New Roman" w:cs="Times New Roman" w:eastAsia="Times New Roman" w:hAnsi="Times New Roman"/>
          <w:sz w:val="24"/>
          <w:szCs w:val="24"/>
        </w:rPr>
        <w:t xml:space="preserve">The interface therefore offers two training modes when an instrument has no models. A quick mode fits the two tree based families in approximately fifteen to eighteen seconds. A full mode additionally fits the recurrent model and requires approximately four minutes. Figure 6.2 shows the state presented for an instrument that has data prepared but no models fitted.</w:t>
      </w:r>
    </w:p>
    <w:p>
      <w:pPr>
        <w:spacing w:after="0" w:before="120" w:line="240"/>
        <w:jc w:val="center"/>
      </w:pPr>
      <w:r>
        <w:drawing>
          <wp:inline distT="0" distB="0" distL="0" distR="0">
            <wp:extent cx="3238500" cy="21621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6.2: Untrained instrument state offering quick and full training</w:t>
      </w:r>
    </w:p>
    <w:p>
      <w:pPr>
        <w:spacing w:after="120" w:before="0" w:line="360"/>
        <w:jc w:val="both"/>
      </w:pPr>
      <w:r>
        <w:rPr>
          <w:rFonts w:ascii="Times New Roman" w:cs="Times New Roman" w:eastAsia="Times New Roman" w:hAnsi="Times New Roman"/>
          <w:sz w:val="24"/>
          <w:szCs w:val="24"/>
        </w:rPr>
        <w:t xml:space="preserve">The panel reports the span of available history before any training is attempted, so that a user is not left waiting on a training run that cannot succeed. Where an instrument listed after the sealed test window opens, the interface states that the history is insufficient for an honest evaluation.</w:t>
      </w:r>
    </w:p>
    <w:p>
      <w:pPr>
        <w:pStyle w:val="Heading2"/>
        <w:spacing w:after="120" w:before="240" w:line="360"/>
        <w:jc w:val="left"/>
      </w:pPr>
      <w:r>
        <w:rPr>
          <w:rFonts w:ascii="Times New Roman" w:cs="Times New Roman" w:eastAsia="Times New Roman" w:hAnsi="Times New Roman"/>
          <w:b/>
          <w:bCs/>
          <w:sz w:val="26"/>
          <w:szCs w:val="26"/>
        </w:rPr>
        <w:t xml:space="preserve">6.5  The Loading Interface</w:t>
      </w:r>
    </w:p>
    <w:p>
      <w:pPr>
        <w:spacing w:after="120" w:before="0" w:line="360"/>
        <w:jc w:val="both"/>
      </w:pPr>
      <w:r>
        <w:rPr>
          <w:rFonts w:ascii="Times New Roman" w:cs="Times New Roman" w:eastAsia="Times New Roman" w:hAnsi="Times New Roman"/>
          <w:sz w:val="24"/>
          <w:szCs w:val="24"/>
        </w:rPr>
        <w:t xml:space="preserve">Training is launched as a separate operating system process. The output of that process is redirected to a log file rather than to a pipe. This is not an arbitrary choice: the deep learning framework emits a substantial volume of diagnostic output, and a pipe of fixed buffer size will fill, at which point the child process blocks on writing while the parent process blocks awaiting the child, producing a deadlock. A log file has no such limit.</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env = {**os.environ,</w:t>
      </w:r>
    </w:p>
    <w:p>
      <w:pPr>
        <w:pBdr>
          <w:left w:val="single" w:color="BFBFBF" w:sz="6" w:space="6"/>
        </w:pBdr>
        <w:shd w:fill="F2F2F2" w:val="clear"/>
        <w:spacing w:after="0" w:before="0" w:line="240"/>
        <w:jc w:val="left"/>
      </w:pPr>
      <w:r>
        <w:rPr>
          <w:rFonts w:ascii="Consolas" w:cs="Consolas" w:eastAsia="Consolas" w:hAnsi="Consolas"/>
          <w:sz w:val="17"/>
          <w:szCs w:val="17"/>
        </w:rPr>
        <w:t xml:space="preserve">       "PYTHONUNBUFFERED": "1",</w:t>
      </w:r>
    </w:p>
    <w:p>
      <w:pPr>
        <w:pBdr>
          <w:left w:val="single" w:color="BFBFBF" w:sz="6" w:space="6"/>
        </w:pBdr>
        <w:shd w:fill="F2F2F2" w:val="clear"/>
        <w:spacing w:after="0" w:before="0" w:line="240"/>
        <w:jc w:val="left"/>
      </w:pPr>
      <w:r>
        <w:rPr>
          <w:rFonts w:ascii="Consolas" w:cs="Consolas" w:eastAsia="Consolas" w:hAnsi="Consolas"/>
          <w:sz w:val="17"/>
          <w:szCs w:val="17"/>
        </w:rPr>
        <w:t xml:space="preserve">       "PYTHONIOENCODING": "utf-8",</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"TF_CPP_MIN_LOG_LEVEL": "3"}</w:t>
      </w:r>
    </w:p>
    <w:p>
      <w:pPr>
        <w:spacing w:after="200" w:before="80" w:line="240"/>
        <w:jc w:val="center"/>
      </w:pPr>
      <w:r>
        <w:rPr>
          <w:rFonts w:ascii="Times New Roman" w:cs="Times New Roman" w:eastAsia="Times New Roman" w:hAnsi="Times New Roman"/>
          <w:i/>
          <w:iCs/>
          <w:sz w:val="22"/>
          <w:szCs w:val="22"/>
        </w:rPr>
        <w:t xml:space="preserve">Listing 6.4: Environment configured for the launched training process</w:t>
      </w:r>
    </w:p>
    <w:p>
      <w:pPr>
        <w:spacing w:after="0" w:before="0" w:line="240"/>
      </w:pPr>
      <w:r>
        <w:rPr>
          <w:rFonts w:ascii="Times New Roman" w:cs="Times New Roman" w:eastAsia="Times New Roman" w:hAnsi="Times New Roman"/>
          <w:sz w:val="24"/>
          <w:szCs w:val="24"/>
        </w:rPr>
        <w:t xml:space="preserve"/>
      </w:r>
    </w:p>
    <w:p>
      <w:pPr>
        <w:spacing w:after="0" w:before="120" w:line="240"/>
        <w:jc w:val="center"/>
      </w:pPr>
      <w:r>
        <w:drawing>
          <wp:inline distT="0" distB="0" distL="0" distR="0">
            <wp:extent cx="3238500" cy="21621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6.3: Disha loading interface during a training run</w:t>
      </w:r>
    </w:p>
    <w:p>
      <w:pPr>
        <w:spacing w:after="120" w:before="0" w:line="360"/>
        <w:jc w:val="both"/>
      </w:pPr>
      <w:r>
        <w:rPr>
          <w:rFonts w:ascii="Times New Roman" w:cs="Times New Roman" w:eastAsia="Times New Roman" w:hAnsi="Times New Roman"/>
          <w:sz w:val="24"/>
          <w:szCs w:val="24"/>
        </w:rPr>
        <w:t xml:space="preserve">The progress indication is derived from genuine stage completion markers rather than from elapsed time, so the reported percentage corresponds to work actually completed. A non zero exit status from the launched process causes the final portion of the log to be surfaced in the interface rather than the failure passing silently.</w:t>
      </w:r>
    </w:p>
    <w:p>
      <w:pPr>
        <w:pStyle w:val="Heading2"/>
        <w:spacing w:after="120" w:before="240" w:line="360"/>
        <w:jc w:val="left"/>
      </w:pPr>
      <w:r>
        <w:rPr>
          <w:rFonts w:ascii="Times New Roman" w:cs="Times New Roman" w:eastAsia="Times New Roman" w:hAnsi="Times New Roman"/>
          <w:b/>
          <w:bCs/>
          <w:sz w:val="26"/>
          <w:szCs w:val="26"/>
        </w:rPr>
        <w:t xml:space="preserve">6.6  Multi Resolution Charting</w:t>
      </w:r>
    </w:p>
    <w:p>
      <w:pPr>
        <w:spacing w:after="120" w:before="0" w:line="360"/>
        <w:jc w:val="both"/>
      </w:pPr>
      <w:r>
        <w:rPr>
          <w:rFonts w:ascii="Times New Roman" w:cs="Times New Roman" w:eastAsia="Times New Roman" w:hAnsi="Times New Roman"/>
          <w:sz w:val="24"/>
          <w:szCs w:val="24"/>
        </w:rPr>
        <w:t xml:space="preserve">The price panel supports eleven timeframe presets spanning one minute bars through to five years of weekly bars. Daily and slower resolutions are resampled from data already held locally. Intraday resolutions are not stored and are retrieved on demand from the data provider, which imposes hard limits on intraday history: one minute bars are available for approximately seven days, five minute bars for sixty days and hourly bars for two years. Each preset requests a span within its own limit and fetches a longer history than it displays, so that moving averages are already warm at the left edge of the chart.</w:t>
      </w:r>
    </w:p>
    <w:p>
      <w:pPr>
        <w:spacing w:after="0" w:before="120" w:line="240"/>
        <w:jc w:val="center"/>
      </w:pPr>
      <w:r>
        <w:drawing>
          <wp:inline distT="0" distB="0" distL="0" distR="0">
            <wp:extent cx="3238500" cy="21621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6.4: Price chart with moving averages and relative strength index</w:t>
      </w:r>
    </w:p>
    <w:p>
      <w:pPr>
        <w:spacing w:after="120" w:before="0" w:line="360"/>
        <w:jc w:val="both"/>
      </w:pPr>
      <w:r>
        <w:rPr>
          <w:rFonts w:ascii="Times New Roman" w:cs="Times New Roman" w:eastAsia="Times New Roman" w:hAnsi="Times New Roman"/>
          <w:sz w:val="24"/>
          <w:szCs w:val="24"/>
        </w:rPr>
        <w:t xml:space="preserve">Because the models are fitted exclusively on daily bars, intraday resolutions carry no associated prediction. The interface states this explicitly on those views rather than allowing the juxtaposition of a one minute chart and a daily recommendation to imply a relationship that does not exist.</w:t>
      </w:r>
    </w:p>
    <w:p>
      <w:pPr>
        <w:pStyle w:val="Heading2"/>
        <w:spacing w:after="120" w:before="240" w:line="360"/>
        <w:jc w:val="left"/>
      </w:pPr>
      <w:r>
        <w:rPr>
          <w:rFonts w:ascii="Times New Roman" w:cs="Times New Roman" w:eastAsia="Times New Roman" w:hAnsi="Times New Roman"/>
          <w:b/>
          <w:bCs/>
          <w:sz w:val="26"/>
          <w:szCs w:val="26"/>
        </w:rPr>
        <w:t xml:space="preserve">6.7  Technical Screener</w:t>
      </w:r>
    </w:p>
    <w:p>
      <w:pPr>
        <w:spacing w:after="120" w:before="0" w:line="360"/>
        <w:jc w:val="both"/>
      </w:pPr>
      <w:r>
        <w:rPr>
          <w:rFonts w:ascii="Times New Roman" w:cs="Times New Roman" w:eastAsia="Times New Roman" w:hAnsi="Times New Roman"/>
          <w:sz w:val="24"/>
          <w:szCs w:val="24"/>
        </w:rPr>
        <w:t xml:space="preserve">Two screens are provided. The first filters instruments by their latest relative strength index value against a user specified level, in either direction. The second identifies instruments whose closing price has breached a Bollinger band within a user specified number of recent sessions, with the band period and standard deviation multiplier both configurable.</w:t>
      </w:r>
    </w:p>
    <w:p>
      <w:pPr>
        <w:spacing w:after="0" w:before="120" w:line="240"/>
        <w:jc w:val="center"/>
      </w:pPr>
      <w:r>
        <w:drawing>
          <wp:inline distT="0" distB="0" distL="0" distR="0">
            <wp:extent cx="3238500" cy="21621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6.5: Technical screener showing the RSI screen and breakout table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def bollinger(close: pd.Series, period: int, n_std: float) -&gt; pd.DataFrame:</w:t>
      </w:r>
    </w:p>
    <w:p>
      <w:pPr>
        <w:pBdr>
          <w:left w:val="single" w:color="BFBFBF" w:sz="6" w:space="6"/>
        </w:pBdr>
        <w:shd w:fill="F2F2F2" w:val="clear"/>
        <w:spacing w:after="0" w:before="0" w:line="240"/>
        <w:jc w:val="left"/>
      </w:pPr>
      <w:r>
        <w:rPr>
          <w:rFonts w:ascii="Consolas" w:cs="Consolas" w:eastAsia="Consolas" w:hAnsi="Consolas"/>
          <w:sz w:val="17"/>
          <w:szCs w:val="17"/>
        </w:rPr>
        <w:t xml:space="preserve">    mid = close.rolling(period).mean()</w:t>
      </w:r>
    </w:p>
    <w:p>
      <w:pPr>
        <w:pBdr>
          <w:left w:val="single" w:color="BFBFBF" w:sz="6" w:space="6"/>
        </w:pBdr>
        <w:shd w:fill="F2F2F2" w:val="clear"/>
        <w:spacing w:after="0" w:before="0" w:line="240"/>
        <w:jc w:val="left"/>
      </w:pPr>
      <w:r>
        <w:rPr>
          <w:rFonts w:ascii="Consolas" w:cs="Consolas" w:eastAsia="Consolas" w:hAnsi="Consolas"/>
          <w:sz w:val="17"/>
          <w:szCs w:val="17"/>
        </w:rPr>
        <w:t xml:space="preserve">    sd = close.rolling(period).std(ddof=0)</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pd.DataFrame({"mid": mid,</w:t>
      </w:r>
    </w:p>
    <w:p>
      <w:pPr>
        <w:pBdr>
          <w:left w:val="single" w:color="BFBFBF" w:sz="6" w:space="6"/>
        </w:pBdr>
        <w:shd w:fill="F2F2F2" w:val="clear"/>
        <w:spacing w:after="0" w:before="0" w:line="240"/>
        <w:jc w:val="left"/>
      </w:pPr>
      <w:r>
        <w:rPr>
          <w:rFonts w:ascii="Consolas" w:cs="Consolas" w:eastAsia="Consolas" w:hAnsi="Consolas"/>
          <w:sz w:val="17"/>
          <w:szCs w:val="17"/>
        </w:rPr>
        <w:t xml:space="preserve">                         "upper": mid + n_std * sd,</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"lower": mid - n_std * sd})</w:t>
      </w:r>
    </w:p>
    <w:p>
      <w:pPr>
        <w:spacing w:after="200" w:before="80" w:line="240"/>
        <w:jc w:val="center"/>
      </w:pPr>
      <w:r>
        <w:rPr>
          <w:rFonts w:ascii="Times New Roman" w:cs="Times New Roman" w:eastAsia="Times New Roman" w:hAnsi="Times New Roman"/>
          <w:i/>
          <w:iCs/>
          <w:sz w:val="22"/>
          <w:szCs w:val="22"/>
        </w:rPr>
        <w:t xml:space="preserve">Listing 6.5: Bollinger band computation with configurable parameters</w:t>
      </w:r>
    </w:p>
    <w:p>
      <w:pPr>
        <w:spacing w:after="0" w:before="0" w:line="240"/>
      </w:pPr>
      <w:r>
        <w:rPr>
          <w:rFonts w:ascii="Times New Roman" w:cs="Times New Roman" w:eastAsia="Times New Roman" w:hAnsi="Times New Roman"/>
          <w:sz w:val="24"/>
          <w:szCs w:val="24"/>
        </w:rPr>
        <w:t xml:space="preserve"/>
      </w:r>
    </w:p>
    <w:p>
      <w:pPr>
        <w:spacing w:after="0" w:before="120" w:line="240"/>
        <w:jc w:val="center"/>
      </w:pPr>
      <w:r>
        <w:drawing>
          <wp:inline distT="0" distB="0" distL="0" distR="0">
            <wp:extent cx="3238500" cy="21621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6.6: Bollinger band breakout chart with breaching closes circled</w:t>
      </w:r>
    </w:p>
    <w:p>
      <w:pPr>
        <w:spacing w:after="120" w:before="0" w:line="360"/>
        <w:jc w:val="both"/>
      </w:pPr>
      <w:r>
        <w:rPr>
          <w:rFonts w:ascii="Times New Roman" w:cs="Times New Roman" w:eastAsia="Times New Roman" w:hAnsi="Times New Roman"/>
          <w:sz w:val="24"/>
          <w:szCs w:val="24"/>
        </w:rPr>
        <w:t xml:space="preserve">The screener also presents the conventional interpretation of each relative strength index zone. This material is labelled within the interface as textbook interpretation rather than as a finding of this project, and each zone description includes its own counter case, noting for instance that a strongly trending instrument may remain above the conventional overbought level for an extended period. The distinction is maintained because the measured results of this project do not support treating these readings as predictive.</w:t>
      </w:r>
    </w:p>
    <w:p>
      <w:pPr>
        <w:pStyle w:val="Heading2"/>
        <w:spacing w:after="120" w:before="240" w:line="360"/>
        <w:jc w:val="left"/>
      </w:pPr>
      <w:r>
        <w:rPr>
          <w:rFonts w:ascii="Times New Roman" w:cs="Times New Roman" w:eastAsia="Times New Roman" w:hAnsi="Times New Roman"/>
          <w:b/>
          <w:bCs/>
          <w:sz w:val="26"/>
          <w:szCs w:val="26"/>
        </w:rPr>
        <w:t xml:space="preserve">6.8  Caching Strategy</w:t>
      </w:r>
    </w:p>
    <w:p>
      <w:pPr>
        <w:spacing w:after="120" w:before="0" w:line="360"/>
        <w:jc w:val="both"/>
      </w:pPr>
      <w:r>
        <w:rPr>
          <w:rFonts w:ascii="Times New Roman" w:cs="Times New Roman" w:eastAsia="Times New Roman" w:hAnsi="Times New Roman"/>
          <w:sz w:val="24"/>
          <w:szCs w:val="24"/>
        </w:rPr>
        <w:t xml:space="preserve">Derived artefacts are cached and keyed on the modification timestamps of the files from which they derive.</w:t>
      </w:r>
    </w:p>
    <w:p>
      <w:pPr>
        <w:pBdr>
          <w:top w:val="single" w:color="BFBFBF" w:sz="2" w:space="2"/>
          <w:left w:val="single" w:color="BFBFBF" w:sz="6" w:space="6"/>
        </w:pBdr>
        <w:shd w:fill="F2F2F2" w:val="clear"/>
        <w:spacing w:after="0" w:before="0" w:line="240"/>
        <w:jc w:val="left"/>
      </w:pPr>
      <w:r>
        <w:rPr>
          <w:rFonts w:ascii="Consolas" w:cs="Consolas" w:eastAsia="Consolas" w:hAnsi="Consolas"/>
          <w:sz w:val="17"/>
          <w:szCs w:val="17"/>
        </w:rPr>
        <w:t xml:space="preserve">@st.cache_resource(show_spinner=False)</w:t>
      </w:r>
    </w:p>
    <w:p>
      <w:pPr>
        <w:pBdr>
          <w:left w:val="single" w:color="BFBFBF" w:sz="6" w:space="6"/>
        </w:pBdr>
        <w:shd w:fill="F2F2F2" w:val="clear"/>
        <w:spacing w:after="0" w:before="0" w:line="240"/>
        <w:jc w:val="left"/>
      </w:pPr>
      <w:r>
        <w:rPr>
          <w:rFonts w:ascii="Consolas" w:cs="Consolas" w:eastAsia="Consolas" w:hAnsi="Consolas"/>
          <w:sz w:val="17"/>
          <w:szCs w:val="17"/>
        </w:rPr>
        <w:t xml:space="preserve">def _prediction(ticker: str, model_key: str,</w:t>
      </w:r>
    </w:p>
    <w:p>
      <w:pPr>
        <w:pBdr>
          <w:left w:val="single" w:color="BFBFBF" w:sz="6" w:space="6"/>
        </w:pBdr>
        <w:shd w:fill="F2F2F2" w:val="clear"/>
        <w:spacing w:after="0" w:before="0" w:line="240"/>
        <w:jc w:val="left"/>
      </w:pPr>
      <w:r>
        <w:rPr>
          <w:rFonts w:ascii="Consolas" w:cs="Consolas" w:eastAsia="Consolas" w:hAnsi="Consolas"/>
          <w:sz w:val="17"/>
          <w:szCs w:val="17"/>
        </w:rPr>
        <w:t xml:space="preserve">                data_mtime: float, model_mtime: float) -&gt; dict:</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predict_latest(config.get_instrument(ticker), model_key)</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 </w:t>
      </w:r>
    </w:p>
    <w:p>
      <w:pPr>
        <w:pBdr>
          <w:left w:val="single" w:color="BFBFBF" w:sz="6" w:space="6"/>
        </w:pBdr>
        <w:shd w:fill="F2F2F2" w:val="clear"/>
        <w:spacing w:after="0" w:before="0" w:line="240"/>
        <w:jc w:val="left"/>
      </w:pPr>
      <w:r>
        <w:rPr>
          <w:rFonts w:ascii="Consolas" w:cs="Consolas" w:eastAsia="Consolas" w:hAnsi="Consolas"/>
          <w:sz w:val="17"/>
          <w:szCs w:val="17"/>
        </w:rPr>
        <w:t xml:space="preserve">def cached_prediction(inst, model_key: str) -&gt; dict:</w:t>
      </w:r>
    </w:p>
    <w:p>
      <w:pPr>
        <w:pBdr>
          <w:left w:val="single" w:color="BFBFBF" w:sz="6" w:space="6"/>
        </w:pBdr>
        <w:shd w:fill="F2F2F2" w:val="clear"/>
        <w:spacing w:after="0" w:before="0" w:line="240"/>
        <w:jc w:val="left"/>
      </w:pPr>
      <w:r>
        <w:rPr>
          <w:rFonts w:ascii="Consolas" w:cs="Consolas" w:eastAsia="Consolas" w:hAnsi="Consolas"/>
          <w:sz w:val="17"/>
          <w:szCs w:val="17"/>
        </w:rPr>
        <w:t xml:space="preserve">    """Keyed on both the data and the model file, so that retraining</w:t>
      </w:r>
    </w:p>
    <w:p>
      <w:pPr>
        <w:pBdr>
          <w:left w:val="single" w:color="BFBFBF" w:sz="6" w:space="6"/>
        </w:pBdr>
        <w:shd w:fill="F2F2F2" w:val="clear"/>
        <w:spacing w:after="0" w:before="0" w:line="240"/>
        <w:jc w:val="left"/>
      </w:pPr>
      <w:r>
        <w:rPr>
          <w:rFonts w:ascii="Consolas" w:cs="Consolas" w:eastAsia="Consolas" w:hAnsi="Consolas"/>
          <w:sz w:val="17"/>
          <w:szCs w:val="17"/>
        </w:rPr>
        <w:t xml:space="preserve">    invalidates the cache automatically."""</w:t>
      </w:r>
    </w:p>
    <w:p>
      <w:pPr>
        <w:pBdr>
          <w:left w:val="single" w:color="BFBFBF" w:sz="6" w:space="6"/>
        </w:pBdr>
        <w:shd w:fill="F2F2F2" w:val="clear"/>
        <w:spacing w:after="0" w:before="0" w:line="240"/>
        <w:jc w:val="left"/>
      </w:pPr>
      <w:r>
        <w:rPr>
          <w:rFonts w:ascii="Consolas" w:cs="Consolas" w:eastAsia="Consolas" w:hAnsi="Consolas"/>
          <w:sz w:val="17"/>
          <w:szCs w:val="17"/>
        </w:rPr>
        <w:t xml:space="preserve">    return _prediction(</w:t>
      </w:r>
    </w:p>
    <w:p>
      <w:pPr>
        <w:pBdr>
          <w:left w:val="single" w:color="BFBFBF" w:sz="6" w:space="6"/>
        </w:pBdr>
        <w:shd w:fill="F2F2F2" w:val="clear"/>
        <w:spacing w:after="0" w:before="0" w:line="240"/>
        <w:jc w:val="left"/>
      </w:pPr>
      <w:r>
        <w:rPr>
          <w:rFonts w:ascii="Consolas" w:cs="Consolas" w:eastAsia="Consolas" w:hAnsi="Consolas"/>
          <w:sz w:val="17"/>
          <w:szCs w:val="17"/>
        </w:rPr>
        <w:t xml:space="preserve">        inst.key, model_key,</w:t>
      </w:r>
    </w:p>
    <w:p>
      <w:pPr>
        <w:pBdr>
          <w:left w:val="single" w:color="BFBFBF" w:sz="6" w:space="6"/>
        </w:pBdr>
        <w:shd w:fill="F2F2F2" w:val="clear"/>
        <w:spacing w:after="0" w:before="0" w:line="240"/>
        <w:jc w:val="left"/>
      </w:pPr>
      <w:r>
        <w:rPr>
          <w:rFonts w:ascii="Consolas" w:cs="Consolas" w:eastAsia="Consolas" w:hAnsi="Consolas"/>
          <w:sz w:val="17"/>
          <w:szCs w:val="17"/>
        </w:rPr>
        <w:t xml:space="preserve">        inst.features_path().stat().st_mtime,</w:t>
      </w:r>
    </w:p>
    <w:p>
      <w:pPr>
        <w:pBdr>
          <w:left w:val="single" w:color="BFBFBF" w:sz="6" w:space="6"/>
        </w:pBdr>
        <w:shd w:fill="F2F2F2" w:val="clear"/>
        <w:spacing w:after="0" w:before="0" w:line="240"/>
        <w:jc w:val="left"/>
      </w:pPr>
      <w:r>
        <w:rPr>
          <w:rFonts w:ascii="Consolas" w:cs="Consolas" w:eastAsia="Consolas" w:hAnsi="Consolas"/>
          <w:sz w:val="17"/>
          <w:szCs w:val="17"/>
        </w:rPr>
        <w:t xml:space="preserve">        model_stem(inst, model_key, "live").with_suffix(".joblib").stat().st_mtime,</w:t>
      </w:r>
    </w:p>
    <w:p>
      <w:pPr>
        <w:pBdr>
          <w:left w:val="single" w:color="BFBFBF" w:sz="6" w:space="6"/>
          <w:bottom w:val="single" w:color="BFBFBF" w:sz="2" w:space="2"/>
        </w:pBdr>
        <w:shd w:fill="F2F2F2" w:val="clear"/>
        <w:spacing w:after="0" w:before="0" w:line="240"/>
        <w:jc w:val="left"/>
      </w:pPr>
      <w:r>
        <w:rPr>
          <w:rFonts w:ascii="Consolas" w:cs="Consolas" w:eastAsia="Consolas" w:hAnsi="Consolas"/>
          <w:sz w:val="17"/>
          <w:szCs w:val="17"/>
        </w:rPr>
        <w:t xml:space="preserve">    )</w:t>
      </w:r>
    </w:p>
    <w:p>
      <w:pPr>
        <w:spacing w:after="200" w:before="80" w:line="240"/>
        <w:jc w:val="center"/>
      </w:pPr>
      <w:r>
        <w:rPr>
          <w:rFonts w:ascii="Times New Roman" w:cs="Times New Roman" w:eastAsia="Times New Roman" w:hAnsi="Times New Roman"/>
          <w:i/>
          <w:iCs/>
          <w:sz w:val="22"/>
          <w:szCs w:val="22"/>
        </w:rPr>
        <w:t xml:space="preserve">Listing 6.6: Modification time keyed caching</w:t>
      </w:r>
    </w:p>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two timestamp arguments participate in the cache key but are unused within the function body. This is the entire mechanism: retraining rewrites the model artefact, its modification time changes, the key changes, and the stale entry is discarded without any explicit invalidation call. It is therefore not possible for the interface to present a recommendation produced by a model that has since been replaced.</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7</w:t>
      </w:r>
    </w:p>
    <w:p>
      <w:pPr>
        <w:pStyle w:val="Heading1"/>
        <w:spacing w:after="240" w:before="240" w:line="360"/>
        <w:jc w:val="left"/>
      </w:pPr>
      <w:r>
        <w:rPr>
          <w:rFonts w:ascii="Times New Roman" w:cs="Times New Roman" w:eastAsia="Times New Roman" w:hAnsi="Times New Roman"/>
          <w:b/>
          <w:bCs/>
          <w:sz w:val="32"/>
          <w:szCs w:val="32"/>
        </w:rPr>
        <w:t xml:space="preserve">RESULTS AND DISCUSSION</w:t>
      </w:r>
    </w:p>
    <w:p>
      <w:pPr>
        <w:pStyle w:val="Heading2"/>
        <w:spacing w:after="120" w:before="240" w:line="360"/>
        <w:jc w:val="left"/>
      </w:pPr>
      <w:r>
        <w:rPr>
          <w:rFonts w:ascii="Times New Roman" w:cs="Times New Roman" w:eastAsia="Times New Roman" w:hAnsi="Times New Roman"/>
          <w:b/>
          <w:bCs/>
          <w:sz w:val="26"/>
          <w:szCs w:val="26"/>
        </w:rPr>
        <w:t xml:space="preserve">7.1  Exploratory Data Analysis</w:t>
      </w:r>
    </w:p>
    <w:p>
      <w:pPr>
        <w:spacing w:after="80" w:before="160" w:line="240"/>
        <w:jc w:val="center"/>
      </w:pPr>
      <w:r>
        <w:rPr>
          <w:rFonts w:ascii="Times New Roman" w:cs="Times New Roman" w:eastAsia="Times New Roman" w:hAnsi="Times New Roman"/>
          <w:i/>
          <w:iCs/>
          <w:sz w:val="22"/>
          <w:szCs w:val="22"/>
        </w:rPr>
        <w:t xml:space="preserve">Table 7.1: Class balance of the NIFTY 50 labelled dataset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28"/>
        <w:gridCol w:w="1994"/>
        <w:gridCol w:w="4487"/>
      </w:tblGrid>
      <w:tr>
        <w:trPr>
          <w:tblHeader/>
        </w:trPr>
        <w:tc>
          <w:tcPr>
            <w:tcW w:type="dxa" w:w="182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Class</w:t>
            </w:r>
          </w:p>
        </w:tc>
        <w:tc>
          <w:tcPr>
            <w:tcW w:type="dxa" w:w="1994"/>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Proportion</w:t>
            </w:r>
          </w:p>
        </w:tc>
        <w:tc>
          <w:tcPr>
            <w:tcW w:type="dxa" w:w="448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Interpretation</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UP</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39.7 percent</w:t>
            </w:r>
          </w:p>
        </w:tc>
        <w:tc>
          <w:tcPr>
            <w:tcW w:type="dxa" w:w="448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Next session closed more than 0.25 percent higher</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DOWN</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33.3 percent</w:t>
            </w:r>
          </w:p>
        </w:tc>
        <w:tc>
          <w:tcPr>
            <w:tcW w:type="dxa" w:w="448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Next session closed more than 0.25 percent lower</w:t>
            </w:r>
          </w:p>
        </w:tc>
      </w:tr>
      <w:tr>
        <w:tc>
          <w:tcPr>
            <w:tcW w:type="dxa" w:w="1828"/>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NEUTRAL</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27.0 percent</w:t>
            </w:r>
          </w:p>
        </w:tc>
        <w:tc>
          <w:tcPr>
            <w:tcW w:type="dxa" w:w="448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Next session closed within the threshold band</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exploratory analysis recorded several further observations that informed subsequent modelling decisions.</w:t>
      </w:r>
    </w:p>
    <w:p>
      <w:pPr>
        <w:pStyle w:val="ListParagraph"/>
        <w:numPr>
          <w:ilvl w:val="0"/>
          <w:numId w:val="4"/>
        </w:numPr>
        <w:spacing w:after="120" w:before="0" w:line="360"/>
        <w:jc w:val="both"/>
      </w:pPr>
      <w:r>
        <w:rPr>
          <w:rFonts w:ascii="Times New Roman" w:cs="Times New Roman" w:eastAsia="Times New Roman" w:hAnsi="Times New Roman"/>
          <w:sz w:val="24"/>
          <w:szCs w:val="24"/>
        </w:rPr>
        <w:t xml:space="preserve">The year 2020 is an outlier in class composition, with the UP proportion rising substantially and the NEUTRAL proportion falling during the pandemic recovery. Fold 1, which validates on 2020, was therefore expected to produce metrics that differ from the remaining folds for reasons of regime rather than model quality.</w:t>
      </w:r>
    </w:p>
    <w:p>
      <w:pPr>
        <w:pStyle w:val="ListParagraph"/>
        <w:numPr>
          <w:ilvl w:val="0"/>
          <w:numId w:val="4"/>
        </w:numPr>
        <w:spacing w:after="120" w:before="0" w:line="360"/>
        <w:jc w:val="both"/>
      </w:pPr>
      <w:r>
        <w:rPr>
          <w:rFonts w:ascii="Times New Roman" w:cs="Times New Roman" w:eastAsia="Times New Roman" w:hAnsi="Times New Roman"/>
          <w:sz w:val="24"/>
          <w:szCs w:val="24"/>
        </w:rPr>
        <w:t xml:space="preserve">Several derived features are mathematically redundant. The Bollinger middle band is identical to the twenty session simple moving average by construction, exhibiting a correlation of 1.000, and several moving average pairs at the same window exceed 0.99. This redundancy is tolerable for tree based models, which select among correlated features without penalty, but is a candidate for reduction in the recurrent model input.</w:t>
      </w:r>
    </w:p>
    <w:p>
      <w:pPr>
        <w:pStyle w:val="ListParagraph"/>
        <w:numPr>
          <w:ilvl w:val="0"/>
          <w:numId w:val="4"/>
        </w:numPr>
        <w:spacing w:after="120" w:before="0" w:line="360"/>
        <w:jc w:val="both"/>
      </w:pPr>
      <w:r>
        <w:rPr>
          <w:rFonts w:ascii="Times New Roman" w:cs="Times New Roman" w:eastAsia="Times New Roman" w:hAnsi="Times New Roman"/>
          <w:sz w:val="24"/>
          <w:szCs w:val="24"/>
        </w:rPr>
        <w:t xml:space="preserve">No single technical indicator separates the three classes to any useful degree. The conditional distributions of the relative strength index, the convergence indicator, band width, average true range, momentum and volatility overlap heavily across DOWN, NEUTRAL and UP. This is consistent with the premise of the research question: if a single indicator separated the classes, no model would be required.</w:t>
      </w:r>
    </w:p>
    <w:p>
      <w:pPr>
        <w:pStyle w:val="ListParagraph"/>
        <w:numPr>
          <w:ilvl w:val="0"/>
          <w:numId w:val="4"/>
        </w:numPr>
        <w:spacing w:after="120" w:before="0" w:line="360"/>
        <w:jc w:val="both"/>
      </w:pPr>
      <w:r>
        <w:rPr>
          <w:rFonts w:ascii="Times New Roman" w:cs="Times New Roman" w:eastAsia="Times New Roman" w:hAnsi="Times New Roman"/>
          <w:sz w:val="24"/>
          <w:szCs w:val="24"/>
        </w:rPr>
        <w:t xml:space="preserve">The India VIX tracks realised volatility closely, with a correlation of 0.836 against twenty session realised volatility, and the two series rise together sharply during the 2020 decline. This supports its retention as a volatility feature.</w:t>
      </w:r>
    </w:p>
    <w:p>
      <w:pPr>
        <w:pStyle w:val="ListParagraph"/>
        <w:numPr>
          <w:ilvl w:val="0"/>
          <w:numId w:val="4"/>
        </w:numPr>
        <w:spacing w:after="120" w:before="0" w:line="360"/>
        <w:jc w:val="both"/>
      </w:pPr>
      <w:r>
        <w:rPr>
          <w:rFonts w:ascii="Times New Roman" w:cs="Times New Roman" w:eastAsia="Times New Roman" w:hAnsi="Times New Roman"/>
          <w:sz w:val="24"/>
          <w:szCs w:val="24"/>
        </w:rPr>
        <w:t xml:space="preserve">The USD to INR exchange rate exhibits a weak and unstable relationship with the index, with a full period correlation of negative 0.148 and a rolling correlation moving between approximately negative 0.4 and positive 0.4. It was retained as a feature but was not expected to contribute strongly.</w:t>
      </w:r>
    </w:p>
    <w:p>
      <w:pPr>
        <w:pStyle w:val="Heading2"/>
        <w:spacing w:after="120" w:before="240" w:line="360"/>
        <w:jc w:val="left"/>
      </w:pPr>
      <w:r>
        <w:rPr>
          <w:rFonts w:ascii="Times New Roman" w:cs="Times New Roman" w:eastAsia="Times New Roman" w:hAnsi="Times New Roman"/>
          <w:b/>
          <w:bCs/>
          <w:sz w:val="26"/>
          <w:szCs w:val="26"/>
        </w:rPr>
        <w:t xml:space="preserve">7.2  Walk Forward Fold Results</w:t>
      </w:r>
    </w:p>
    <w:p>
      <w:pPr>
        <w:spacing w:after="120" w:before="0" w:line="360"/>
        <w:jc w:val="both"/>
      </w:pPr>
      <w:r>
        <w:rPr>
          <w:rFonts w:ascii="Times New Roman" w:cs="Times New Roman" w:eastAsia="Times New Roman" w:hAnsi="Times New Roman"/>
          <w:sz w:val="24"/>
          <w:szCs w:val="24"/>
        </w:rPr>
        <w:t xml:space="preserve">Table 7.2 reports per fold validation results for the NIFTY 50 index across the three model families.</w:t>
      </w:r>
    </w:p>
    <w:p>
      <w:pPr>
        <w:spacing w:after="80" w:before="160" w:line="240"/>
        <w:jc w:val="center"/>
      </w:pPr>
      <w:r>
        <w:rPr>
          <w:rFonts w:ascii="Times New Roman" w:cs="Times New Roman" w:eastAsia="Times New Roman" w:hAnsi="Times New Roman"/>
          <w:i/>
          <w:iCs/>
          <w:sz w:val="22"/>
          <w:szCs w:val="22"/>
        </w:rPr>
        <w:t xml:space="preserve">Table 7.2: Walk forward fold results for the NIFTY 50 index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62"/>
        <w:gridCol w:w="1385"/>
        <w:gridCol w:w="1246"/>
        <w:gridCol w:w="1246"/>
        <w:gridCol w:w="969"/>
      </w:tblGrid>
      <w:tr>
        <w:trPr>
          <w:tblHeader/>
        </w:trPr>
        <w:tc>
          <w:tcPr>
            <w:tcW w:type="dxa" w:w="180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w:t>
            </w:r>
          </w:p>
        </w:tc>
        <w:tc>
          <w:tcPr>
            <w:tcW w:type="dxa" w:w="166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Fold</w:t>
            </w:r>
          </w:p>
        </w:tc>
        <w:tc>
          <w:tcPr>
            <w:tcW w:type="dxa" w:w="138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Observations</w:t>
            </w:r>
          </w:p>
        </w:tc>
        <w:tc>
          <w:tcPr>
            <w:tcW w:type="dxa" w:w="124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Accuracy</w:t>
            </w:r>
          </w:p>
        </w:tc>
        <w:tc>
          <w:tcPr>
            <w:tcW w:type="dxa" w:w="124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Macro F1</w:t>
            </w:r>
          </w:p>
        </w:tc>
        <w:tc>
          <w:tcPr>
            <w:tcW w:type="dxa" w:w="969"/>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Sharpe</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1 (2020)</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0.3680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0.3552</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-0.27</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2 (2021)</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0.3790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0.3659</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-1.26</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3 (2022)</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0.3451</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-1.18</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4 (2023)</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245</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0.4122</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0.3866</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0.63</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1 (2020)</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0.3480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0.3469</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0.74</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2 (2021)</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0.3750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0.3582</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-0.94</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3 (2022)</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0.3508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0.3441</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-0.43</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4 (2023)</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245</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0.4000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0.3467</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0.25</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1 (2020)</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0.3560</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0.3137</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-0.71</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2 (2021)</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0.3911</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0.3562</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1.28</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3 (2022)</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248</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0.3306</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0.2475</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w:t>
            </w:r>
          </w:p>
        </w:tc>
      </w:tr>
      <w:tr>
        <w:tc>
          <w:tcPr>
            <w:tcW w:type="dxa" w:w="1800"/>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Fold 4 (2023)</w:t>
            </w:r>
          </w:p>
        </w:tc>
        <w:tc>
          <w:tcPr>
            <w:tcW w:type="dxa" w:w="138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245</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0.3755</w:t>
            </w:r>
          </w:p>
        </w:tc>
        <w:tc>
          <w:tcPr>
            <w:tcW w:type="dxa" w:w="124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0.3596</w:t>
            </w:r>
          </w:p>
        </w:tc>
        <w:tc>
          <w:tcPr>
            <w:tcW w:type="dxa" w:w="96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0.81</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Accuracy varies by roughly six percentage points across folds for every model family, from 0.3306 to 0.4122. This spread is larger than the spread between model families within any single fold, which is the first indication that the choice of evaluation period matters more than the choice of algorithm. Fold 3, validating on the 2022 rate tightening period, is the weakest fold for all three families, and Fold 4 is the strongest for all three. A model selected on the basis of one fold alone could therefore be reported as substantially better or worse than it is.</w:t>
      </w:r>
    </w:p>
    <w:p>
      <w:pPr>
        <w:pStyle w:val="Heading2"/>
        <w:spacing w:after="120" w:before="240" w:line="360"/>
        <w:jc w:val="left"/>
      </w:pPr>
      <w:r>
        <w:rPr>
          <w:rFonts w:ascii="Times New Roman" w:cs="Times New Roman" w:eastAsia="Times New Roman" w:hAnsi="Times New Roman"/>
          <w:b/>
          <w:bCs/>
          <w:sz w:val="26"/>
          <w:szCs w:val="26"/>
        </w:rPr>
        <w:t xml:space="preserve">7.3  Sealed Test Set Results</w:t>
      </w:r>
    </w:p>
    <w:p>
      <w:pPr>
        <w:spacing w:after="120" w:before="0" w:line="360"/>
        <w:jc w:val="both"/>
      </w:pPr>
      <w:r>
        <w:rPr>
          <w:rFonts w:ascii="Times New Roman" w:cs="Times New Roman" w:eastAsia="Times New Roman" w:hAnsi="Times New Roman"/>
          <w:sz w:val="24"/>
          <w:szCs w:val="24"/>
        </w:rPr>
        <w:t xml:space="preserve">Table 7.3 reports the results of the single sealed evaluation for the NIFTY 50 index.</w:t>
      </w:r>
    </w:p>
    <w:p>
      <w:pPr>
        <w:spacing w:after="80" w:before="160" w:line="240"/>
        <w:jc w:val="center"/>
      </w:pPr>
      <w:r>
        <w:rPr>
          <w:rFonts w:ascii="Times New Roman" w:cs="Times New Roman" w:eastAsia="Times New Roman" w:hAnsi="Times New Roman"/>
          <w:i/>
          <w:iCs/>
          <w:sz w:val="22"/>
          <w:szCs w:val="22"/>
        </w:rPr>
        <w:t xml:space="preserve">Table 7.3: Sealed test set results, NIFTY 50 index (689 observations)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41"/>
        <w:gridCol w:w="1166"/>
        <w:gridCol w:w="1020"/>
        <w:gridCol w:w="875"/>
        <w:gridCol w:w="1166"/>
        <w:gridCol w:w="1312"/>
        <w:gridCol w:w="729"/>
      </w:tblGrid>
      <w:tr>
        <w:trPr>
          <w:tblHeader/>
        </w:trPr>
        <w:tc>
          <w:tcPr>
            <w:tcW w:type="dxa" w:w="2041"/>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w:t>
            </w:r>
          </w:p>
        </w:tc>
        <w:tc>
          <w:tcPr>
            <w:tcW w:type="dxa" w:w="116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Accuracy</w:t>
            </w:r>
          </w:p>
        </w:tc>
        <w:tc>
          <w:tcPr>
            <w:tcW w:type="dxa" w:w="102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Macro F1</w:t>
            </w:r>
          </w:p>
        </w:tc>
        <w:tc>
          <w:tcPr>
            <w:tcW w:type="dxa" w:w="87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Sharpe</w:t>
            </w:r>
          </w:p>
        </w:tc>
        <w:tc>
          <w:tcPr>
            <w:tcW w:type="dxa" w:w="116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CAGR</w:t>
            </w:r>
          </w:p>
        </w:tc>
        <w:tc>
          <w:tcPr>
            <w:tcW w:type="dxa" w:w="131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Max drawdown</w:t>
            </w:r>
          </w:p>
        </w:tc>
        <w:tc>
          <w:tcPr>
            <w:tcW w:type="dxa" w:w="729"/>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Trades</w:t>
            </w:r>
          </w:p>
        </w:tc>
      </w:tr>
      <w:tr>
        <w:tc>
          <w:tcPr>
            <w:tcW w:type="dxa" w:w="204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0.3875</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0.3832</w:t>
            </w:r>
          </w:p>
        </w:tc>
        <w:tc>
          <w:tcPr>
            <w:tcW w:type="dxa" w:w="87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0.44</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4.76 percent</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-21.4 percent</w:t>
            </w:r>
          </w:p>
        </w:tc>
        <w:tc>
          <w:tcPr>
            <w:tcW w:type="dxa" w:w="72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233</w:t>
            </w:r>
          </w:p>
        </w:tc>
      </w:tr>
      <w:tr>
        <w:tc>
          <w:tcPr>
            <w:tcW w:type="dxa" w:w="204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0.3585</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0.3377</w:t>
            </w:r>
          </w:p>
        </w:tc>
        <w:tc>
          <w:tcPr>
            <w:tcW w:type="dxa" w:w="87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-1.56</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-17.64 percent</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-42.0 percent</w:t>
            </w:r>
          </w:p>
        </w:tc>
        <w:tc>
          <w:tcPr>
            <w:tcW w:type="dxa" w:w="72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224</w:t>
            </w:r>
          </w:p>
        </w:tc>
      </w:tr>
      <w:tr>
        <w:tc>
          <w:tcPr>
            <w:tcW w:type="dxa" w:w="204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0.3599</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0.3276</w:t>
            </w:r>
          </w:p>
        </w:tc>
        <w:tc>
          <w:tcPr>
            <w:tcW w:type="dxa" w:w="87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0.13</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0.82 percent</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-17.0 percent</w:t>
            </w:r>
          </w:p>
        </w:tc>
        <w:tc>
          <w:tcPr>
            <w:tcW w:type="dxa" w:w="72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38</w:t>
            </w:r>
          </w:p>
        </w:tc>
      </w:tr>
      <w:tr>
        <w:tc>
          <w:tcPr>
            <w:tcW w:type="dxa" w:w="204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Always UP (baseline)</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0.3687</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0.1796</w:t>
            </w:r>
          </w:p>
        </w:tc>
        <w:tc>
          <w:tcPr>
            <w:tcW w:type="dxa" w:w="87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0.22</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2.06 percent</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-15.8 percent</w:t>
            </w:r>
          </w:p>
        </w:tc>
        <w:tc>
          <w:tcPr>
            <w:tcW w:type="dxa" w:w="72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w:t>
            </w:r>
          </w:p>
        </w:tc>
      </w:tr>
      <w:tr>
        <w:tc>
          <w:tcPr>
            <w:tcW w:type="dxa" w:w="2041"/>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Buy and Hold</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Not applicable</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Not applicable</w:t>
            </w:r>
          </w:p>
        </w:tc>
        <w:tc>
          <w:tcPr>
            <w:tcW w:type="dxa" w:w="87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0.22</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2.06 percent</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-15.8 percent</w:t>
            </w:r>
          </w:p>
        </w:tc>
        <w:tc>
          <w:tcPr>
            <w:tcW w:type="dxa" w:w="729"/>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On the index, only Random Forest exceeds the majority class baseline on accuracy, by 1.9 percentage points. The standard error of the baseline proportion on 689 observations is approximately 1.84 percentage points, so this difference amounts to roughly one standard error and cannot be distinguished from sampling variation. XGBoost and the LSTM both fall below the baseline, though again within one standard error.</w:t>
      </w:r>
    </w:p>
    <w:p>
      <w:pPr>
        <w:spacing w:after="120" w:before="0" w:line="360"/>
        <w:jc w:val="both"/>
      </w:pPr>
      <w:r>
        <w:rPr>
          <w:rFonts w:ascii="Times New Roman" w:cs="Times New Roman" w:eastAsia="Times New Roman" w:hAnsi="Times New Roman"/>
          <w:sz w:val="24"/>
          <w:szCs w:val="24"/>
        </w:rPr>
        <w:t xml:space="preserve">The macro averaged F1 column tells a different story. All three models score between 0.33 and 0.38 against the baseline's 0.1796. This is not an artefact: a constant classifier necessarily scores zero F1 on the two classes it never predicts, so its macro average is structurally low. The appropriate comparison for macro F1 is uniform random guessing, which on a three class problem with roughly balanced classes would yield approximately 0.33. Random Forest at 0.3832 exceeds that, which indicates that the model is recovering some genuine class structure even where accuracy does not separate it from the baseline.</w:t>
      </w:r>
    </w:p>
    <w:p>
      <w:pPr>
        <w:spacing w:after="0" w:before="120" w:line="240"/>
        <w:jc w:val="center"/>
      </w:pPr>
      <w:r>
        <w:drawing>
          <wp:inline distT="0" distB="0" distL="0" distR="0">
            <wp:extent cx="3238500" cy="21621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7.1: Track record of settled calls against realised outcomes</w:t>
      </w:r>
    </w:p>
    <w:p>
      <w:pPr>
        <w:spacing w:after="0" w:before="120" w:line="240"/>
        <w:jc w:val="center"/>
      </w:pPr>
      <w:r>
        <w:drawing>
          <wp:inline distT="0" distB="0" distL="0" distR="0">
            <wp:extent cx="3238500" cy="21621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2162175"/>
                    </a:xfrm>
                    <a:prstGeom prst="rect">
                      <a:avLst/>
                    </a:prstGeom>
                  </pic:spPr>
                </pic:pic>
              </a:graphicData>
            </a:graphic>
          </wp:inline>
        </w:drawing>
      </w:r>
    </w:p>
    <w:p>
      <w:pPr>
        <w:spacing w:after="200" w:before="80" w:line="240"/>
        <w:jc w:val="center"/>
      </w:pPr>
      <w:r>
        <w:rPr>
          <w:rFonts w:ascii="Times New Roman" w:cs="Times New Roman" w:eastAsia="Times New Roman" w:hAnsi="Times New Roman"/>
          <w:i/>
          <w:iCs/>
          <w:sz w:val="22"/>
          <w:szCs w:val="22"/>
        </w:rPr>
        <w:t xml:space="preserve">Figure 7.2: Model comparison on the sealed test set</w:t>
      </w:r>
    </w:p>
    <w:p>
      <w:pPr>
        <w:spacing w:after="120" w:before="0" w:line="360"/>
        <w:jc w:val="both"/>
      </w:pPr>
      <w:r>
        <w:rPr>
          <w:rFonts w:ascii="Times New Roman" w:cs="Times New Roman" w:eastAsia="Times New Roman" w:hAnsi="Times New Roman"/>
          <w:sz w:val="24"/>
          <w:szCs w:val="24"/>
        </w:rPr>
        <w:t xml:space="preserve">Table 7.4 extends the comparison to all eight instruments for which the full three model suite was trained.</w:t>
      </w:r>
    </w:p>
    <w:p>
      <w:pPr>
        <w:spacing w:after="80" w:before="160" w:line="240"/>
        <w:jc w:val="center"/>
      </w:pPr>
      <w:r>
        <w:rPr>
          <w:rFonts w:ascii="Times New Roman" w:cs="Times New Roman" w:eastAsia="Times New Roman" w:hAnsi="Times New Roman"/>
          <w:i/>
          <w:iCs/>
          <w:sz w:val="22"/>
          <w:szCs w:val="22"/>
        </w:rPr>
        <w:t xml:space="preserve">Table 7.4: Sealed test set accuracy across all eight instruments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1267"/>
        <w:gridCol w:w="1127"/>
        <w:gridCol w:w="986"/>
        <w:gridCol w:w="1127"/>
        <w:gridCol w:w="1690"/>
      </w:tblGrid>
      <w:tr>
        <w:trPr>
          <w:tblHeader/>
        </w:trPr>
        <w:tc>
          <w:tcPr>
            <w:tcW w:type="dxa" w:w="211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Instrument</w:t>
            </w:r>
          </w:p>
        </w:tc>
        <w:tc>
          <w:tcPr>
            <w:tcW w:type="dxa" w:w="126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Random Forest</w:t>
            </w:r>
          </w:p>
        </w:tc>
        <w:tc>
          <w:tcPr>
            <w:tcW w:type="dxa" w:w="112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XGBoost</w:t>
            </w:r>
          </w:p>
        </w:tc>
        <w:tc>
          <w:tcPr>
            <w:tcW w:type="dxa" w:w="98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LSTM</w:t>
            </w:r>
          </w:p>
        </w:tc>
        <w:tc>
          <w:tcPr>
            <w:tcW w:type="dxa" w:w="112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Baseline</w:t>
            </w:r>
          </w:p>
        </w:tc>
        <w:tc>
          <w:tcPr>
            <w:tcW w:type="dxa" w:w="169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Baseline rule</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NIFTY 50</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0.3875</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0.3585</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0.3599</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0.3687</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TCS</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0.3333</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0.3333</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0.3188</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0.3493</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NEUTRAL</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Reliance</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0.3638</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0.3536</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0.3406</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0.3130</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Infosys</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0.3130</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0.3420</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0.3507</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0.3333</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HDFC Bank</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0.3652</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0.3696</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0.3551</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0.3797</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NEUTRAL</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ICICI Bank</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0.4087</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0.4246</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0.4203</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0.3130</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State Bank of India</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0.3710</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0.3609</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0.3478</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0.3464</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r>
        <w:tc>
          <w:tcPr>
            <w:tcW w:type="dxa" w:w="2112"/>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ITC</w:t>
            </w:r>
          </w:p>
        </w:tc>
        <w:tc>
          <w:tcPr>
            <w:tcW w:type="dxa" w:w="126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0.3870</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0.4014</w:t>
            </w:r>
          </w:p>
        </w:tc>
        <w:tc>
          <w:tcPr>
            <w:tcW w:type="dxa" w:w="98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0.3957</w:t>
            </w:r>
          </w:p>
        </w:tc>
        <w:tc>
          <w:tcPr>
            <w:tcW w:type="dxa" w:w="112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0.2652</w:t>
            </w:r>
          </w:p>
        </w:tc>
        <w:tc>
          <w:tcPr>
            <w:tcW w:type="dxa" w:w="169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Always UP</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secondary research question concerning index against individual stock can be addressed from this table. The index is not systematically easier to predict than its constituents. The two strongest results in the study, ICICI Bank and ITC, are individual stocks, while two constituents, TCS and HDFC Bank, fall below their baselines for every model family. The variation across instruments is substantially larger than the variation across model families.</w:t>
      </w:r>
    </w:p>
    <w:p>
      <w:pPr>
        <w:pStyle w:val="Heading2"/>
        <w:spacing w:after="120" w:before="240" w:line="360"/>
        <w:jc w:val="left"/>
      </w:pPr>
      <w:r>
        <w:rPr>
          <w:rFonts w:ascii="Times New Roman" w:cs="Times New Roman" w:eastAsia="Times New Roman" w:hAnsi="Times New Roman"/>
          <w:b/>
          <w:bCs/>
          <w:sz w:val="26"/>
          <w:szCs w:val="26"/>
        </w:rPr>
        <w:t xml:space="preserve">7.4  Statistical Significance Against the Baseline</w:t>
      </w:r>
    </w:p>
    <w:p>
      <w:pPr>
        <w:spacing w:after="120" w:before="0" w:line="360"/>
        <w:jc w:val="both"/>
      </w:pPr>
      <w:r>
        <w:rPr>
          <w:rFonts w:ascii="Times New Roman" w:cs="Times New Roman" w:eastAsia="Times New Roman" w:hAnsi="Times New Roman"/>
          <w:sz w:val="24"/>
          <w:szCs w:val="24"/>
        </w:rPr>
        <w:t xml:space="preserve">Reporting raw accuracy differences without reference to sampling variation would be misleading at these sample sizes. For each instrument the standard error of the baseline proportion was computed as the square root of p multiplied by one minus p divided by n, where p is the baseline accuracy and n the number of test observations. Standard errors fall between 1.68 and 1.85 percentage points across the eight instruments. Table 7.5 reports the difference between each model and its baseline expressed in standard errors.</w:t>
      </w:r>
    </w:p>
    <w:p>
      <w:pPr>
        <w:spacing w:after="80" w:before="160" w:line="240"/>
        <w:jc w:val="center"/>
      </w:pPr>
      <w:r>
        <w:rPr>
          <w:rFonts w:ascii="Times New Roman" w:cs="Times New Roman" w:eastAsia="Times New Roman" w:hAnsi="Times New Roman"/>
          <w:i/>
          <w:iCs/>
          <w:sz w:val="22"/>
          <w:szCs w:val="22"/>
        </w:rPr>
        <w:t xml:space="preserve">Table 7.5: Statistical comparison against the majority class baseline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26"/>
        <w:gridCol w:w="1994"/>
        <w:gridCol w:w="2160"/>
        <w:gridCol w:w="1828"/>
      </w:tblGrid>
      <w:tr>
        <w:trPr>
          <w:tblHeader/>
        </w:trPr>
        <w:tc>
          <w:tcPr>
            <w:tcW w:type="dxa" w:w="232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Instrument</w:t>
            </w:r>
          </w:p>
        </w:tc>
        <w:tc>
          <w:tcPr>
            <w:tcW w:type="dxa" w:w="1994"/>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Model</w:t>
            </w:r>
          </w:p>
        </w:tc>
        <w:tc>
          <w:tcPr>
            <w:tcW w:type="dxa" w:w="21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Gap (percentage points)</w:t>
            </w:r>
          </w:p>
        </w:tc>
        <w:tc>
          <w:tcPr>
            <w:tcW w:type="dxa" w:w="1828"/>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Standard errors</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TCS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-3.04</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-1.68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HDFC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-2.46</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-1.33</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Infosys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-2.03</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-1.13</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TCS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-1.59</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-0.88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TCS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-1.59</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-0.88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HDFC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-1.45</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-0.78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HDFC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-1.01</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-0.55</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NIFTY 50</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-1.02</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-0.55</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NIFTY 50</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-0.47</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State Bank of India</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0.14</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0.08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Infosys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0.48</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State Bank of India</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1.45</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0.80</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Infosys</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1.74</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0.97</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NIFTY 50</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1.89</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1.03</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State Bank of India</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2.46</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1.36</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Reliance</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2.75</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1.56</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Reliance</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4.06</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2.30</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Reliance</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5.07</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2.87</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ICICI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9.57</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5.42</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ICICI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10.72</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6.07</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ICICI Bank</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11.16</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6.32</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ITC</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Random Forest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12.17</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7.24</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ITC</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LSTM</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13.04</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7.76</w:t>
            </w:r>
          </w:p>
        </w:tc>
      </w:tr>
      <w:tr>
        <w:tc>
          <w:tcPr>
            <w:tcW w:type="dxa" w:w="232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18"/>
                <w:szCs w:val="18"/>
              </w:rPr>
              <w:t xml:space="preserve">ITC</w:t>
            </w:r>
          </w:p>
        </w:tc>
        <w:tc>
          <w:tcPr>
            <w:tcW w:type="dxa" w:w="1994"/>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XGBoost</w:t>
            </w:r>
          </w:p>
        </w:tc>
        <w:tc>
          <w:tcPr>
            <w:tcW w:type="dxa" w:w="21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13.62</w:t>
            </w:r>
          </w:p>
        </w:tc>
        <w:tc>
          <w:tcPr>
            <w:tcW w:type="dxa" w:w="1828"/>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18"/>
                <w:szCs w:val="18"/>
              </w:rPr>
              <w:t xml:space="preserve">8.11</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Summarising the twenty four comparisons: sixteen fall within two standard errors of the baseline and are therefore statistically indistinguishable from it, eight exceed it by more than two standard errors, and none falls more than two standard errors below it. The median comparison stands at 0.885 standard errors, which is positive but not significant.</w:t>
      </w:r>
    </w:p>
    <w:p>
      <w:pPr>
        <w:spacing w:after="120" w:before="0" w:line="360"/>
        <w:jc w:val="both"/>
      </w:pPr>
      <w:r>
        <w:rPr>
          <w:rFonts w:ascii="Times New Roman" w:cs="Times New Roman" w:eastAsia="Times New Roman" w:hAnsi="Times New Roman"/>
          <w:sz w:val="24"/>
          <w:szCs w:val="24"/>
        </w:rPr>
        <w:t xml:space="preserve">The eight significant results are concentrated in three instruments, namely ITC, ICICI Bank and Reliance. This concentration requires careful interpretation rather than celebration. In each of those three cases the applicable baseline is Always UP with a low base rate: 26.5 percent for ITC and 31.3 percent for both ICICI Bank and Reliance. Where no single class dominates, the majority class baseline is itself weak and correspondingly easier to exceed. The models in these cases are not demonstrating unusual skill so much as benefiting from a less demanding comparison.</w:t>
      </w:r>
    </w:p>
    <w:p>
      <w:pPr>
        <w:spacing w:after="120" w:before="0" w:line="360"/>
        <w:jc w:val="both"/>
      </w:pPr>
      <w:r>
        <w:rPr>
          <w:rFonts w:ascii="Times New Roman" w:cs="Times New Roman" w:eastAsia="Times New Roman" w:hAnsi="Times New Roman"/>
          <w:sz w:val="24"/>
          <w:szCs w:val="24"/>
        </w:rPr>
        <w:t xml:space="preserve">The appropriate conclusion is therefore conditional. Statistically significant improvement over the majority class baseline was obtained on three of eight instruments, and those three share the characteristic of a diffuse class distribution. On the remaining five, including the index itself, the models cannot be distinguished from a rule requiring no model at all.</w:t>
      </w:r>
    </w:p>
    <w:p>
      <w:pPr>
        <w:pStyle w:val="Heading2"/>
        <w:spacing w:after="120" w:before="240" w:line="360"/>
        <w:jc w:val="left"/>
      </w:pPr>
      <w:r>
        <w:rPr>
          <w:rFonts w:ascii="Times New Roman" w:cs="Times New Roman" w:eastAsia="Times New Roman" w:hAnsi="Times New Roman"/>
          <w:b/>
          <w:bCs/>
          <w:sz w:val="26"/>
          <w:szCs w:val="26"/>
        </w:rPr>
        <w:t xml:space="preserve">7.5  Confusion Matrix Analysis</w:t>
      </w:r>
    </w:p>
    <w:p>
      <w:pPr>
        <w:spacing w:after="120" w:before="0" w:line="360"/>
        <w:jc w:val="both"/>
      </w:pPr>
      <w:r>
        <w:rPr>
          <w:rFonts w:ascii="Times New Roman" w:cs="Times New Roman" w:eastAsia="Times New Roman" w:hAnsi="Times New Roman"/>
          <w:sz w:val="24"/>
          <w:szCs w:val="24"/>
        </w:rPr>
        <w:t xml:space="preserve">Accuracy alone conceals the structure of a classifier's errors. Table 7.6 reports the confusion matrix for Random Forest on the NIFTY 50 sealed test set.</w:t>
      </w:r>
    </w:p>
    <w:p>
      <w:pPr>
        <w:spacing w:after="80" w:before="160" w:line="240"/>
        <w:jc w:val="center"/>
      </w:pPr>
      <w:r>
        <w:rPr>
          <w:rFonts w:ascii="Times New Roman" w:cs="Times New Roman" w:eastAsia="Times New Roman" w:hAnsi="Times New Roman"/>
          <w:i/>
          <w:iCs/>
          <w:sz w:val="22"/>
          <w:szCs w:val="22"/>
        </w:rPr>
        <w:t xml:space="preserve">Table 7.6: Confusion matrix, Random Forest on the NIFTY 50 sealed test 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66"/>
        <w:gridCol w:w="1057"/>
        <w:gridCol w:w="1360"/>
        <w:gridCol w:w="1057"/>
        <w:gridCol w:w="1057"/>
        <w:gridCol w:w="1511"/>
      </w:tblGrid>
      <w:tr>
        <w:trPr>
          <w:tblHeader/>
        </w:trPr>
        <w:tc>
          <w:tcPr>
            <w:tcW w:type="dxa" w:w="226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Actual \ Predicted</w:t>
            </w:r>
          </w:p>
        </w:tc>
        <w:tc>
          <w:tcPr>
            <w:tcW w:type="dxa" w:w="105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DOWN</w:t>
            </w:r>
          </w:p>
        </w:tc>
        <w:tc>
          <w:tcPr>
            <w:tcW w:type="dxa" w:w="13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NEUTRAL</w:t>
            </w:r>
          </w:p>
        </w:tc>
        <w:tc>
          <w:tcPr>
            <w:tcW w:type="dxa" w:w="105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UP</w:t>
            </w:r>
          </w:p>
        </w:tc>
        <w:tc>
          <w:tcPr>
            <w:tcW w:type="dxa" w:w="105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Total</w:t>
            </w:r>
          </w:p>
        </w:tc>
        <w:tc>
          <w:tcPr>
            <w:tcW w:type="dxa" w:w="1511"/>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Recall</w:t>
            </w:r>
          </w:p>
        </w:tc>
      </w:tr>
      <w:tr>
        <w:tc>
          <w:tcPr>
            <w:tcW w:type="dxa" w:w="226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DOWN</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99</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79</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55</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233</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42.5 percent</w:t>
            </w:r>
          </w:p>
        </w:tc>
      </w:tr>
      <w:tr>
        <w:tc>
          <w:tcPr>
            <w:tcW w:type="dxa" w:w="226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NEUTRAL</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59</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106</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37</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52.5 percent</w:t>
            </w:r>
          </w:p>
        </w:tc>
      </w:tr>
      <w:tr>
        <w:tc>
          <w:tcPr>
            <w:tcW w:type="dxa" w:w="2266"/>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UP</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97</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95</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62</w:t>
            </w:r>
          </w:p>
        </w:tc>
        <w:tc>
          <w:tcPr>
            <w:tcW w:type="dxa" w:w="1057"/>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254</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24.4 percent</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This matrix is more informative than the accuracy figure that summarises it. The model identifies NEUTRAL sessions most reliably, at 52.5 percent recall, and DOWN sessions reasonably at 42.5 percent. Its recall on UP sessions is 24.4 percent, meaning that on three quarters of the sessions that actually rose, the model predicted something else. Of the 254 genuine UP sessions, 97 were classified as DOWN.</w:t>
      </w:r>
    </w:p>
    <w:p>
      <w:pPr>
        <w:pStyle w:val="Heading2"/>
        <w:spacing w:after="120" w:before="240" w:line="360"/>
        <w:jc w:val="left"/>
      </w:pPr>
      <w:r>
        <w:rPr>
          <w:rFonts w:ascii="Times New Roman" w:cs="Times New Roman" w:eastAsia="Times New Roman" w:hAnsi="Times New Roman"/>
          <w:b/>
          <w:bCs/>
          <w:sz w:val="26"/>
          <w:szCs w:val="26"/>
        </w:rPr>
        <w:t xml:space="preserve">7.6  Trading Performance After Costs</w:t>
      </w:r>
    </w:p>
    <w:p>
      <w:pPr>
        <w:spacing w:after="120" w:before="0" w:line="360"/>
        <w:jc w:val="both"/>
      </w:pPr>
      <w:r>
        <w:rPr>
          <w:rFonts w:ascii="Times New Roman" w:cs="Times New Roman" w:eastAsia="Times New Roman" w:hAnsi="Times New Roman"/>
          <w:sz w:val="24"/>
          <w:szCs w:val="24"/>
        </w:rPr>
        <w:t xml:space="preserve">Classification accuracy and trading profitability are distinct questions. Table 7.7 reports the Sharpe ratio of each model strategy against buy and hold for the same instrument and period.</w:t>
      </w:r>
    </w:p>
    <w:p>
      <w:pPr>
        <w:spacing w:after="80" w:before="160" w:line="240"/>
        <w:jc w:val="center"/>
      </w:pPr>
      <w:r>
        <w:rPr>
          <w:rFonts w:ascii="Times New Roman" w:cs="Times New Roman" w:eastAsia="Times New Roman" w:hAnsi="Times New Roman"/>
          <w:i/>
          <w:iCs/>
          <w:sz w:val="22"/>
          <w:szCs w:val="22"/>
        </w:rPr>
        <w:t xml:space="preserve">Table 7.7: Risk adjusted performance against buy and hold (annualised Sharpe)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87"/>
        <w:gridCol w:w="1312"/>
        <w:gridCol w:w="1166"/>
        <w:gridCol w:w="1020"/>
        <w:gridCol w:w="1312"/>
        <w:gridCol w:w="1312"/>
      </w:tblGrid>
      <w:tr>
        <w:trPr>
          <w:tblHeader/>
        </w:trPr>
        <w:tc>
          <w:tcPr>
            <w:tcW w:type="dxa" w:w="2187"/>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Instrument</w:t>
            </w:r>
          </w:p>
        </w:tc>
        <w:tc>
          <w:tcPr>
            <w:tcW w:type="dxa" w:w="131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Random Forest</w:t>
            </w:r>
          </w:p>
        </w:tc>
        <w:tc>
          <w:tcPr>
            <w:tcW w:type="dxa" w:w="1166"/>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XGBoost</w:t>
            </w:r>
          </w:p>
        </w:tc>
        <w:tc>
          <w:tcPr>
            <w:tcW w:type="dxa" w:w="102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LSTM</w:t>
            </w:r>
          </w:p>
        </w:tc>
        <w:tc>
          <w:tcPr>
            <w:tcW w:type="dxa" w:w="131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Buy and Hold</w:t>
            </w:r>
          </w:p>
        </w:tc>
        <w:tc>
          <w:tcPr>
            <w:tcW w:type="dxa" w:w="131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Models ahead</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NIFTY 50</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0.44</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-1.56</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0.13</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0.22</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TCS</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-0.51</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-0.39</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-0.55</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-0.46</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Reliance</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-0.11</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-1.13</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0.30</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0.02</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Infosys</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-1.29</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-0.64</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-0.02</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-0.21</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HDFC Bank</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-1.03</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-1.15</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-0.20</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-0.09</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ICICI Bank</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-0.43</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0.28</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0.14</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0.76</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State Bank of India</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-0.12</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-0.64</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0.16</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0.80</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 of 3</w:t>
            </w:r>
          </w:p>
        </w:tc>
      </w:tr>
      <w:tr>
        <w:tc>
          <w:tcPr>
            <w:tcW w:type="dxa" w:w="2187"/>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ITC</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w:t>
            </w:r>
          </w:p>
        </w:tc>
        <w:tc>
          <w:tcPr>
            <w:tcW w:type="dxa" w:w="1166"/>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0.41</w:t>
            </w:r>
          </w:p>
        </w:tc>
        <w:tc>
          <w:tcPr>
            <w:tcW w:type="dxa" w:w="102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0.44</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-0.69</w:t>
            </w:r>
          </w:p>
        </w:tc>
        <w:tc>
          <w:tcPr>
            <w:tcW w:type="dxa" w:w="131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 of 3</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Only seven of twenty four model and instrument combinations exceed buy and hold on risk adjusted return after transaction costs. Three of those seven occur on ITC, where buy and hold itself produced a negative Sharpe of -0.69 over the test period, so exceeding it is not a demanding achievement.</w:t>
      </w:r>
    </w:p>
    <w:p>
      <w:pPr>
        <w:spacing w:after="120" w:before="0" w:line="360"/>
        <w:jc w:val="both"/>
      </w:pPr>
      <w:r>
        <w:rPr>
          <w:rFonts w:ascii="Times New Roman" w:cs="Times New Roman" w:eastAsia="Times New Roman" w:hAnsi="Times New Roman"/>
          <w:sz w:val="24"/>
          <w:szCs w:val="24"/>
        </w:rPr>
        <w:t xml:space="preserve">This observation is central. A model may be more accurate and still less profitable, because accuracy weights all sessions equally whereas returns weight them by the magnitude of price movement, and because every change of position incurs a cost that accuracy does not register.</w:t>
      </w:r>
    </w:p>
    <w:p>
      <w:pPr>
        <w:pStyle w:val="Heading2"/>
        <w:spacing w:after="120" w:before="240" w:line="360"/>
        <w:jc w:val="left"/>
      </w:pPr>
      <w:r>
        <w:rPr>
          <w:rFonts w:ascii="Times New Roman" w:cs="Times New Roman" w:eastAsia="Times New Roman" w:hAnsi="Times New Roman"/>
          <w:b/>
          <w:bCs/>
          <w:sz w:val="26"/>
          <w:szCs w:val="26"/>
        </w:rPr>
        <w:t xml:space="preserve">7.7  Effect of Model Complexity</w:t>
      </w:r>
    </w:p>
    <w:p>
      <w:pPr>
        <w:spacing w:after="120" w:before="0" w:line="360"/>
        <w:jc w:val="both"/>
      </w:pPr>
      <w:r>
        <w:rPr>
          <w:rFonts w:ascii="Times New Roman" w:cs="Times New Roman" w:eastAsia="Times New Roman" w:hAnsi="Times New Roman"/>
          <w:sz w:val="24"/>
          <w:szCs w:val="24"/>
        </w:rPr>
        <w:t xml:space="preserve">The primary research question asks whether increasing model complexity improves performance. Table 7.8 aggregates across all eight instruments.</w:t>
      </w:r>
    </w:p>
    <w:p>
      <w:pPr>
        <w:spacing w:after="80" w:before="160" w:line="240"/>
        <w:jc w:val="center"/>
      </w:pPr>
      <w:r>
        <w:rPr>
          <w:rFonts w:ascii="Times New Roman" w:cs="Times New Roman" w:eastAsia="Times New Roman" w:hAnsi="Times New Roman"/>
          <w:i/>
          <w:iCs/>
          <w:sz w:val="22"/>
          <w:szCs w:val="22"/>
        </w:rPr>
        <w:t xml:space="preserve">Table 7.8: Mean performance by model family across eight instruments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64"/>
        <w:gridCol w:w="1511"/>
        <w:gridCol w:w="1662"/>
        <w:gridCol w:w="1360"/>
        <w:gridCol w:w="1813"/>
      </w:tblGrid>
      <w:tr>
        <w:trPr>
          <w:tblHeader/>
        </w:trPr>
        <w:tc>
          <w:tcPr>
            <w:tcW w:type="dxa" w:w="1964"/>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 family</w:t>
            </w:r>
          </w:p>
        </w:tc>
        <w:tc>
          <w:tcPr>
            <w:tcW w:type="dxa" w:w="1511"/>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Mean accuracy</w:t>
            </w:r>
          </w:p>
        </w:tc>
        <w:tc>
          <w:tcPr>
            <w:tcW w:type="dxa" w:w="1662"/>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Mean gap to baseline</w:t>
            </w:r>
          </w:p>
        </w:tc>
        <w:tc>
          <w:tcPr>
            <w:tcW w:type="dxa" w:w="1360"/>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Mean macro F1</w:t>
            </w:r>
          </w:p>
        </w:tc>
        <w:tc>
          <w:tcPr>
            <w:tcW w:type="dxa" w:w="1813"/>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Instruments above baseline</w:t>
            </w:r>
          </w:p>
        </w:tc>
      </w:tr>
      <w:tr>
        <w:tc>
          <w:tcPr>
            <w:tcW w:type="dxa" w:w="1964"/>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0.3662</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+3.26 points</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0.3249</w:t>
            </w:r>
          </w:p>
        </w:tc>
        <w:tc>
          <w:tcPr>
            <w:tcW w:type="dxa" w:w="181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 of 8</w:t>
            </w:r>
          </w:p>
        </w:tc>
      </w:tr>
      <w:tr>
        <w:tc>
          <w:tcPr>
            <w:tcW w:type="dxa" w:w="1964"/>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0.3680</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+3.44 points</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0.3119</w:t>
            </w:r>
          </w:p>
        </w:tc>
        <w:tc>
          <w:tcPr>
            <w:tcW w:type="dxa" w:w="181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 of 8</w:t>
            </w:r>
          </w:p>
        </w:tc>
      </w:tr>
      <w:tr>
        <w:tc>
          <w:tcPr>
            <w:tcW w:type="dxa" w:w="1964"/>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511"/>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0.3611</w:t>
            </w:r>
          </w:p>
        </w:tc>
        <w:tc>
          <w:tcPr>
            <w:tcW w:type="dxa" w:w="1662"/>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+2.75 points</w:t>
            </w:r>
          </w:p>
        </w:tc>
        <w:tc>
          <w:tcPr>
            <w:tcW w:type="dxa" w:w="1360"/>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0.3170</w:t>
            </w:r>
          </w:p>
        </w:tc>
        <w:tc>
          <w:tcPr>
            <w:tcW w:type="dxa" w:w="1813"/>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 of 8</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three families are separated by 0.69 percentage points of mean accuracy, from 0.3611 to 0.3680. Standard errors on individual instruments are between 1.68 and 1.85 percentage points, so this spread is well inside the noise floor. Each family exceeds its baseline on exactly five of eight instruments. On this evidence the three are indistinguishable.</w:t>
      </w:r>
    </w:p>
    <w:p>
      <w:pPr>
        <w:spacing w:after="120" w:before="0" w:line="360"/>
        <w:jc w:val="both"/>
      </w:pPr>
      <w:r>
        <w:rPr>
          <w:rFonts w:ascii="Times New Roman" w:cs="Times New Roman" w:eastAsia="Times New Roman" w:hAnsi="Times New Roman"/>
          <w:sz w:val="24"/>
          <w:szCs w:val="24"/>
        </w:rPr>
        <w:t xml:space="preserve">The ordering that does appear is not the ordering the complexity hypothesis predicts. XGBoost, the middle member of the ladder, records the highest mean accuracy. The LSTM, the most structurally sophisticated model and the only one capable of representing temporal dependence directly, records the lowest. If modelling sequence explicitly conferred an advantage at a one day horizon on this feature set, the LSTM should lead. It does not.</w:t>
      </w:r>
    </w:p>
    <w:p>
      <w:pPr>
        <w:spacing w:after="120" w:before="0" w:line="360"/>
        <w:jc w:val="both"/>
      </w:pPr>
      <w:r>
        <w:rPr>
          <w:rFonts w:ascii="Times New Roman" w:cs="Times New Roman" w:eastAsia="Times New Roman" w:hAnsi="Times New Roman"/>
          <w:sz w:val="24"/>
          <w:szCs w:val="24"/>
        </w:rPr>
        <w:t xml:space="preserve">The answer to the primary research question, on this evidence, is that increasing model complexity from Random Forest through XGBoost to LSTM does not improve predictive accuracy or trading performance on the Indian stock market under a temporally correct validation scheme.</w:t>
      </w:r>
    </w:p>
    <w:p>
      <w:pPr>
        <w:pStyle w:val="Heading2"/>
        <w:spacing w:after="120" w:before="240" w:line="360"/>
        <w:jc w:val="left"/>
      </w:pPr>
      <w:r>
        <w:rPr>
          <w:rFonts w:ascii="Times New Roman" w:cs="Times New Roman" w:eastAsia="Times New Roman" w:hAnsi="Times New Roman"/>
          <w:b/>
          <w:bCs/>
          <w:sz w:val="26"/>
          <w:szCs w:val="26"/>
        </w:rPr>
        <w:t xml:space="preserve">7.8  Computational Cost</w:t>
      </w:r>
    </w:p>
    <w:p>
      <w:pPr>
        <w:spacing w:after="120" w:before="0" w:line="360"/>
        <w:jc w:val="both"/>
      </w:pPr>
      <w:r>
        <w:rPr>
          <w:rFonts w:ascii="Times New Roman" w:cs="Times New Roman" w:eastAsia="Times New Roman" w:hAnsi="Times New Roman"/>
          <w:sz w:val="24"/>
          <w:szCs w:val="24"/>
        </w:rPr>
        <w:t xml:space="preserve">Training cost was measured directly on the development machine using the TCS dataset of 2,172 training observations and twenty eight features. Each walk forward study requires six fits per model family, comprising four validation folds, one sealed test fit and one refit on all history.</w:t>
      </w:r>
    </w:p>
    <w:p>
      <w:pPr>
        <w:spacing w:after="80" w:before="160" w:line="240"/>
        <w:jc w:val="center"/>
      </w:pPr>
      <w:r>
        <w:rPr>
          <w:rFonts w:ascii="Times New Roman" w:cs="Times New Roman" w:eastAsia="Times New Roman" w:hAnsi="Times New Roman"/>
          <w:i/>
          <w:iCs/>
          <w:sz w:val="22"/>
          <w:szCs w:val="22"/>
        </w:rPr>
        <w:t xml:space="preserve">Table 7.9: Measured training time per model family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75"/>
        <w:gridCol w:w="1945"/>
        <w:gridCol w:w="1945"/>
        <w:gridCol w:w="1945"/>
      </w:tblGrid>
      <w:tr>
        <w:trPr>
          <w:tblHeader/>
        </w:trPr>
        <w:tc>
          <w:tcPr>
            <w:tcW w:type="dxa" w:w="247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Model family</w:t>
            </w:r>
          </w:p>
        </w:tc>
        <w:tc>
          <w:tcPr>
            <w:tcW w:type="dxa" w:w="194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Time per fit</w:t>
            </w:r>
          </w:p>
        </w:tc>
        <w:tc>
          <w:tcPr>
            <w:tcW w:type="dxa" w:w="194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Six fits</w:t>
            </w:r>
          </w:p>
        </w:tc>
        <w:tc>
          <w:tcPr>
            <w:tcW w:type="dxa" w:w="1945"/>
            <w:shd w:fill="D9D9D9"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Share of total</w:t>
            </w:r>
          </w:p>
        </w:tc>
      </w:tr>
      <w:tr>
        <w:tc>
          <w:tcPr>
            <w:tcW w:type="dxa" w:w="2475"/>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14.2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6.1 percent</w:t>
            </w:r>
          </w:p>
        </w:tc>
      </w:tr>
      <w:tr>
        <w:tc>
          <w:tcPr>
            <w:tcW w:type="dxa" w:w="2475"/>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XGBoost</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2.6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 percent</w:t>
            </w:r>
          </w:p>
        </w:tc>
      </w:tr>
      <w:tr>
        <w:tc>
          <w:tcPr>
            <w:tcW w:type="dxa" w:w="2475"/>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LSTM</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36.2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217.1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92.8 percent</w:t>
            </w:r>
          </w:p>
        </w:tc>
      </w:tr>
      <w:tr>
        <w:tc>
          <w:tcPr>
            <w:tcW w:type="dxa" w:w="2475"/>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All three families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Not applicable</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233.9 seconds</w:t>
            </w:r>
          </w:p>
        </w:tc>
        <w:tc>
          <w:tcPr>
            <w:tcW w:type="dxa" w:w="1945"/>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100 percent</w:t>
            </w:r>
          </w:p>
        </w:tc>
      </w:tr>
    </w:tbl>
    <w:p>
      <w:pPr>
        <w:spacing w:after="0" w:before="0" w:line="24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recurrent model consumes 92.8 percent of total training time while producing the lowest mean accuracy of the three families. The cost ratio against XGBoost is approximately eighty three to one. This is a practical result as well as an academic one: it directly motivated the division of the application into a quick training mode fitting the two tree based families in approximately fifteen to eighteen seconds, and a full mode requiring approximately four minutes, allowing a user to obtain a usable result on a new instrument in under twenty seconds.</w:t>
      </w:r>
    </w:p>
    <w:p>
      <w:pPr>
        <w:pStyle w:val="Heading2"/>
        <w:spacing w:after="120" w:before="240" w:line="360"/>
        <w:jc w:val="left"/>
      </w:pPr>
      <w:r>
        <w:rPr>
          <w:rFonts w:ascii="Times New Roman" w:cs="Times New Roman" w:eastAsia="Times New Roman" w:hAnsi="Times New Roman"/>
          <w:b/>
          <w:bCs/>
          <w:sz w:val="26"/>
          <w:szCs w:val="26"/>
        </w:rPr>
        <w:t xml:space="preserve">7.9  Consolidated Observations</w:t>
      </w:r>
    </w:p>
    <w:p>
      <w:pPr>
        <w:spacing w:after="120" w:before="0" w:line="360"/>
        <w:jc w:val="both"/>
      </w:pPr>
      <w:r>
        <w:rPr>
          <w:rFonts w:ascii="Times New Roman" w:cs="Times New Roman" w:eastAsia="Times New Roman" w:hAnsi="Times New Roman"/>
          <w:sz w:val="24"/>
          <w:szCs w:val="24"/>
        </w:rPr>
        <w:t xml:space="preserve">The following observations summarise the findings of the study.</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Fold to fold variation exceeds model to model variation. Accuracy for a single model family varies by approximately six percentage points across validation years, while the three families differ by less than one percentage point on average. The evaluation period matters more than the algorithm.</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Sixteen of twenty four model and instrument combinations are statistically indistinguishable from a majority class baseline. Eight exceed it significantly and none falls significantly below it.</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Only seven of twenty four combinations exceed buy and hold on risk adjusted return after transaction costs, and three of those occur where buy and hold itself lost money.</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Accuracy and profitability are weakly related. The least accurate family achieves the best Sharpe ratio on half the instruments, because it trades far less frequently and therefore incurs lower costs.</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Increasing model complexity does not improve results. The ordering observed is XGBoost, then Random Forest, then LSTM, which is not the ordering the complexity hypothesis predicts.</w:t>
      </w:r>
    </w:p>
    <w:p>
      <w:pPr>
        <w:pStyle w:val="ListParagraph"/>
        <w:numPr>
          <w:ilvl w:val="0"/>
          <w:numId w:val="5"/>
        </w:numPr>
        <w:spacing w:after="120" w:before="0" w:line="360"/>
        <w:jc w:val="both"/>
      </w:pPr>
      <w:r>
        <w:rPr>
          <w:rFonts w:ascii="Times New Roman" w:cs="Times New Roman" w:eastAsia="Times New Roman" w:hAnsi="Times New Roman"/>
          <w:sz w:val="24"/>
          <w:szCs w:val="24"/>
        </w:rPr>
        <w:t xml:space="preserve">Individual stocks are not uniformly harder to predict than the index. The strongest and weakest results in the study both occur on individual stocks.</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CHAPTER 8</w:t>
      </w:r>
    </w:p>
    <w:p>
      <w:pPr>
        <w:pStyle w:val="Heading1"/>
        <w:spacing w:after="240" w:before="240" w:line="360"/>
        <w:jc w:val="left"/>
      </w:pPr>
      <w:r>
        <w:rPr>
          <w:rFonts w:ascii="Times New Roman" w:cs="Times New Roman" w:eastAsia="Times New Roman" w:hAnsi="Times New Roman"/>
          <w:b/>
          <w:bCs/>
          <w:sz w:val="32"/>
          <w:szCs w:val="32"/>
        </w:rPr>
        <w:t xml:space="preserve">CONCLUSION</w:t>
      </w:r>
    </w:p>
    <w:p>
      <w:pPr>
        <w:pStyle w:val="Heading2"/>
        <w:spacing w:after="120" w:before="240" w:line="360"/>
        <w:jc w:val="left"/>
      </w:pPr>
      <w:r>
        <w:rPr>
          <w:rFonts w:ascii="Times New Roman" w:cs="Times New Roman" w:eastAsia="Times New Roman" w:hAnsi="Times New Roman"/>
          <w:b/>
          <w:bCs/>
          <w:sz w:val="26"/>
          <w:szCs w:val="26"/>
        </w:rPr>
        <w:t xml:space="preserve">8.1  Summary of Work</w:t>
      </w:r>
    </w:p>
    <w:p>
      <w:pPr>
        <w:pStyle w:val="Heading2"/>
        <w:spacing w:after="120" w:before="240" w:line="360"/>
        <w:jc w:val="left"/>
      </w:pPr>
      <w:r>
        <w:rPr>
          <w:rFonts w:ascii="Times New Roman" w:cs="Times New Roman" w:eastAsia="Times New Roman" w:hAnsi="Times New Roman"/>
          <w:b/>
          <w:bCs/>
          <w:sz w:val="26"/>
          <w:szCs w:val="26"/>
        </w:rPr>
        <w:t xml:space="preserve">8.2  Answer to the Research Question</w:t>
      </w:r>
    </w:p>
    <w:p>
      <w:pPr>
        <w:spacing w:after="120" w:before="0" w:line="360"/>
        <w:jc w:val="both"/>
      </w:pPr>
      <w:r>
        <w:rPr>
          <w:rFonts w:ascii="Times New Roman" w:cs="Times New Roman" w:eastAsia="Times New Roman" w:hAnsi="Times New Roman"/>
          <w:sz w:val="24"/>
          <w:szCs w:val="24"/>
        </w:rPr>
        <w:t xml:space="preserve">The primary research question asked whether increasing model complexity from Random Forest through XGBoost to Long Short Term Memory networks improves predictive accuracy and trading performance on the Indian stock market.</w:t>
      </w:r>
    </w:p>
    <w:p>
      <w:pPr>
        <w:spacing w:after="120" w:before="0" w:line="360"/>
        <w:jc w:val="both"/>
      </w:pPr>
      <w:r>
        <w:rPr>
          <w:rFonts w:ascii="Times New Roman" w:cs="Times New Roman" w:eastAsia="Times New Roman" w:hAnsi="Times New Roman"/>
          <w:b/>
          <w:bCs/>
          <w:i w:val="false"/>
          <w:iCs w:val="false"/>
          <w:sz w:val="24"/>
          <w:szCs w:val="24"/>
        </w:rPr>
        <w:t xml:space="preserve">The answer obtained is that it does not. </w:t>
      </w:r>
      <w:r>
        <w:rPr>
          <w:rFonts w:ascii="Times New Roman" w:cs="Times New Roman" w:eastAsia="Times New Roman" w:hAnsi="Times New Roman"/>
          <w:b w:val="false"/>
          <w:bCs w:val="false"/>
          <w:i w:val="false"/>
          <w:iCs w:val="false"/>
          <w:sz w:val="24"/>
          <w:szCs w:val="24"/>
        </w:rPr>
        <w:t xml:space="preserve">Mean accuracy across eight instruments separates the three families by 0.69 percentage points against standard errors of between 1.68 and 1.85 percentage points, placing all three within the noise floor of one another. Each family exceeds its baseline on exactly five of eight instruments. The ordering that emerges places XGBoost first and the LSTM last, which inverts the ordering the complexity hypothesis would predict, and the LSTM consumes approximately ninety three percent of total training time to achieve that last position.</w:t>
      </w:r>
    </w:p>
    <w:p>
      <w:pPr>
        <w:spacing w:after="120" w:before="0" w:line="360"/>
        <w:jc w:val="both"/>
      </w:pPr>
      <w:r>
        <w:rPr>
          <w:rFonts w:ascii="Times New Roman" w:cs="Times New Roman" w:eastAsia="Times New Roman" w:hAnsi="Times New Roman"/>
          <w:sz w:val="24"/>
          <w:szCs w:val="24"/>
        </w:rPr>
        <w:t xml:space="preserve">A more precise statement of the overall result is warranted, since it is neither uniformly negative nor straightforwardly positive. Of twenty four model and instrument combinations, sixteen are statistically indistinguishable from a majority class baseline, eight exceed it by more than two standard errors, and none falls significantly below it. The eight significant results concentrate on three instruments whose class distributions are diffuse and whose baselines are consequently weak, which means they reflect an easier comparison rather than a demonstrated general capability. Macro averaged F1 at approximately 1.91 times the constant baseline confirms that the models learn real class structure. That structure, however, does not convert into trading profitability: only seven of twenty four combinations exceed buy and hold on risk adjusted return once a transaction cost of 0.05 percent per position change is charged.</w:t>
      </w:r>
    </w:p>
    <w:p>
      <w:pPr>
        <w:spacing w:after="120" w:before="0" w:line="360"/>
        <w:jc w:val="both"/>
      </w:pPr>
      <w:r>
        <w:rPr>
          <w:rFonts w:ascii="Times New Roman" w:cs="Times New Roman" w:eastAsia="Times New Roman" w:hAnsi="Times New Roman"/>
          <w:sz w:val="24"/>
          <w:szCs w:val="24"/>
        </w:rPr>
        <w:t xml:space="preserve">The contribution of this work is therefore methodological rather than predictive. It demonstrates that when temporal validation, a sealed test set, an honest majority class baseline and transaction costs are applied simultaneously, the large apparent predictability of next day direction reported in much of the applied literature largely disappears, and what remains is modest, instrument specific and not reliably tradeable.</w:t>
      </w:r>
    </w:p>
    <w:p>
      <w:pPr>
        <w:pStyle w:val="Heading2"/>
        <w:spacing w:after="120" w:before="240" w:line="360"/>
        <w:jc w:val="left"/>
      </w:pPr>
      <w:r>
        <w:rPr>
          <w:rFonts w:ascii="Times New Roman" w:cs="Times New Roman" w:eastAsia="Times New Roman" w:hAnsi="Times New Roman"/>
          <w:b/>
          <w:bCs/>
          <w:sz w:val="26"/>
          <w:szCs w:val="26"/>
        </w:rPr>
        <w:t xml:space="preserve">8.3  Limitations</w:t>
      </w:r>
    </w:p>
    <w:p>
      <w:pPr>
        <w:spacing w:after="120" w:before="0" w:line="360"/>
        <w:jc w:val="both"/>
      </w:pPr>
      <w:r>
        <w:rPr>
          <w:rFonts w:ascii="Times New Roman" w:cs="Times New Roman" w:eastAsia="Times New Roman" w:hAnsi="Times New Roman"/>
          <w:sz w:val="24"/>
          <w:szCs w:val="24"/>
        </w:rPr>
        <w:t xml:space="preserve">The following limitations bound the conclusions that may be drawn from this work.</w:t>
      </w:r>
    </w:p>
    <w:p>
      <w:pPr>
        <w:spacing w:after="120" w:before="0" w:line="360"/>
        <w:jc w:val="both"/>
      </w:pPr>
      <w:r>
        <w:rPr>
          <w:rFonts w:ascii="Times New Roman" w:cs="Times New Roman" w:eastAsia="Times New Roman" w:hAnsi="Times New Roman"/>
          <w:b/>
          <w:bCs/>
          <w:i w:val="false"/>
          <w:iCs w:val="false"/>
          <w:sz w:val="24"/>
          <w:szCs w:val="24"/>
        </w:rPr>
        <w:t xml:space="preserve">Horizon. </w:t>
      </w:r>
      <w:r>
        <w:rPr>
          <w:rFonts w:ascii="Times New Roman" w:cs="Times New Roman" w:eastAsia="Times New Roman" w:hAnsi="Times New Roman"/>
          <w:b w:val="false"/>
          <w:bCs w:val="false"/>
          <w:i w:val="false"/>
          <w:iCs w:val="false"/>
          <w:sz w:val="24"/>
          <w:szCs w:val="24"/>
        </w:rPr>
        <w:t xml:space="preserve">The study examines a single trading day horizon exclusively. Predictability absent at one day may exist at five, ten or twenty days, and the labelling function would require only a parameterised shift to test this.</w:t>
      </w:r>
    </w:p>
    <w:p>
      <w:pPr>
        <w:spacing w:after="120" w:before="0" w:line="360"/>
        <w:jc w:val="both"/>
      </w:pPr>
      <w:r>
        <w:rPr>
          <w:rFonts w:ascii="Times New Roman" w:cs="Times New Roman" w:eastAsia="Times New Roman" w:hAnsi="Times New Roman"/>
          <w:b/>
          <w:bCs/>
          <w:i w:val="false"/>
          <w:iCs w:val="false"/>
          <w:sz w:val="24"/>
          <w:szCs w:val="24"/>
        </w:rPr>
        <w:t xml:space="preserve">Feature scope. </w:t>
      </w:r>
      <w:r>
        <w:rPr>
          <w:rFonts w:ascii="Times New Roman" w:cs="Times New Roman" w:eastAsia="Times New Roman" w:hAnsi="Times New Roman"/>
          <w:b w:val="false"/>
          <w:bCs w:val="false"/>
          <w:i w:val="false"/>
          <w:iCs w:val="false"/>
          <w:sz w:val="24"/>
          <w:szCs w:val="24"/>
        </w:rPr>
        <w:t xml:space="preserve">Only price derived technical features and two macroeconomic series were used. News sentiment, order book data, corporate announcements, analyst revisions and sectoral rotation were not incorporated. The conclusion is specific to the information set employed.</w:t>
      </w:r>
    </w:p>
    <w:p>
      <w:pPr>
        <w:spacing w:after="120" w:before="0" w:line="360"/>
        <w:jc w:val="both"/>
      </w:pPr>
      <w:r>
        <w:rPr>
          <w:rFonts w:ascii="Times New Roman" w:cs="Times New Roman" w:eastAsia="Times New Roman" w:hAnsi="Times New Roman"/>
          <w:b/>
          <w:bCs/>
          <w:i w:val="false"/>
          <w:iCs w:val="false"/>
          <w:sz w:val="24"/>
          <w:szCs w:val="24"/>
        </w:rPr>
        <w:t xml:space="preserve">Execution assumptions. </w:t>
      </w:r>
      <w:r>
        <w:rPr>
          <w:rFonts w:ascii="Times New Roman" w:cs="Times New Roman" w:eastAsia="Times New Roman" w:hAnsi="Times New Roman"/>
          <w:b w:val="false"/>
          <w:bCs w:val="false"/>
          <w:i w:val="false"/>
          <w:iCs w:val="false"/>
          <w:sz w:val="24"/>
          <w:szCs w:val="24"/>
        </w:rPr>
        <w:t xml:space="preserve">The backtest assumes execution at the closing price on the signal day, unlimited short selling, and a flat transaction cost of 0.05 percent. Slippage, market impact, borrowing cost and the separate components of Indian transaction charges are not modelled.</w:t>
      </w:r>
    </w:p>
    <w:p>
      <w:pPr>
        <w:spacing w:after="120" w:before="0" w:line="360"/>
        <w:jc w:val="both"/>
      </w:pPr>
      <w:r>
        <w:rPr>
          <w:rFonts w:ascii="Times New Roman" w:cs="Times New Roman" w:eastAsia="Times New Roman" w:hAnsi="Times New Roman"/>
          <w:b/>
          <w:bCs/>
          <w:i w:val="false"/>
          <w:iCs w:val="false"/>
          <w:sz w:val="24"/>
          <w:szCs w:val="24"/>
        </w:rPr>
        <w:t xml:space="preserve">Instrument coverage. </w:t>
      </w:r>
      <w:r>
        <w:rPr>
          <w:rFonts w:ascii="Times New Roman" w:cs="Times New Roman" w:eastAsia="Times New Roman" w:hAnsi="Times New Roman"/>
          <w:b w:val="false"/>
          <w:bCs w:val="false"/>
          <w:i w:val="false"/>
          <w:iCs w:val="false"/>
          <w:sz w:val="24"/>
          <w:szCs w:val="24"/>
        </w:rPr>
        <w:t xml:space="preserve">The full three model comparison was conducted on eight instruments. The remaining forty three constituents have prepared data and can be trained on demand, but were not included in the comparative study.</w:t>
      </w:r>
    </w:p>
    <w:p>
      <w:pPr>
        <w:spacing w:after="120" w:before="0" w:line="360"/>
        <w:jc w:val="both"/>
      </w:pPr>
      <w:r>
        <w:rPr>
          <w:rFonts w:ascii="Times New Roman" w:cs="Times New Roman" w:eastAsia="Times New Roman" w:hAnsi="Times New Roman"/>
          <w:b/>
          <w:bCs/>
          <w:i w:val="false"/>
          <w:iCs w:val="false"/>
          <w:sz w:val="24"/>
          <w:szCs w:val="24"/>
        </w:rPr>
        <w:t xml:space="preserve">Survivorship. </w:t>
      </w:r>
      <w:r>
        <w:rPr>
          <w:rFonts w:ascii="Times New Roman" w:cs="Times New Roman" w:eastAsia="Times New Roman" w:hAnsi="Times New Roman"/>
          <w:b w:val="false"/>
          <w:bCs w:val="false"/>
          <w:i w:val="false"/>
          <w:iCs w:val="false"/>
          <w:sz w:val="24"/>
          <w:szCs w:val="24"/>
        </w:rPr>
        <w:t xml:space="preserve">The constituent list is the current membership of the index. Companies removed from the index during the study period are absent, which introduces a survivorship consideration into any cross sectional interpretation.</w:t>
      </w:r>
    </w:p>
    <w:p>
      <w:pPr>
        <w:spacing w:after="120" w:before="0" w:line="360"/>
        <w:jc w:val="both"/>
      </w:pPr>
      <w:r>
        <w:rPr>
          <w:rFonts w:ascii="Times New Roman" w:cs="Times New Roman" w:eastAsia="Times New Roman" w:hAnsi="Times New Roman"/>
          <w:b/>
          <w:bCs/>
          <w:i w:val="false"/>
          <w:iCs w:val="false"/>
          <w:sz w:val="24"/>
          <w:szCs w:val="24"/>
        </w:rPr>
        <w:t xml:space="preserve">Partial histories. </w:t>
      </w:r>
      <w:r>
        <w:rPr>
          <w:rFonts w:ascii="Times New Roman" w:cs="Times New Roman" w:eastAsia="Times New Roman" w:hAnsi="Times New Roman"/>
          <w:b w:val="false"/>
          <w:bCs w:val="false"/>
          <w:i w:val="false"/>
          <w:iCs w:val="false"/>
          <w:sz w:val="24"/>
          <w:szCs w:val="24"/>
        </w:rPr>
        <w:t xml:space="preserve">Three constituents listed after 2015 and therefore cannot populate the earlier validation folds. The system reports this condition but does not otherwise compensate for it.</w:t>
      </w:r>
    </w:p>
    <w:p>
      <w:pPr>
        <w:spacing w:after="120" w:before="0" w:line="360"/>
        <w:jc w:val="both"/>
      </w:pPr>
      <w:r>
        <w:rPr>
          <w:rFonts w:ascii="Times New Roman" w:cs="Times New Roman" w:eastAsia="Times New Roman" w:hAnsi="Times New Roman"/>
          <w:b/>
          <w:bCs/>
          <w:i w:val="false"/>
          <w:iCs w:val="false"/>
          <w:sz w:val="24"/>
          <w:szCs w:val="24"/>
        </w:rPr>
        <w:t xml:space="preserve">Single evaluation window. </w:t>
      </w:r>
      <w:r>
        <w:rPr>
          <w:rFonts w:ascii="Times New Roman" w:cs="Times New Roman" w:eastAsia="Times New Roman" w:hAnsi="Times New Roman"/>
          <w:b w:val="false"/>
          <w:bCs w:val="false"/>
          <w:i w:val="false"/>
          <w:iCs w:val="false"/>
          <w:sz w:val="24"/>
          <w:szCs w:val="24"/>
        </w:rPr>
        <w:t xml:space="preserve">The sealed test covers January 2024 onward. A different test window could produce different results, and the statistical comparisons reported here use a normal approximation to the binomial rather than an exact test or a bootstrap interval.</w:t>
      </w:r>
    </w:p>
    <w:p>
      <w:pPr>
        <w:pStyle w:val="Heading2"/>
        <w:spacing w:after="120" w:before="240" w:line="360"/>
        <w:jc w:val="left"/>
      </w:pPr>
      <w:r>
        <w:rPr>
          <w:rFonts w:ascii="Times New Roman" w:cs="Times New Roman" w:eastAsia="Times New Roman" w:hAnsi="Times New Roman"/>
          <w:b/>
          <w:bCs/>
          <w:sz w:val="26"/>
          <w:szCs w:val="26"/>
        </w:rPr>
        <w:t xml:space="preserve">8.4  Future Scope</w:t>
      </w:r>
    </w:p>
    <w:p>
      <w:pPr>
        <w:spacing w:after="120" w:before="0" w:line="360"/>
        <w:jc w:val="both"/>
      </w:pPr>
      <w:r>
        <w:rPr>
          <w:rFonts w:ascii="Times New Roman" w:cs="Times New Roman" w:eastAsia="Times New Roman" w:hAnsi="Times New Roman"/>
          <w:sz w:val="24"/>
          <w:szCs w:val="24"/>
        </w:rPr>
        <w:t xml:space="preserve">Several directions follow naturally from the limitations above and from the findings of the study.</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Horizon sweep. Parameterise the labelling shift and evaluate horizons of one, five, ten and twenty sessions under the identical validation scheme. If predictability emerges at longer horizons this is a positive finding, and if it does not the negative result becomes considerably stronger.</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Replication of the shuffled split. Implement a randomised train and test split on the same data and the same models, report the accuracy obtained, and contrast it directly with the walk forward result. This would quantify the inflation attributable to the validation design alone and would convert a methodological argument into a measured one.</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Bootstrap confidence intervals. Replace the normal approximation used in Section 7.4 with bootstrap intervals on both accuracy and Sharpe, which would place the conclusions on a firmer inferential footing and permit significance testing of the differences between model families.</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Feature ablation. Evaluate price only features against price plus macroeconomic features against the full set including market context, in order to identify which categories of information carry signal.</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Regime conditional analysis. Partition the test window by volatility regime using the India VIX and evaluate whether any model exceeds its baseline within a particular regime even where it does not do so overall.</w:t>
      </w:r>
    </w:p>
    <w:p>
      <w:pPr>
        <w:pStyle w:val="ListParagraph"/>
        <w:numPr>
          <w:ilvl w:val="0"/>
          <w:numId w:val="6"/>
        </w:numPr>
        <w:spacing w:after="120" w:before="0" w:line="360"/>
        <w:jc w:val="both"/>
      </w:pPr>
      <w:r>
        <w:rPr>
          <w:rFonts w:ascii="Times New Roman" w:cs="Times New Roman" w:eastAsia="Times New Roman" w:hAnsi="Times New Roman"/>
          <w:sz w:val="24"/>
          <w:szCs w:val="24"/>
        </w:rPr>
        <w:t xml:space="preserve">Hybrid architecture. Investigate the combination of recurrent and boosted models explored in the reviewed literature, in which a recurrent encoder supplies learned representations to a gradient boosted classifier.</w:t>
      </w:r>
    </w:p>
    <w:p>
      <w:r>
        <w:br w:type="page"/>
      </w:r>
    </w:p>
    <w:p>
      <w:pPr>
        <w:pStyle w:val="Heading1"/>
        <w:spacing w:after="240" w:before="240" w:line="360"/>
        <w:jc w:val="left"/>
      </w:pPr>
      <w:r>
        <w:rPr>
          <w:rFonts w:ascii="Times New Roman" w:cs="Times New Roman" w:eastAsia="Times New Roman" w:hAnsi="Times New Roman"/>
          <w:b/>
          <w:bCs/>
          <w:sz w:val="32"/>
          <w:szCs w:val="32"/>
        </w:rPr>
        <w:t xml:space="preserve">BIBLIOGRAPHY</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Md. Arif Istiake Sunny, Mirza Mohd Shahriar Maswood and Abdullah G. Alharbi, </w:t>
      </w:r>
      <w:r>
        <w:rPr>
          <w:rFonts w:ascii="Times New Roman" w:cs="Times New Roman" w:eastAsia="Times New Roman" w:hAnsi="Times New Roman"/>
          <w:b w:val="false"/>
          <w:bCs w:val="false"/>
          <w:i/>
          <w:iCs/>
          <w:sz w:val="24"/>
          <w:szCs w:val="24"/>
        </w:rPr>
        <w:t xml:space="preserve">Deep Learning-Based Stock Price Prediction Using LSTM and Bi-Directional LSTM Model</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Hassan Oukhouya, Hamza Kadiri, Khalid El Himdi and Raby Guerbaz, </w:t>
      </w:r>
      <w:r>
        <w:rPr>
          <w:rFonts w:ascii="Times New Roman" w:cs="Times New Roman" w:eastAsia="Times New Roman" w:hAnsi="Times New Roman"/>
          <w:b w:val="false"/>
          <w:bCs w:val="false"/>
          <w:i/>
          <w:iCs/>
          <w:sz w:val="24"/>
          <w:szCs w:val="24"/>
        </w:rPr>
        <w:t xml:space="preserve">Forecasting International Stock Market Trends: XGBoost, LSTM, LSTM-XGBoost, and Backtesting XGBoost Models</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Ishita Khandelwal, Suchita Borkar and Prakash Ukhalkar, </w:t>
      </w:r>
      <w:r>
        <w:rPr>
          <w:rFonts w:ascii="Times New Roman" w:cs="Times New Roman" w:eastAsia="Times New Roman" w:hAnsi="Times New Roman"/>
          <w:b w:val="false"/>
          <w:bCs w:val="false"/>
          <w:i/>
          <w:iCs/>
          <w:sz w:val="24"/>
          <w:szCs w:val="24"/>
        </w:rPr>
        <w:t xml:space="preserve">Comparative Analysis of LSTM, Random Forest, and XGBoost Models for Stock Price Prediction in the Indian Equity Market</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Hasan Ahmed Salman, Ali Kalakech and Amani Steiti, </w:t>
      </w:r>
      <w:r>
        <w:rPr>
          <w:rFonts w:ascii="Times New Roman" w:cs="Times New Roman" w:eastAsia="Times New Roman" w:hAnsi="Times New Roman"/>
          <w:b w:val="false"/>
          <w:bCs w:val="false"/>
          <w:i/>
          <w:iCs/>
          <w:sz w:val="24"/>
          <w:szCs w:val="24"/>
        </w:rPr>
        <w:t xml:space="preserve">Random Forest Algorithm Overview</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Ramraj S, Nishant Uzir, Sunil R and Shatadeep Banerjee, </w:t>
      </w:r>
      <w:r>
        <w:rPr>
          <w:rFonts w:ascii="Times New Roman" w:cs="Times New Roman" w:eastAsia="Times New Roman" w:hAnsi="Times New Roman"/>
          <w:b w:val="false"/>
          <w:bCs w:val="false"/>
          <w:i/>
          <w:iCs/>
          <w:sz w:val="24"/>
          <w:szCs w:val="24"/>
        </w:rPr>
        <w:t xml:space="preserve">Experimenting XGBoost Algorithm for Prediction and Classification of Different Datasets</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Ugur Sahin and A. Murat Ozbayoglu, </w:t>
      </w:r>
      <w:r>
        <w:rPr>
          <w:rFonts w:ascii="Times New Roman" w:cs="Times New Roman" w:eastAsia="Times New Roman" w:hAnsi="Times New Roman"/>
          <w:b w:val="false"/>
          <w:bCs w:val="false"/>
          <w:i/>
          <w:iCs/>
          <w:sz w:val="24"/>
          <w:szCs w:val="24"/>
        </w:rPr>
        <w:t xml:space="preserve">Trend-normalized RSI Indicator for Stock Trading Systems with Evolutionary Computation</w:t>
      </w:r>
      <w:r>
        <w:rPr>
          <w:rFonts w:ascii="Times New Roman" w:cs="Times New Roman" w:eastAsia="Times New Roman" w:hAnsi="Times New Roman"/>
          <w:b w:val="false"/>
          <w:bCs w:val="false"/>
          <w:i w:val="false"/>
          <w:iCs w:val="false"/>
          <w:sz w:val="24"/>
          <w:szCs w:val="24"/>
        </w:rPr>
        <w:t xml:space="preserve">.</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https://finance.yahoo.com  Accessed 28th October 2026.</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https://en.wikipedia.org/wiki/NIFTY_50  Accessed 28th October 2026.</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https://scikit-learn.org/stable/modules/ensemble.html  Accessed 28th October 2026.</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[10]  </w:t>
      </w:r>
      <w:r>
        <w:rPr>
          <w:rFonts w:ascii="Times New Roman" w:cs="Times New Roman" w:eastAsia="Times New Roman" w:hAnsi="Times New Roman"/>
          <w:b w:val="false"/>
          <w:bCs w:val="false"/>
          <w:i w:val="false"/>
          <w:iCs w:val="false"/>
          <w:sz w:val="24"/>
          <w:szCs w:val="24"/>
        </w:rPr>
        <w:t xml:space="preserve">https://xgboost.readthedocs.io  Accessed 28th October 2026.</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https://keras.io/api/layers/recurrent_layers/lstm  Accessed 28th October 2026.</w:t>
      </w:r>
    </w:p>
    <w:p>
      <w:pPr>
        <w:spacing w:after="160" w:before="0" w:line="360"/>
        <w:ind w:left="400" w:hanging="400"/>
        <w:jc w:val="left"/>
      </w:pPr>
      <w:r>
        <w:rPr>
          <w:rFonts w:ascii="Times New Roman" w:cs="Times New Roman" w:eastAsia="Times New Roman" w:hAnsi="Times New Roman"/>
          <w:b w:val="false"/>
          <w:bCs w:val="false"/>
          <w:i w:val="false"/>
          <w:iCs w:val="false"/>
          <w:sz w:val="24"/>
          <w:szCs w:val="24"/>
        </w:rPr>
        <w:t xml:space="preserve">[12]  </w:t>
      </w:r>
      <w:r>
        <w:rPr>
          <w:rFonts w:ascii="Times New Roman" w:cs="Times New Roman" w:eastAsia="Times New Roman" w:hAnsi="Times New Roman"/>
          <w:b w:val="false"/>
          <w:bCs w:val="false"/>
          <w:i w:val="false"/>
          <w:iCs w:val="false"/>
          <w:sz w:val="24"/>
          <w:szCs w:val="24"/>
        </w:rPr>
        <w:t xml:space="preserve">https://docs.streamlit.io  Accessed 28th October 2026.</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5eccd6ba4da3e3252247e218823b49966870f39.png"/><Relationship Id="rId10" Type="http://schemas.openxmlformats.org/officeDocument/2006/relationships/image" Target="media/a5580501cce7f912232d84178b5480918f139e7f.jpg"/><Relationship Id="rId11" Type="http://schemas.openxmlformats.org/officeDocument/2006/relationships/image" Target="media/7e51bbb92400a1992009251bcf41b3c555257f2b.png"/><Relationship Id="rId12" Type="http://schemas.openxmlformats.org/officeDocument/2006/relationships/image" Target="media/dec1c18b33e00d057e96747ed60fc58c6648b42f.jpg"/><Relationship Id="rId13" Type="http://schemas.openxmlformats.org/officeDocument/2006/relationships/image" Target="media/985a5582f08e778746c3a3be6a5d2af4f707999b.jpg"/><Relationship Id="rId14" Type="http://schemas.openxmlformats.org/officeDocument/2006/relationships/image" Target="media/2e04046160d58ed6d04aa788b2b6b779c2180755.jpg"/><Relationship Id="rId15" Type="http://schemas.openxmlformats.org/officeDocument/2006/relationships/image" Target="media/fff8fb5e0e46cb47216ed9b0cb8ad136dac4ffe7.jpg"/><Relationship Id="rId16" Type="http://schemas.openxmlformats.org/officeDocument/2006/relationships/image" Target="media/6e067f0fd53d8abef2ffe370ad3edc9bb145de19.jpg"/><Relationship Id="rId17" Type="http://schemas.openxmlformats.org/officeDocument/2006/relationships/image" Target="media/c2244a258374c27e53ee6d4d980f85965687343a.jpg"/><Relationship Id="rId18" Type="http://schemas.openxmlformats.org/officeDocument/2006/relationships/image" Target="media/dc1e484e55d9f8e25a43a14d8a4a9d7272d599a4.jpg"/><Relationship Id="rId19" Type="http://schemas.openxmlformats.org/officeDocument/2006/relationships/image" Target="media/4ce037308bdc7d1f6c6bb3acdc90a3a6fd87be6c.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Stock Market Direction Prediction Using Machine Learning and Deep Learning</dc:title>
  <dc:creator>Department of Computer Science and Engineering, BIT Mesra (Lalpur Unit)</dc:creator>
  <dc:description>BCA final semester project report</dc:description>
  <cp:lastModifiedBy>Un-named</cp:lastModifiedBy>
  <cp:revision>1</cp:revision>
  <dcterms:created xsi:type="dcterms:W3CDTF">2026-10-28T19:42:02.270Z</dcterms:created>
  <dcterms:modified xsi:type="dcterms:W3CDTF">2026-10-28T19:42:02.272Z</dcterms:modified>
</cp:coreProperties>
</file>

<file path=docProps/custom.xml><?xml version="1.0" encoding="utf-8"?>
<Properties xmlns="http://schemas.openxmlformats.org/officeDocument/2006/custom-properties" xmlns:vt="http://schemas.openxmlformats.org/officeDocument/2006/docPropsVTypes"/>
</file>