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00"/>
        <w:jc w:val="center"/>
      </w:pPr>
      <w:r>
        <w:rPr>
          <w:b/>
          <w:bCs/>
          <w:color w:val="B71C1C"/>
        </w:rPr>
        <w:t xml:space="preserve">RESTRICTED — GOVERNMENT OF INDIA</w:t>
      </w:r>
    </w:p>
    <w:p>
      <w:pPr>
        <w:spacing w:after="240"/>
        <w:jc w:val="center"/>
      </w:pPr>
      <w:r>
        <w:rPr>
          <w:b/>
          <w:bCs/>
          <w:caps/>
          <w:color w:val="1B2A4A"/>
          <w:sz w:val="56"/>
          <w:szCs w:val="56"/>
        </w:rPr>
        <w:t xml:space="preserve">SOFTWARE REQUIREMENTS SPECIFICATION</w:t>
      </w:r>
    </w:p>
    <w:p>
      <w:pPr>
        <w:spacing w:after="480"/>
        <w:jc w:val="center"/>
      </w:pPr>
      <w:r>
        <w:rPr>
          <w:i/>
          <w:iCs/>
          <w:color w:val="1A5276"/>
          <w:sz w:val="32"/>
          <w:szCs w:val="32"/>
        </w:rPr>
        <w:t xml:space="preserve">AI-Based Fake Identity and Document Screening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color="1B2A4A" w:val="clear"/>
            <w:vAlign w:val="top"/>
          </w:tcPr>
          <w:p>
            <w:pPr>
              <w:spacing w:after="80" w:before="80"/>
              <w:ind w:left="100"/>
            </w:pPr>
            <w:r>
              <w:rPr>
                <w:b/>
                <w:bCs/>
                <w:color w:val="FFFFFF"/>
                <w:sz w:val="18"/>
                <w:szCs w:val="18"/>
              </w:rPr>
              <w:t xml:space="preserve">Field</w:t>
            </w:r>
          </w:p>
        </w:tc>
        <w:tc>
          <w:tcPr>
            <w:tcW w:type="dxa" w:w="6600"/>
            <w:shd w:color="1B2A4A" w:val="clear"/>
            <w:vAlign w:val="top"/>
          </w:tcPr>
          <w:p>
            <w:pPr>
              <w:spacing w:after="80" w:before="80"/>
              <w:ind w:left="100"/>
            </w:pPr>
            <w:r>
              <w:rPr>
                <w:b/>
                <w:bCs/>
                <w:color w:val="FFFFFF"/>
                <w:sz w:val="18"/>
                <w:szCs w:val="18"/>
              </w:rPr>
              <w:t xml:space="preserve">Value</w:t>
            </w:r>
          </w:p>
        </w:tc>
      </w:tr>
      <w:tr>
        <w:trPr>
          <w:tblHeader w:val="false"/>
        </w:trPr>
        <w:tc>
          <w:tcPr>
            <w:tcW w:type="dxa" w:w="2400"/>
            <w:shd w:color="F4F6F9" w:val="clear"/>
            <w:vAlign w:val="top"/>
          </w:tcPr>
          <w:p>
            <w:pPr>
              <w:spacing w:after="80" w:before="80"/>
              <w:ind w:left="100"/>
            </w:pPr>
            <w:r>
              <w:rPr>
                <w:b w:val="false"/>
                <w:bCs w:val="false"/>
                <w:color w:val="0D1B2A"/>
                <w:sz w:val="18"/>
                <w:szCs w:val="18"/>
              </w:rPr>
              <w:t xml:space="preserve">Document Reference</w:t>
            </w:r>
          </w:p>
        </w:tc>
        <w:tc>
          <w:tcPr>
            <w:tcW w:type="dxa" w:w="6600"/>
            <w:shd w:color="F4F6F9" w:val="clear"/>
            <w:vAlign w:val="top"/>
          </w:tcPr>
          <w:p>
            <w:pPr>
              <w:spacing w:after="80" w:before="80"/>
              <w:ind w:left="100"/>
            </w:pPr>
            <w:r>
              <w:rPr>
                <w:b w:val="false"/>
                <w:bCs w:val="false"/>
                <w:color w:val="0D1B2A"/>
                <w:sz w:val="18"/>
                <w:szCs w:val="18"/>
              </w:rPr>
              <w:t xml:space="preserve">SRS-SSB-DOCSCREEN-v1.0</w:t>
            </w:r>
          </w:p>
        </w:tc>
      </w:tr>
      <w:tr>
        <w:trPr>
          <w:tblHeader w:val="false"/>
        </w:trPr>
        <w:tc>
          <w:tcPr>
            <w:tcW w:type="dxa" w:w="2400"/>
            <w:shd/>
            <w:vAlign w:val="top"/>
          </w:tcPr>
          <w:p>
            <w:pPr>
              <w:spacing w:after="80" w:before="80"/>
              <w:ind w:left="100"/>
            </w:pPr>
            <w:r>
              <w:rPr>
                <w:b w:val="false"/>
                <w:bCs w:val="false"/>
                <w:color w:val="0D1B2A"/>
                <w:sz w:val="18"/>
                <w:szCs w:val="18"/>
              </w:rPr>
              <w:t xml:space="preserve">SIH Problem Statement ID</w:t>
            </w:r>
          </w:p>
        </w:tc>
        <w:tc>
          <w:tcPr>
            <w:tcW w:type="dxa" w:w="6600"/>
            <w:shd/>
            <w:vAlign w:val="top"/>
          </w:tcPr>
          <w:p>
            <w:pPr>
              <w:spacing w:after="80" w:before="80"/>
              <w:ind w:left="100"/>
            </w:pPr>
            <w:r>
              <w:rPr>
                <w:b w:val="false"/>
                <w:bCs w:val="false"/>
                <w:color w:val="0D1B2A"/>
                <w:sz w:val="18"/>
                <w:szCs w:val="18"/>
              </w:rPr>
              <w:t xml:space="preserve">SIH26188</w:t>
            </w:r>
          </w:p>
        </w:tc>
      </w:tr>
      <w:tr>
        <w:trPr>
          <w:tblHeader w:val="false"/>
        </w:trPr>
        <w:tc>
          <w:tcPr>
            <w:tcW w:type="dxa" w:w="2400"/>
            <w:shd w:color="F4F6F9" w:val="clear"/>
            <w:vAlign w:val="top"/>
          </w:tcPr>
          <w:p>
            <w:pPr>
              <w:spacing w:after="80" w:before="80"/>
              <w:ind w:left="100"/>
            </w:pPr>
            <w:r>
              <w:rPr>
                <w:b w:val="false"/>
                <w:bCs w:val="false"/>
                <w:color w:val="0D1B2A"/>
                <w:sz w:val="18"/>
                <w:szCs w:val="18"/>
              </w:rPr>
              <w:t xml:space="preserve">Client Organisation</w:t>
            </w:r>
          </w:p>
        </w:tc>
        <w:tc>
          <w:tcPr>
            <w:tcW w:type="dxa" w:w="6600"/>
            <w:shd w:color="F4F6F9" w:val="clear"/>
            <w:vAlign w:val="top"/>
          </w:tcPr>
          <w:p>
            <w:pPr>
              <w:spacing w:after="80" w:before="80"/>
              <w:ind w:left="100"/>
            </w:pPr>
            <w:r>
              <w:rPr>
                <w:b w:val="false"/>
                <w:bCs w:val="false"/>
                <w:color w:val="0D1B2A"/>
                <w:sz w:val="18"/>
                <w:szCs w:val="18"/>
              </w:rPr>
              <w:t xml:space="preserve">Sashastra Seema Bal (SSB), Police II Division</w:t>
            </w:r>
          </w:p>
        </w:tc>
      </w:tr>
      <w:tr>
        <w:trPr>
          <w:tblHeader w:val="false"/>
        </w:trPr>
        <w:tc>
          <w:tcPr>
            <w:tcW w:type="dxa" w:w="2400"/>
            <w:shd/>
            <w:vAlign w:val="top"/>
          </w:tcPr>
          <w:p>
            <w:pPr>
              <w:spacing w:after="80" w:before="80"/>
              <w:ind w:left="100"/>
            </w:pPr>
            <w:r>
              <w:rPr>
                <w:b w:val="false"/>
                <w:bCs w:val="false"/>
                <w:color w:val="0D1B2A"/>
                <w:sz w:val="18"/>
                <w:szCs w:val="18"/>
              </w:rPr>
              <w:t xml:space="preserve">Governing Ministry</w:t>
            </w:r>
          </w:p>
        </w:tc>
        <w:tc>
          <w:tcPr>
            <w:tcW w:type="dxa" w:w="6600"/>
            <w:shd/>
            <w:vAlign w:val="top"/>
          </w:tcPr>
          <w:p>
            <w:pPr>
              <w:spacing w:after="80" w:before="80"/>
              <w:ind w:left="100"/>
            </w:pPr>
            <w:r>
              <w:rPr>
                <w:b w:val="false"/>
                <w:bCs w:val="false"/>
                <w:color w:val="0D1B2A"/>
                <w:sz w:val="18"/>
                <w:szCs w:val="18"/>
              </w:rPr>
              <w:t xml:space="preserve">Ministry of Home Affairs, Government of India</w:t>
            </w:r>
          </w:p>
        </w:tc>
      </w:tr>
      <w:tr>
        <w:trPr>
          <w:tblHeader w:val="false"/>
        </w:trPr>
        <w:tc>
          <w:tcPr>
            <w:tcW w:type="dxa" w:w="2400"/>
            <w:shd w:color="F4F6F9" w:val="clear"/>
            <w:vAlign w:val="top"/>
          </w:tcPr>
          <w:p>
            <w:pPr>
              <w:spacing w:after="80" w:before="80"/>
              <w:ind w:left="100"/>
            </w:pPr>
            <w:r>
              <w:rPr>
                <w:b w:val="false"/>
                <w:bCs w:val="false"/>
                <w:color w:val="0D1B2A"/>
                <w:sz w:val="18"/>
                <w:szCs w:val="18"/>
              </w:rPr>
              <w:t xml:space="preserve">Standard</w:t>
            </w:r>
          </w:p>
        </w:tc>
        <w:tc>
          <w:tcPr>
            <w:tcW w:type="dxa" w:w="6600"/>
            <w:shd w:color="F4F6F9" w:val="clear"/>
            <w:vAlign w:val="top"/>
          </w:tcPr>
          <w:p>
            <w:pPr>
              <w:spacing w:after="80" w:before="80"/>
              <w:ind w:left="100"/>
            </w:pPr>
            <w:r>
              <w:rPr>
                <w:b w:val="false"/>
                <w:bCs w:val="false"/>
                <w:color w:val="0D1B2A"/>
                <w:sz w:val="18"/>
                <w:szCs w:val="18"/>
              </w:rPr>
              <w:t xml:space="preserve">IEEE 830-1998 Software Requirements Specification</w:t>
            </w:r>
          </w:p>
        </w:tc>
      </w:tr>
      <w:tr>
        <w:trPr>
          <w:tblHeader w:val="false"/>
        </w:trPr>
        <w:tc>
          <w:tcPr>
            <w:tcW w:type="dxa" w:w="2400"/>
            <w:shd/>
            <w:vAlign w:val="top"/>
          </w:tcPr>
          <w:p>
            <w:pPr>
              <w:spacing w:after="80" w:before="80"/>
              <w:ind w:left="100"/>
            </w:pPr>
            <w:r>
              <w:rPr>
                <w:b w:val="false"/>
                <w:bCs w:val="false"/>
                <w:color w:val="0D1B2A"/>
                <w:sz w:val="18"/>
                <w:szCs w:val="18"/>
              </w:rPr>
              <w:t xml:space="preserve">Classification</w:t>
            </w:r>
          </w:p>
        </w:tc>
        <w:tc>
          <w:tcPr>
            <w:tcW w:type="dxa" w:w="6600"/>
            <w:shd/>
            <w:vAlign w:val="top"/>
          </w:tcPr>
          <w:p>
            <w:pPr>
              <w:spacing w:after="80" w:before="80"/>
              <w:ind w:left="100"/>
            </w:pPr>
            <w:r>
              <w:rPr>
                <w:b w:val="false"/>
                <w:bCs w:val="false"/>
                <w:color w:val="0D1B2A"/>
                <w:sz w:val="18"/>
                <w:szCs w:val="18"/>
              </w:rPr>
              <w:t xml:space="preserve">RESTRICTED — For Authorised Personnel Only</w:t>
            </w:r>
          </w:p>
        </w:tc>
      </w:tr>
      <w:tr>
        <w:trPr>
          <w:tblHeader w:val="false"/>
        </w:trPr>
        <w:tc>
          <w:tcPr>
            <w:tcW w:type="dxa" w:w="2400"/>
            <w:shd w:color="F4F6F9" w:val="clear"/>
            <w:vAlign w:val="top"/>
          </w:tcPr>
          <w:p>
            <w:pPr>
              <w:spacing w:after="80" w:before="80"/>
              <w:ind w:left="100"/>
            </w:pPr>
            <w:r>
              <w:rPr>
                <w:b w:val="false"/>
                <w:bCs w:val="false"/>
                <w:color w:val="0D1B2A"/>
                <w:sz w:val="18"/>
                <w:szCs w:val="18"/>
              </w:rPr>
              <w:t xml:space="preserve">Document Status</w:t>
            </w:r>
          </w:p>
        </w:tc>
        <w:tc>
          <w:tcPr>
            <w:tcW w:type="dxa" w:w="6600"/>
            <w:shd w:color="F4F6F9" w:val="clear"/>
            <w:vAlign w:val="top"/>
          </w:tcPr>
          <w:p>
            <w:pPr>
              <w:spacing w:after="80" w:before="80"/>
              <w:ind w:left="100"/>
            </w:pPr>
            <w:r>
              <w:rPr>
                <w:b w:val="false"/>
                <w:bCs w:val="false"/>
                <w:color w:val="0D1B2A"/>
                <w:sz w:val="18"/>
                <w:szCs w:val="18"/>
              </w:rPr>
              <w:t xml:space="preserve">Approved for Implementation</w:t>
            </w:r>
          </w:p>
        </w:tc>
      </w:tr>
      <w:tr>
        <w:trPr>
          <w:tblHeader w:val="false"/>
        </w:trPr>
        <w:tc>
          <w:tcPr>
            <w:tcW w:type="dxa" w:w="2400"/>
            <w:shd/>
            <w:vAlign w:val="top"/>
          </w:tcPr>
          <w:p>
            <w:pPr>
              <w:spacing w:after="80" w:before="80"/>
              <w:ind w:left="100"/>
            </w:pPr>
            <w:r>
              <w:rPr>
                <w:b w:val="false"/>
                <w:bCs w:val="false"/>
                <w:color w:val="0D1B2A"/>
                <w:sz w:val="18"/>
                <w:szCs w:val="18"/>
              </w:rPr>
              <w:t xml:space="preserve">Version</w:t>
            </w:r>
          </w:p>
        </w:tc>
        <w:tc>
          <w:tcPr>
            <w:tcW w:type="dxa" w:w="6600"/>
            <w:shd/>
            <w:vAlign w:val="top"/>
          </w:tcPr>
          <w:p>
            <w:pPr>
              <w:spacing w:after="80" w:before="80"/>
              <w:ind w:left="100"/>
            </w:pPr>
            <w:r>
              <w:rPr>
                <w:b w:val="false"/>
                <w:bCs w:val="false"/>
                <w:color w:val="0D1B2A"/>
                <w:sz w:val="18"/>
                <w:szCs w:val="18"/>
              </w:rPr>
              <w:t xml:space="preserve">1.0</w:t>
            </w:r>
          </w:p>
        </w:tc>
      </w:tr>
      <w:tr>
        <w:trPr>
          <w:tblHeader w:val="false"/>
        </w:trPr>
        <w:tc>
          <w:tcPr>
            <w:tcW w:type="dxa" w:w="2400"/>
            <w:shd w:color="F4F6F9" w:val="clear"/>
            <w:vAlign w:val="top"/>
          </w:tcPr>
          <w:p>
            <w:pPr>
              <w:spacing w:after="80" w:before="80"/>
              <w:ind w:left="100"/>
            </w:pPr>
            <w:r>
              <w:rPr>
                <w:b w:val="false"/>
                <w:bCs w:val="false"/>
                <w:color w:val="0D1B2A"/>
                <w:sz w:val="18"/>
                <w:szCs w:val="18"/>
              </w:rPr>
              <w:t xml:space="preserve">Language</w:t>
            </w:r>
          </w:p>
        </w:tc>
        <w:tc>
          <w:tcPr>
            <w:tcW w:type="dxa" w:w="6600"/>
            <w:shd w:color="F4F6F9" w:val="clear"/>
            <w:vAlign w:val="top"/>
          </w:tcPr>
          <w:p>
            <w:pPr>
              <w:spacing w:after="80" w:before="80"/>
              <w:ind w:left="100"/>
            </w:pPr>
            <w:r>
              <w:rPr>
                <w:b w:val="false"/>
                <w:bCs w:val="false"/>
                <w:color w:val="0D1B2A"/>
                <w:sz w:val="18"/>
                <w:szCs w:val="18"/>
              </w:rPr>
              <w:t xml:space="preserve">English</w:t>
            </w:r>
          </w:p>
        </w:tc>
      </w:tr>
    </w:tbl>
    <w:p>
      <w:pPr>
        <w:spacing w:after="400"/>
      </w:pPr>
    </w:p>
    <w:p>
      <w:pPr>
        <w:spacing w:after="200"/>
        <w:jc w:val="center"/>
      </w:pPr>
      <w:r>
        <w:rPr>
          <w:i/>
          <w:iCs/>
          <w:color w:val="555555"/>
        </w:rPr>
        <w:t xml:space="preserve">This document contains technical requirements for a border security system. Unauthorised disclosure is prohibited.</w:t>
      </w:r>
    </w:p>
    <w:p>
      <w:r>
        <w:br w:type="page"/>
      </w:r>
    </w:p>
    <w:p>
      <w:pPr>
        <w:pStyle w:val="Heading1"/>
        <w:spacing w:after="200" w:before="560"/>
      </w:pPr>
      <w:r>
        <w:t xml:space="preserve">1. Introduction</w:t>
      </w:r>
    </w:p>
    <w:p>
      <w:pPr>
        <w:pBdr>
          <w:bottom w:val="single" w:color="2E86AB" w:sz="8"/>
        </w:pBdr>
        <w:spacing w:after="200" w:before="160"/>
      </w:pPr>
    </w:p>
    <w:p>
      <w:pPr>
        <w:pStyle w:val="Heading2"/>
        <w:spacing w:after="160" w:before="360"/>
      </w:pPr>
      <w:r>
        <w:t xml:space="preserve">1.1  Purpose of the Document</w:t>
      </w:r>
    </w:p>
    <w:p>
      <w:pPr>
        <w:spacing w:after="140"/>
      </w:pPr>
      <w:r>
        <w:t xml:space="preserve">This Software Requirements Specification (SRS) defines the complete functional and non-functional requirements for the AI-Based Fake Identity and Document Screening System (hereinafter "the System"), developed in response to SIH Problem Statement ID SIH26188, issued by the Sashastra Seema Bal (SSB), Police II Division, under the Ministry of Home Affairs, Government of India.</w:t>
      </w:r>
    </w:p>
    <w:p>
      <w:pPr>
        <w:spacing w:after="140"/>
      </w:pPr>
      <w:r>
        <w:t xml:space="preserve">The intended readership of this document is:</w:t>
      </w:r>
    </w:p>
    <w:p>
      <w:pPr>
        <w:pStyle w:val="ListParagraph"/>
        <w:numPr>
          <w:ilvl w:val="0"/>
          <w:numId w:val="1"/>
        </w:numPr>
        <w:spacing w:after="80"/>
        <w:ind w:left="720" w:hanging="360"/>
      </w:pPr>
      <w:r>
        <w:t xml:space="preserve">SSB technical evaluation officers assessing system capability against the stated problem statement</w:t>
      </w:r>
    </w:p>
    <w:p>
      <w:pPr>
        <w:pStyle w:val="ListParagraph"/>
        <w:numPr>
          <w:ilvl w:val="0"/>
          <w:numId w:val="1"/>
        </w:numPr>
        <w:spacing w:after="80"/>
        <w:ind w:left="720" w:hanging="360"/>
      </w:pPr>
      <w:r>
        <w:t xml:space="preserve">Software developers implementing the system against this specification</w:t>
      </w:r>
    </w:p>
    <w:p>
      <w:pPr>
        <w:pStyle w:val="ListParagraph"/>
        <w:numPr>
          <w:ilvl w:val="0"/>
          <w:numId w:val="1"/>
        </w:numPr>
        <w:spacing w:after="80"/>
        <w:ind w:left="720" w:hanging="360"/>
      </w:pPr>
      <w:r>
        <w:t xml:space="preserve">Quality assurance engineers deriving test cases from stated acceptance criteria</w:t>
      </w:r>
    </w:p>
    <w:p>
      <w:pPr>
        <w:pStyle w:val="ListParagraph"/>
        <w:numPr>
          <w:ilvl w:val="0"/>
          <w:numId w:val="1"/>
        </w:numPr>
        <w:spacing w:after="80"/>
        <w:ind w:left="720" w:hanging="360"/>
      </w:pPr>
      <w:r>
        <w:t xml:space="preserve">MHA auditors verifying compliance with government data handling and security requirements</w:t>
      </w:r>
    </w:p>
    <w:p>
      <w:pPr>
        <w:pStyle w:val="ListParagraph"/>
        <w:numPr>
          <w:ilvl w:val="0"/>
          <w:numId w:val="1"/>
        </w:numPr>
        <w:spacing w:after="80"/>
        <w:ind w:left="720" w:hanging="360"/>
      </w:pPr>
      <w:r>
        <w:t xml:space="preserve">Forensic reviewers assessing the correctness of AI-assisted flagging decisions</w:t>
      </w:r>
    </w:p>
    <w:p>
      <w:pPr>
        <w:spacing w:after="160"/>
      </w:pPr>
    </w:p>
    <w:p>
      <w:pPr>
        <w:spacing w:after="140"/>
      </w:pPr>
      <w:r>
        <w:t xml:space="preserve">This document does not describe the system design, architecture, or implementation approach. Those are governed by the companion Software Design Document (SDD-SSB-DOCSCREEN-v1.0). This SRS governs what the system must do; the SDD governs how.</w:t>
      </w:r>
    </w:p>
    <w:p>
      <w:pPr>
        <w:pStyle w:val="Heading2"/>
        <w:spacing w:after="160" w:before="360"/>
      </w:pPr>
      <w:r>
        <w:t xml:space="preserve">1.2  Scope of the System</w:t>
      </w:r>
    </w:p>
    <w:p>
      <w:pPr>
        <w:spacing w:after="140"/>
      </w:pPr>
      <w:r>
        <w:rPr>
          <w:b/>
          <w:bCs/>
          <w:color w:val="0D1B2A"/>
        </w:rPr>
        <w:t xml:space="preserve">System Name: </w:t>
      </w:r>
      <w:r>
        <w:t xml:space="preserve">AI-Based Fake Identity and Document Screening System (AIDSS)</w:t>
      </w:r>
    </w:p>
    <w:p>
      <w:pPr>
        <w:spacing w:after="140"/>
      </w:pPr>
      <w:r>
        <w:t xml:space="preserve">The AIDSS is a production-grade, AI-driven document forensics platform deployed at SSB border checkpoints to automate the verification of identity documents. The system processes documents presented by individuals seeking border passage and produces a calibrated risk assessment within five seconds, enabling border security officers to make informed clearance or detention decisions.</w:t>
      </w:r>
    </w:p>
    <w:p>
      <w:pPr>
        <w:spacing w:after="140"/>
      </w:pPr>
      <w:r>
        <w:t xml:space="preserve">The system operates across four primary functional modules:</w:t>
      </w:r>
    </w:p>
    <w:p>
      <w:pPr>
        <w:pStyle w:val="ListParagraph"/>
        <w:numPr>
          <w:ilvl w:val="0"/>
          <w:numId w:val="1"/>
        </w:numPr>
        <w:spacing w:after="80"/>
        <w:ind w:left="720" w:hanging="360"/>
      </w:pPr>
      <w:r>
        <w:t xml:space="preserve">Module 1 (OCR Extraction): Automatic extraction of structured identity data from passports, visas, national identity cards, driving licences, and border permit documents, including full ICAO 9303-compliant Machine Readable Zone parsing.</w:t>
      </w:r>
    </w:p>
    <w:p>
      <w:pPr>
        <w:pStyle w:val="ListParagraph"/>
        <w:numPr>
          <w:ilvl w:val="0"/>
          <w:numId w:val="1"/>
        </w:numPr>
        <w:spacing w:after="80"/>
        <w:ind w:left="720" w:hanging="360"/>
      </w:pPr>
      <w:r>
        <w:t xml:space="preserve">Module 2 (Document Validation): Rule-based and database-driven verification of extracted data against official format standards, expiry conditions, and blacklist/watchlist registries.</w:t>
      </w:r>
    </w:p>
    <w:p>
      <w:pPr>
        <w:pStyle w:val="ListParagraph"/>
        <w:numPr>
          <w:ilvl w:val="0"/>
          <w:numId w:val="1"/>
        </w:numPr>
        <w:spacing w:after="80"/>
        <w:ind w:left="720" w:hanging="360"/>
      </w:pPr>
      <w:r>
        <w:t xml:space="preserve">Module 3 (Tampering Detection): Multi-method forensic analysis detecting physical and digital document alteration, including photo replacement, text field manipulation, stamp forgery, and metadata inconsistencies.</w:t>
      </w:r>
    </w:p>
    <w:p>
      <w:pPr>
        <w:pStyle w:val="ListParagraph"/>
        <w:numPr>
          <w:ilvl w:val="0"/>
          <w:numId w:val="1"/>
        </w:numPr>
        <w:spacing w:after="80"/>
        <w:ind w:left="720" w:hanging="360"/>
      </w:pPr>
      <w:r>
        <w:t xml:space="preserve">Module 4 (Face Verification): Biometric matching of the live individual against the document photograph, supported by anti-spoofing liveness detection.</w:t>
      </w:r>
    </w:p>
    <w:p>
      <w:pPr>
        <w:spacing w:after="160"/>
      </w:pPr>
    </w:p>
    <w:p>
      <w:pPr>
        <w:spacing w:after="140"/>
      </w:pPr>
      <w:r>
        <w:t xml:space="preserve">The system additionally provides a unified risk scoring engine, an officer-facing dashboard, and a cryptographically signed audit trail suitable for evidential use in investigation proceedings.</w:t>
      </w:r>
    </w:p>
    <w:p>
      <w:pPr>
        <w:spacing w:after="140"/>
      </w:pPr>
      <w:r>
        <w:rPr>
          <w:b/>
          <w:bCs/>
          <w:color w:val="0D1B2A"/>
        </w:rPr>
        <w:t xml:space="preserve">Out of Scope: </w:t>
      </w:r>
      <w:r>
        <w:t xml:space="preserve">The AIDSS does not perform final legal determinations. It functions as a decision-support tool. Detention, arrest, or passage refusal authority remains with the designated SSB officer. Integration with NATGRID, CCTNS, or Interpol I-24/7 databases is a post-prototype roadmap item and is not required for v1.0 compliance.</w:t>
      </w:r>
    </w:p>
    <w:p>
      <w:pPr>
        <w:pStyle w:val="Heading2"/>
        <w:spacing w:after="160" w:before="360"/>
      </w:pPr>
      <w:r>
        <w:t xml:space="preserve">1.3  Definitions, Acronyms, and Abbreviations</w:t>
      </w:r>
    </w:p>
    <w:p>
      <w:pPr>
        <w:spacing w:after="140"/>
      </w:pPr>
      <w:r>
        <w:t xml:space="preserve">The following terms are used throughout this document. Expanded definitions appear in Appendix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color="1B2A4A" w:val="clear"/>
            <w:vAlign w:val="top"/>
          </w:tcPr>
          <w:p>
            <w:pPr>
              <w:spacing w:after="80" w:before="80"/>
              <w:ind w:left="100"/>
            </w:pPr>
            <w:r>
              <w:rPr>
                <w:b/>
                <w:bCs/>
                <w:color w:val="FFFFFF"/>
                <w:sz w:val="18"/>
                <w:szCs w:val="18"/>
              </w:rPr>
              <w:t xml:space="preserve">Term / Acronym</w:t>
            </w:r>
          </w:p>
        </w:tc>
        <w:tc>
          <w:tcPr>
            <w:tcW w:type="dxa" w:w="6400"/>
            <w:shd w:color="1B2A4A" w:val="clear"/>
            <w:vAlign w:val="top"/>
          </w:tcPr>
          <w:p>
            <w:pPr>
              <w:spacing w:after="80" w:before="80"/>
              <w:ind w:left="100"/>
            </w:pPr>
            <w:r>
              <w:rPr>
                <w:b/>
                <w:bCs/>
                <w:color w:val="FFFFFF"/>
                <w:sz w:val="18"/>
                <w:szCs w:val="18"/>
              </w:rPr>
              <w:t xml:space="preserve">Expansion / Definition</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AIDSS</w:t>
            </w:r>
          </w:p>
        </w:tc>
        <w:tc>
          <w:tcPr>
            <w:tcW w:type="dxa" w:w="6400"/>
            <w:shd w:color="F4F6F9" w:val="clear"/>
            <w:vAlign w:val="top"/>
          </w:tcPr>
          <w:p>
            <w:pPr>
              <w:spacing w:after="80" w:before="80"/>
              <w:ind w:left="100"/>
            </w:pPr>
            <w:r>
              <w:rPr>
                <w:b w:val="false"/>
                <w:bCs w:val="false"/>
                <w:color w:val="0D1B2A"/>
                <w:sz w:val="18"/>
                <w:szCs w:val="18"/>
              </w:rPr>
              <w:t xml:space="preserve">AI-Based Fake Identity and Document Screening System</w:t>
            </w:r>
          </w:p>
        </w:tc>
      </w:tr>
      <w:tr>
        <w:trPr>
          <w:tblHeader w:val="false"/>
        </w:trPr>
        <w:tc>
          <w:tcPr>
            <w:tcW w:type="dxa" w:w="2600"/>
            <w:shd/>
            <w:vAlign w:val="top"/>
          </w:tcPr>
          <w:p>
            <w:pPr>
              <w:spacing w:after="80" w:before="80"/>
              <w:ind w:left="100"/>
            </w:pPr>
            <w:r>
              <w:rPr>
                <w:b w:val="false"/>
                <w:bCs w:val="false"/>
                <w:color w:val="0D1B2A"/>
                <w:sz w:val="18"/>
                <w:szCs w:val="18"/>
              </w:rPr>
              <w:t xml:space="preserve">ArcFace</w:t>
            </w:r>
          </w:p>
        </w:tc>
        <w:tc>
          <w:tcPr>
            <w:tcW w:type="dxa" w:w="6400"/>
            <w:shd/>
            <w:vAlign w:val="top"/>
          </w:tcPr>
          <w:p>
            <w:pPr>
              <w:spacing w:after="80" w:before="80"/>
              <w:ind w:left="100"/>
            </w:pPr>
            <w:r>
              <w:rPr>
                <w:b w:val="false"/>
                <w:bCs w:val="false"/>
                <w:color w:val="0D1B2A"/>
                <w:sz w:val="18"/>
                <w:szCs w:val="18"/>
              </w:rPr>
              <w:t xml:space="preserve">Additive Angular Margin Loss for Deep Face Recognition — recognition backbone used in Module 4</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CER</w:t>
            </w:r>
          </w:p>
        </w:tc>
        <w:tc>
          <w:tcPr>
            <w:tcW w:type="dxa" w:w="6400"/>
            <w:shd w:color="F4F6F9" w:val="clear"/>
            <w:vAlign w:val="top"/>
          </w:tcPr>
          <w:p>
            <w:pPr>
              <w:spacing w:after="80" w:before="80"/>
              <w:ind w:left="100"/>
            </w:pPr>
            <w:r>
              <w:rPr>
                <w:b w:val="false"/>
                <w:bCs w:val="false"/>
                <w:color w:val="0D1B2A"/>
                <w:sz w:val="18"/>
                <w:szCs w:val="18"/>
              </w:rPr>
              <w:t xml:space="preserve">Character Error Rate — OCR accuracy metric: (substitutions + insertions + deletions) / total characters</w:t>
            </w:r>
          </w:p>
        </w:tc>
      </w:tr>
      <w:tr>
        <w:trPr>
          <w:tblHeader w:val="false"/>
        </w:trPr>
        <w:tc>
          <w:tcPr>
            <w:tcW w:type="dxa" w:w="2600"/>
            <w:shd/>
            <w:vAlign w:val="top"/>
          </w:tcPr>
          <w:p>
            <w:pPr>
              <w:spacing w:after="80" w:before="80"/>
              <w:ind w:left="100"/>
            </w:pPr>
            <w:r>
              <w:rPr>
                <w:b w:val="false"/>
                <w:bCs w:val="false"/>
                <w:color w:val="0D1B2A"/>
                <w:sz w:val="18"/>
                <w:szCs w:val="18"/>
              </w:rPr>
              <w:t xml:space="preserve">CLAHE</w:t>
            </w:r>
          </w:p>
        </w:tc>
        <w:tc>
          <w:tcPr>
            <w:tcW w:type="dxa" w:w="6400"/>
            <w:shd/>
            <w:vAlign w:val="top"/>
          </w:tcPr>
          <w:p>
            <w:pPr>
              <w:spacing w:after="80" w:before="80"/>
              <w:ind w:left="100"/>
            </w:pPr>
            <w:r>
              <w:rPr>
                <w:b w:val="false"/>
                <w:bCs w:val="false"/>
                <w:color w:val="0D1B2A"/>
                <w:sz w:val="18"/>
                <w:szCs w:val="18"/>
              </w:rPr>
              <w:t xml:space="preserve">Contrast Limited Adaptive Histogram Equalisation — image preprocessing technique</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DCT</w:t>
            </w:r>
          </w:p>
        </w:tc>
        <w:tc>
          <w:tcPr>
            <w:tcW w:type="dxa" w:w="6400"/>
            <w:shd w:color="F4F6F9" w:val="clear"/>
            <w:vAlign w:val="top"/>
          </w:tcPr>
          <w:p>
            <w:pPr>
              <w:spacing w:after="80" w:before="80"/>
              <w:ind w:left="100"/>
            </w:pPr>
            <w:r>
              <w:rPr>
                <w:b w:val="false"/>
                <w:bCs w:val="false"/>
                <w:color w:val="0D1B2A"/>
                <w:sz w:val="18"/>
                <w:szCs w:val="18"/>
              </w:rPr>
              <w:t xml:space="preserve">Discrete Cosine Transform — frequency domain technique used in copy-move forgery detection</w:t>
            </w:r>
          </w:p>
        </w:tc>
      </w:tr>
      <w:tr>
        <w:trPr>
          <w:tblHeader w:val="false"/>
        </w:trPr>
        <w:tc>
          <w:tcPr>
            <w:tcW w:type="dxa" w:w="2600"/>
            <w:shd/>
            <w:vAlign w:val="top"/>
          </w:tcPr>
          <w:p>
            <w:pPr>
              <w:spacing w:after="80" w:before="80"/>
              <w:ind w:left="100"/>
            </w:pPr>
            <w:r>
              <w:rPr>
                <w:b w:val="false"/>
                <w:bCs w:val="false"/>
                <w:color w:val="0D1B2A"/>
                <w:sz w:val="18"/>
                <w:szCs w:val="18"/>
              </w:rPr>
              <w:t xml:space="preserve">DS Theory</w:t>
            </w:r>
          </w:p>
        </w:tc>
        <w:tc>
          <w:tcPr>
            <w:tcW w:type="dxa" w:w="6400"/>
            <w:shd/>
            <w:vAlign w:val="top"/>
          </w:tcPr>
          <w:p>
            <w:pPr>
              <w:spacing w:after="80" w:before="80"/>
              <w:ind w:left="100"/>
            </w:pPr>
            <w:r>
              <w:rPr>
                <w:b w:val="false"/>
                <w:bCs w:val="false"/>
                <w:color w:val="0D1B2A"/>
                <w:sz w:val="18"/>
                <w:szCs w:val="18"/>
              </w:rPr>
              <w:t xml:space="preserve">Dempster-Shafer Theory of Evidence — probabilistic fusion framework used in risk scoring</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ELA</w:t>
            </w:r>
          </w:p>
        </w:tc>
        <w:tc>
          <w:tcPr>
            <w:tcW w:type="dxa" w:w="6400"/>
            <w:shd w:color="F4F6F9" w:val="clear"/>
            <w:vAlign w:val="top"/>
          </w:tcPr>
          <w:p>
            <w:pPr>
              <w:spacing w:after="80" w:before="80"/>
              <w:ind w:left="100"/>
            </w:pPr>
            <w:r>
              <w:rPr>
                <w:b w:val="false"/>
                <w:bCs w:val="false"/>
                <w:color w:val="0D1B2A"/>
                <w:sz w:val="18"/>
                <w:szCs w:val="18"/>
              </w:rPr>
              <w:t xml:space="preserve">Error Level Analysis — JPEG compression artifact technique for tampering detection</w:t>
            </w:r>
          </w:p>
        </w:tc>
      </w:tr>
      <w:tr>
        <w:trPr>
          <w:tblHeader w:val="false"/>
        </w:trPr>
        <w:tc>
          <w:tcPr>
            <w:tcW w:type="dxa" w:w="2600"/>
            <w:shd/>
            <w:vAlign w:val="top"/>
          </w:tcPr>
          <w:p>
            <w:pPr>
              <w:spacing w:after="80" w:before="80"/>
              <w:ind w:left="100"/>
            </w:pPr>
            <w:r>
              <w:rPr>
                <w:b w:val="false"/>
                <w:bCs w:val="false"/>
                <w:color w:val="0D1B2A"/>
                <w:sz w:val="18"/>
                <w:szCs w:val="18"/>
              </w:rPr>
              <w:t xml:space="preserve">EXIF</w:t>
            </w:r>
          </w:p>
        </w:tc>
        <w:tc>
          <w:tcPr>
            <w:tcW w:type="dxa" w:w="6400"/>
            <w:shd/>
            <w:vAlign w:val="top"/>
          </w:tcPr>
          <w:p>
            <w:pPr>
              <w:spacing w:after="80" w:before="80"/>
              <w:ind w:left="100"/>
            </w:pPr>
            <w:r>
              <w:rPr>
                <w:b w:val="false"/>
                <w:bCs w:val="false"/>
                <w:color w:val="0D1B2A"/>
                <w:sz w:val="18"/>
                <w:szCs w:val="18"/>
              </w:rPr>
              <w:t xml:space="preserve">Exchangeable Image File Format — metadata standard embedded in digital image files</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FAR</w:t>
            </w:r>
          </w:p>
        </w:tc>
        <w:tc>
          <w:tcPr>
            <w:tcW w:type="dxa" w:w="6400"/>
            <w:shd w:color="F4F6F9" w:val="clear"/>
            <w:vAlign w:val="top"/>
          </w:tcPr>
          <w:p>
            <w:pPr>
              <w:spacing w:after="80" w:before="80"/>
              <w:ind w:left="100"/>
            </w:pPr>
            <w:r>
              <w:rPr>
                <w:b w:val="false"/>
                <w:bCs w:val="false"/>
                <w:color w:val="0D1B2A"/>
                <w:sz w:val="18"/>
                <w:szCs w:val="18"/>
              </w:rPr>
              <w:t xml:space="preserve">False Acceptance Rate — fraction of impostors incorrectly accepted as genuine</w:t>
            </w:r>
          </w:p>
        </w:tc>
      </w:tr>
      <w:tr>
        <w:trPr>
          <w:tblHeader w:val="false"/>
        </w:trPr>
        <w:tc>
          <w:tcPr>
            <w:tcW w:type="dxa" w:w="2600"/>
            <w:shd/>
            <w:vAlign w:val="top"/>
          </w:tcPr>
          <w:p>
            <w:pPr>
              <w:spacing w:after="80" w:before="80"/>
              <w:ind w:left="100"/>
            </w:pPr>
            <w:r>
              <w:rPr>
                <w:b w:val="false"/>
                <w:bCs w:val="false"/>
                <w:color w:val="0D1B2A"/>
                <w:sz w:val="18"/>
                <w:szCs w:val="18"/>
              </w:rPr>
              <w:t xml:space="preserve">FRR</w:t>
            </w:r>
          </w:p>
        </w:tc>
        <w:tc>
          <w:tcPr>
            <w:tcW w:type="dxa" w:w="6400"/>
            <w:shd/>
            <w:vAlign w:val="top"/>
          </w:tcPr>
          <w:p>
            <w:pPr>
              <w:spacing w:after="80" w:before="80"/>
              <w:ind w:left="100"/>
            </w:pPr>
            <w:r>
              <w:rPr>
                <w:b w:val="false"/>
                <w:bCs w:val="false"/>
                <w:color w:val="0D1B2A"/>
                <w:sz w:val="18"/>
                <w:szCs w:val="18"/>
              </w:rPr>
              <w:t xml:space="preserve">False Rejection Rate — fraction of genuine individuals incorrectly rejected</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FR-xxx</w:t>
            </w:r>
          </w:p>
        </w:tc>
        <w:tc>
          <w:tcPr>
            <w:tcW w:type="dxa" w:w="6400"/>
            <w:shd w:color="F4F6F9" w:val="clear"/>
            <w:vAlign w:val="top"/>
          </w:tcPr>
          <w:p>
            <w:pPr>
              <w:spacing w:after="80" w:before="80"/>
              <w:ind w:left="100"/>
            </w:pPr>
            <w:r>
              <w:rPr>
                <w:b w:val="false"/>
                <w:bCs w:val="false"/>
                <w:color w:val="0D1B2A"/>
                <w:sz w:val="18"/>
                <w:szCs w:val="18"/>
              </w:rPr>
              <w:t xml:space="preserve">Functional Requirement identifier with module prefix (OCR, VAL, TAM, FAC, RSK, UI, AUD, BLK)</w:t>
            </w:r>
          </w:p>
        </w:tc>
      </w:tr>
      <w:tr>
        <w:trPr>
          <w:tblHeader w:val="false"/>
        </w:trPr>
        <w:tc>
          <w:tcPr>
            <w:tcW w:type="dxa" w:w="2600"/>
            <w:shd/>
            <w:vAlign w:val="top"/>
          </w:tcPr>
          <w:p>
            <w:pPr>
              <w:spacing w:after="80" w:before="80"/>
              <w:ind w:left="100"/>
            </w:pPr>
            <w:r>
              <w:rPr>
                <w:b w:val="false"/>
                <w:bCs w:val="false"/>
                <w:color w:val="0D1B2A"/>
                <w:sz w:val="18"/>
                <w:szCs w:val="18"/>
              </w:rPr>
              <w:t xml:space="preserve">ICAO</w:t>
            </w:r>
          </w:p>
        </w:tc>
        <w:tc>
          <w:tcPr>
            <w:tcW w:type="dxa" w:w="6400"/>
            <w:shd/>
            <w:vAlign w:val="top"/>
          </w:tcPr>
          <w:p>
            <w:pPr>
              <w:spacing w:after="80" w:before="80"/>
              <w:ind w:left="100"/>
            </w:pPr>
            <w:r>
              <w:rPr>
                <w:b w:val="false"/>
                <w:bCs w:val="false"/>
                <w:color w:val="0D1B2A"/>
                <w:sz w:val="18"/>
                <w:szCs w:val="18"/>
              </w:rPr>
              <w:t xml:space="preserve">International Civil Aviation Organisation</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ICAO 9303</w:t>
            </w:r>
          </w:p>
        </w:tc>
        <w:tc>
          <w:tcPr>
            <w:tcW w:type="dxa" w:w="6400"/>
            <w:shd w:color="F4F6F9" w:val="clear"/>
            <w:vAlign w:val="top"/>
          </w:tcPr>
          <w:p>
            <w:pPr>
              <w:spacing w:after="80" w:before="80"/>
              <w:ind w:left="100"/>
            </w:pPr>
            <w:r>
              <w:rPr>
                <w:b w:val="false"/>
                <w:bCs w:val="false"/>
                <w:color w:val="0D1B2A"/>
                <w:sz w:val="18"/>
                <w:szCs w:val="18"/>
              </w:rPr>
              <w:t xml:space="preserve">ICAO Document 9303 — international standard for machine readable travel documents</w:t>
            </w:r>
          </w:p>
        </w:tc>
      </w:tr>
      <w:tr>
        <w:trPr>
          <w:tblHeader w:val="false"/>
        </w:trPr>
        <w:tc>
          <w:tcPr>
            <w:tcW w:type="dxa" w:w="2600"/>
            <w:shd/>
            <w:vAlign w:val="top"/>
          </w:tcPr>
          <w:p>
            <w:pPr>
              <w:spacing w:after="80" w:before="80"/>
              <w:ind w:left="100"/>
            </w:pPr>
            <w:r>
              <w:rPr>
                <w:b w:val="false"/>
                <w:bCs w:val="false"/>
                <w:color w:val="0D1B2A"/>
                <w:sz w:val="18"/>
                <w:szCs w:val="18"/>
              </w:rPr>
              <w:t xml:space="preserve">MHA</w:t>
            </w:r>
          </w:p>
        </w:tc>
        <w:tc>
          <w:tcPr>
            <w:tcW w:type="dxa" w:w="6400"/>
            <w:shd/>
            <w:vAlign w:val="top"/>
          </w:tcPr>
          <w:p>
            <w:pPr>
              <w:spacing w:after="80" w:before="80"/>
              <w:ind w:left="100"/>
            </w:pPr>
            <w:r>
              <w:rPr>
                <w:b w:val="false"/>
                <w:bCs w:val="false"/>
                <w:color w:val="0D1B2A"/>
                <w:sz w:val="18"/>
                <w:szCs w:val="18"/>
              </w:rPr>
              <w:t xml:space="preserve">Ministry of Home Affairs, Government of India</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MRZ</w:t>
            </w:r>
          </w:p>
        </w:tc>
        <w:tc>
          <w:tcPr>
            <w:tcW w:type="dxa" w:w="6400"/>
            <w:shd w:color="F4F6F9" w:val="clear"/>
            <w:vAlign w:val="top"/>
          </w:tcPr>
          <w:p>
            <w:pPr>
              <w:spacing w:after="80" w:before="80"/>
              <w:ind w:left="100"/>
            </w:pPr>
            <w:r>
              <w:rPr>
                <w:b w:val="false"/>
                <w:bCs w:val="false"/>
                <w:color w:val="0D1B2A"/>
                <w:sz w:val="18"/>
                <w:szCs w:val="18"/>
              </w:rPr>
              <w:t xml:space="preserve">Machine Readable Zone — standardised text field at the bottom of travel documents</w:t>
            </w:r>
          </w:p>
        </w:tc>
      </w:tr>
      <w:tr>
        <w:trPr>
          <w:tblHeader w:val="false"/>
        </w:trPr>
        <w:tc>
          <w:tcPr>
            <w:tcW w:type="dxa" w:w="2600"/>
            <w:shd/>
            <w:vAlign w:val="top"/>
          </w:tcPr>
          <w:p>
            <w:pPr>
              <w:spacing w:after="80" w:before="80"/>
              <w:ind w:left="100"/>
            </w:pPr>
            <w:r>
              <w:rPr>
                <w:b w:val="false"/>
                <w:bCs w:val="false"/>
                <w:color w:val="0D1B2A"/>
                <w:sz w:val="18"/>
                <w:szCs w:val="18"/>
              </w:rPr>
              <w:t xml:space="preserve">MVSS-Net</w:t>
            </w:r>
          </w:p>
        </w:tc>
        <w:tc>
          <w:tcPr>
            <w:tcW w:type="dxa" w:w="6400"/>
            <w:shd/>
            <w:vAlign w:val="top"/>
          </w:tcPr>
          <w:p>
            <w:pPr>
              <w:spacing w:after="80" w:before="80"/>
              <w:ind w:left="100"/>
            </w:pPr>
            <w:r>
              <w:rPr>
                <w:b w:val="false"/>
                <w:bCs w:val="false"/>
                <w:color w:val="0D1B2A"/>
                <w:sz w:val="18"/>
                <w:szCs w:val="18"/>
              </w:rPr>
              <w:t xml:space="preserve">Multi-View Self-Supervised Network — deep learning model for image manipulation localisation</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NFR-xxx</w:t>
            </w:r>
          </w:p>
        </w:tc>
        <w:tc>
          <w:tcPr>
            <w:tcW w:type="dxa" w:w="6400"/>
            <w:shd w:color="F4F6F9" w:val="clear"/>
            <w:vAlign w:val="top"/>
          </w:tcPr>
          <w:p>
            <w:pPr>
              <w:spacing w:after="80" w:before="80"/>
              <w:ind w:left="100"/>
            </w:pPr>
            <w:r>
              <w:rPr>
                <w:b w:val="false"/>
                <w:bCs w:val="false"/>
                <w:color w:val="0D1B2A"/>
                <w:sz w:val="18"/>
                <w:szCs w:val="18"/>
              </w:rPr>
              <w:t xml:space="preserve">Non-Functional Requirement identifier</w:t>
            </w:r>
          </w:p>
        </w:tc>
      </w:tr>
      <w:tr>
        <w:trPr>
          <w:tblHeader w:val="false"/>
        </w:trPr>
        <w:tc>
          <w:tcPr>
            <w:tcW w:type="dxa" w:w="2600"/>
            <w:shd/>
            <w:vAlign w:val="top"/>
          </w:tcPr>
          <w:p>
            <w:pPr>
              <w:spacing w:after="80" w:before="80"/>
              <w:ind w:left="100"/>
            </w:pPr>
            <w:r>
              <w:rPr>
                <w:b w:val="false"/>
                <w:bCs w:val="false"/>
                <w:color w:val="0D1B2A"/>
                <w:sz w:val="18"/>
                <w:szCs w:val="18"/>
              </w:rPr>
              <w:t xml:space="preserve">ONNX</w:t>
            </w:r>
          </w:p>
        </w:tc>
        <w:tc>
          <w:tcPr>
            <w:tcW w:type="dxa" w:w="6400"/>
            <w:shd/>
            <w:vAlign w:val="top"/>
          </w:tcPr>
          <w:p>
            <w:pPr>
              <w:spacing w:after="80" w:before="80"/>
              <w:ind w:left="100"/>
            </w:pPr>
            <w:r>
              <w:rPr>
                <w:b w:val="false"/>
                <w:bCs w:val="false"/>
                <w:color w:val="0D1B2A"/>
                <w:sz w:val="18"/>
                <w:szCs w:val="18"/>
              </w:rPr>
              <w:t xml:space="preserve">Open Neural Network Exchange — cross-platform model interoperability format</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PaddleOCR</w:t>
            </w:r>
          </w:p>
        </w:tc>
        <w:tc>
          <w:tcPr>
            <w:tcW w:type="dxa" w:w="6400"/>
            <w:shd w:color="F4F6F9" w:val="clear"/>
            <w:vAlign w:val="top"/>
          </w:tcPr>
          <w:p>
            <w:pPr>
              <w:spacing w:after="80" w:before="80"/>
              <w:ind w:left="100"/>
            </w:pPr>
            <w:r>
              <w:rPr>
                <w:b w:val="false"/>
                <w:bCs w:val="false"/>
                <w:color w:val="0D1B2A"/>
                <w:sz w:val="18"/>
                <w:szCs w:val="18"/>
              </w:rPr>
              <w:t xml:space="preserve">PP-OCRv4 — OCR engine from PaddlePaddle; used for document text extraction</w:t>
            </w:r>
          </w:p>
        </w:tc>
      </w:tr>
      <w:tr>
        <w:trPr>
          <w:tblHeader w:val="false"/>
        </w:trPr>
        <w:tc>
          <w:tcPr>
            <w:tcW w:type="dxa" w:w="2600"/>
            <w:shd/>
            <w:vAlign w:val="top"/>
          </w:tcPr>
          <w:p>
            <w:pPr>
              <w:spacing w:after="80" w:before="80"/>
              <w:ind w:left="100"/>
            </w:pPr>
            <w:r>
              <w:rPr>
                <w:b w:val="false"/>
                <w:bCs w:val="false"/>
                <w:color w:val="0D1B2A"/>
                <w:sz w:val="18"/>
                <w:szCs w:val="18"/>
              </w:rPr>
              <w:t xml:space="preserve">SHAP</w:t>
            </w:r>
          </w:p>
        </w:tc>
        <w:tc>
          <w:tcPr>
            <w:tcW w:type="dxa" w:w="6400"/>
            <w:shd/>
            <w:vAlign w:val="top"/>
          </w:tcPr>
          <w:p>
            <w:pPr>
              <w:spacing w:after="80" w:before="80"/>
              <w:ind w:left="100"/>
            </w:pPr>
            <w:r>
              <w:rPr>
                <w:b w:val="false"/>
                <w:bCs w:val="false"/>
                <w:color w:val="0D1B2A"/>
                <w:sz w:val="18"/>
                <w:szCs w:val="18"/>
              </w:rPr>
              <w:t xml:space="preserve">SHapley Additive exPlanations — model explainability framework</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SRS</w:t>
            </w:r>
          </w:p>
        </w:tc>
        <w:tc>
          <w:tcPr>
            <w:tcW w:type="dxa" w:w="6400"/>
            <w:shd w:color="F4F6F9" w:val="clear"/>
            <w:vAlign w:val="top"/>
          </w:tcPr>
          <w:p>
            <w:pPr>
              <w:spacing w:after="80" w:before="80"/>
              <w:ind w:left="100"/>
            </w:pPr>
            <w:r>
              <w:rPr>
                <w:b w:val="false"/>
                <w:bCs w:val="false"/>
                <w:color w:val="0D1B2A"/>
                <w:sz w:val="18"/>
                <w:szCs w:val="18"/>
              </w:rPr>
              <w:t xml:space="preserve">Software Requirements Specification — this document</w:t>
            </w:r>
          </w:p>
        </w:tc>
      </w:tr>
      <w:tr>
        <w:trPr>
          <w:tblHeader w:val="false"/>
        </w:trPr>
        <w:tc>
          <w:tcPr>
            <w:tcW w:type="dxa" w:w="2600"/>
            <w:shd/>
            <w:vAlign w:val="top"/>
          </w:tcPr>
          <w:p>
            <w:pPr>
              <w:spacing w:after="80" w:before="80"/>
              <w:ind w:left="100"/>
            </w:pPr>
            <w:r>
              <w:rPr>
                <w:b w:val="false"/>
                <w:bCs w:val="false"/>
                <w:color w:val="0D1B2A"/>
                <w:sz w:val="18"/>
                <w:szCs w:val="18"/>
              </w:rPr>
              <w:t xml:space="preserve">SDD</w:t>
            </w:r>
          </w:p>
        </w:tc>
        <w:tc>
          <w:tcPr>
            <w:tcW w:type="dxa" w:w="6400"/>
            <w:shd/>
            <w:vAlign w:val="top"/>
          </w:tcPr>
          <w:p>
            <w:pPr>
              <w:spacing w:after="80" w:before="80"/>
              <w:ind w:left="100"/>
            </w:pPr>
            <w:r>
              <w:rPr>
                <w:b w:val="false"/>
                <w:bCs w:val="false"/>
                <w:color w:val="0D1B2A"/>
                <w:sz w:val="18"/>
                <w:szCs w:val="18"/>
              </w:rPr>
              <w:t xml:space="preserve">Software Design Document — companion document describing system architecture</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SSB</w:t>
            </w:r>
          </w:p>
        </w:tc>
        <w:tc>
          <w:tcPr>
            <w:tcW w:type="dxa" w:w="6400"/>
            <w:shd w:color="F4F6F9" w:val="clear"/>
            <w:vAlign w:val="top"/>
          </w:tcPr>
          <w:p>
            <w:pPr>
              <w:spacing w:after="80" w:before="80"/>
              <w:ind w:left="100"/>
            </w:pPr>
            <w:r>
              <w:rPr>
                <w:b w:val="false"/>
                <w:bCs w:val="false"/>
                <w:color w:val="0D1B2A"/>
                <w:sz w:val="18"/>
                <w:szCs w:val="18"/>
              </w:rPr>
              <w:t xml:space="preserve">Sashastra Seema Bal — India's primary border guarding force on Nepal and Bhutan borders</w:t>
            </w:r>
          </w:p>
        </w:tc>
      </w:tr>
      <w:tr>
        <w:trPr>
          <w:tblHeader w:val="false"/>
        </w:trPr>
        <w:tc>
          <w:tcPr>
            <w:tcW w:type="dxa" w:w="2600"/>
            <w:shd/>
            <w:vAlign w:val="top"/>
          </w:tcPr>
          <w:p>
            <w:pPr>
              <w:spacing w:after="80" w:before="80"/>
              <w:ind w:left="100"/>
            </w:pPr>
            <w:r>
              <w:rPr>
                <w:b w:val="false"/>
                <w:bCs w:val="false"/>
                <w:color w:val="0D1B2A"/>
                <w:sz w:val="18"/>
                <w:szCs w:val="18"/>
              </w:rPr>
              <w:t xml:space="preserve">TD1 / TD2 / TD3</w:t>
            </w:r>
          </w:p>
        </w:tc>
        <w:tc>
          <w:tcPr>
            <w:tcW w:type="dxa" w:w="6400"/>
            <w:shd/>
            <w:vAlign w:val="top"/>
          </w:tcPr>
          <w:p>
            <w:pPr>
              <w:spacing w:after="80" w:before="80"/>
              <w:ind w:left="100"/>
            </w:pPr>
            <w:r>
              <w:rPr>
                <w:b w:val="false"/>
                <w:bCs w:val="false"/>
                <w:color w:val="0D1B2A"/>
                <w:sz w:val="18"/>
                <w:szCs w:val="18"/>
              </w:rPr>
              <w:t xml:space="preserve">Travel Document formats per ICAO 9303: ID card / passport-size card / passport respectively</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VIZ</w:t>
            </w:r>
          </w:p>
        </w:tc>
        <w:tc>
          <w:tcPr>
            <w:tcW w:type="dxa" w:w="6400"/>
            <w:shd w:color="F4F6F9" w:val="clear"/>
            <w:vAlign w:val="top"/>
          </w:tcPr>
          <w:p>
            <w:pPr>
              <w:spacing w:after="80" w:before="80"/>
              <w:ind w:left="100"/>
            </w:pPr>
            <w:r>
              <w:rPr>
                <w:b w:val="false"/>
                <w:bCs w:val="false"/>
                <w:color w:val="0D1B2A"/>
                <w:sz w:val="18"/>
                <w:szCs w:val="18"/>
              </w:rPr>
              <w:t xml:space="preserve">Visual Inspection Zone — the human-readable region of a travel document (above the MRZ)</w:t>
            </w:r>
          </w:p>
        </w:tc>
      </w:tr>
      <w:tr>
        <w:trPr>
          <w:tblHeader w:val="false"/>
        </w:trPr>
        <w:tc>
          <w:tcPr>
            <w:tcW w:type="dxa" w:w="2600"/>
            <w:shd/>
            <w:vAlign w:val="top"/>
          </w:tcPr>
          <w:p>
            <w:pPr>
              <w:spacing w:after="80" w:before="80"/>
              <w:ind w:left="100"/>
            </w:pPr>
            <w:r>
              <w:rPr>
                <w:b w:val="false"/>
                <w:bCs w:val="false"/>
                <w:color w:val="0D1B2A"/>
                <w:sz w:val="18"/>
                <w:szCs w:val="18"/>
              </w:rPr>
              <w:t xml:space="preserve">Watchlist</w:t>
            </w:r>
          </w:p>
        </w:tc>
        <w:tc>
          <w:tcPr>
            <w:tcW w:type="dxa" w:w="6400"/>
            <w:shd/>
            <w:vAlign w:val="top"/>
          </w:tcPr>
          <w:p>
            <w:pPr>
              <w:spacing w:after="80" w:before="80"/>
              <w:ind w:left="100"/>
            </w:pPr>
            <w:r>
              <w:rPr>
                <w:b w:val="false"/>
                <w:bCs w:val="false"/>
                <w:color w:val="0D1B2A"/>
                <w:sz w:val="18"/>
                <w:szCs w:val="18"/>
              </w:rPr>
              <w:t xml:space="preserve">Database of document numbers and identities flagged by SSB or allied agencies for heightened scrutiny</w:t>
            </w:r>
          </w:p>
        </w:tc>
      </w:tr>
    </w:tbl>
    <w:p>
      <w:pPr>
        <w:pStyle w:val="Heading2"/>
        <w:spacing w:after="160" w:before="360"/>
      </w:pPr>
      <w:r>
        <w:t xml:space="preserve">1.4  References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00"/>
      </w:tblGrid>
      <w:tr>
        <w:trPr>
          <w:tblHeader/>
        </w:trPr>
        <w:tc>
          <w:tcPr>
            <w:tcW w:type="dxa" w:w="1400"/>
            <w:shd w:color="1B2A4A" w:val="clear"/>
            <w:vAlign w:val="top"/>
          </w:tcPr>
          <w:p>
            <w:pPr>
              <w:spacing w:after="80" w:before="80"/>
              <w:ind w:left="100"/>
            </w:pPr>
            <w:r>
              <w:rPr>
                <w:b/>
                <w:bCs/>
                <w:color w:val="FFFFFF"/>
                <w:sz w:val="18"/>
                <w:szCs w:val="18"/>
              </w:rPr>
              <w:t xml:space="preserve">Reference ID</w:t>
            </w:r>
          </w:p>
        </w:tc>
        <w:tc>
          <w:tcPr>
            <w:tcW w:type="dxa" w:w="4600"/>
            <w:shd w:color="1B2A4A" w:val="clear"/>
            <w:vAlign w:val="top"/>
          </w:tcPr>
          <w:p>
            <w:pPr>
              <w:spacing w:after="80" w:before="80"/>
              <w:ind w:left="100"/>
            </w:pPr>
            <w:r>
              <w:rPr>
                <w:b/>
                <w:bCs/>
                <w:color w:val="FFFFFF"/>
                <w:sz w:val="18"/>
                <w:szCs w:val="18"/>
              </w:rPr>
              <w:t xml:space="preserve">Document Title</w:t>
            </w:r>
          </w:p>
        </w:tc>
        <w:tc>
          <w:tcPr>
            <w:tcW w:type="dxa" w:w="3000"/>
            <w:shd w:color="1B2A4A" w:val="clear"/>
            <w:vAlign w:val="top"/>
          </w:tcPr>
          <w:p>
            <w:pPr>
              <w:spacing w:after="80" w:before="80"/>
              <w:ind w:left="100"/>
            </w:pPr>
            <w:r>
              <w:rPr>
                <w:b/>
                <w:bCs/>
                <w:color w:val="FFFFFF"/>
                <w:sz w:val="18"/>
                <w:szCs w:val="18"/>
              </w:rPr>
              <w:t xml:space="preserve">Source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REF-01</w:t>
            </w:r>
          </w:p>
        </w:tc>
        <w:tc>
          <w:tcPr>
            <w:tcW w:type="dxa" w:w="4600"/>
            <w:shd w:color="F4F6F9" w:val="clear"/>
            <w:vAlign w:val="top"/>
          </w:tcPr>
          <w:p>
            <w:pPr>
              <w:spacing w:after="80" w:before="80"/>
              <w:ind w:left="100"/>
            </w:pPr>
            <w:r>
              <w:rPr>
                <w:b w:val="false"/>
                <w:bCs w:val="false"/>
                <w:color w:val="0D1B2A"/>
                <w:sz w:val="18"/>
                <w:szCs w:val="18"/>
              </w:rPr>
              <w:t xml:space="preserve">ICAO Doc 9303 — Machine Readable Travel Documents (Eighth Edition, 2021)</w:t>
            </w:r>
          </w:p>
        </w:tc>
        <w:tc>
          <w:tcPr>
            <w:tcW w:type="dxa" w:w="3000"/>
            <w:shd w:color="F4F6F9" w:val="clear"/>
            <w:vAlign w:val="top"/>
          </w:tcPr>
          <w:p>
            <w:pPr>
              <w:spacing w:after="80" w:before="80"/>
              <w:ind w:left="100"/>
            </w:pPr>
            <w:r>
              <w:rPr>
                <w:b w:val="false"/>
                <w:bCs w:val="false"/>
                <w:color w:val="0D1B2A"/>
                <w:sz w:val="18"/>
                <w:szCs w:val="18"/>
              </w:rPr>
              <w:t xml:space="preserve">International Civil Aviation Organisation</w:t>
            </w:r>
          </w:p>
        </w:tc>
      </w:tr>
      <w:tr>
        <w:trPr>
          <w:tblHeader w:val="false"/>
        </w:trPr>
        <w:tc>
          <w:tcPr>
            <w:tcW w:type="dxa" w:w="1400"/>
            <w:shd/>
            <w:vAlign w:val="top"/>
          </w:tcPr>
          <w:p>
            <w:pPr>
              <w:spacing w:after="80" w:before="80"/>
              <w:ind w:left="100"/>
            </w:pPr>
            <w:r>
              <w:rPr>
                <w:b w:val="false"/>
                <w:bCs w:val="false"/>
                <w:color w:val="0D1B2A"/>
                <w:sz w:val="18"/>
                <w:szCs w:val="18"/>
              </w:rPr>
              <w:t xml:space="preserve">REF-02</w:t>
            </w:r>
          </w:p>
        </w:tc>
        <w:tc>
          <w:tcPr>
            <w:tcW w:type="dxa" w:w="4600"/>
            <w:shd/>
            <w:vAlign w:val="top"/>
          </w:tcPr>
          <w:p>
            <w:pPr>
              <w:spacing w:after="80" w:before="80"/>
              <w:ind w:left="100"/>
            </w:pPr>
            <w:r>
              <w:rPr>
                <w:b w:val="false"/>
                <w:bCs w:val="false"/>
                <w:color w:val="0D1B2A"/>
                <w:sz w:val="18"/>
                <w:szCs w:val="18"/>
              </w:rPr>
              <w:t xml:space="preserve">IEEE 830-1998 — IEEE Recommended Practice for Software Requirements Specifications</w:t>
            </w:r>
          </w:p>
        </w:tc>
        <w:tc>
          <w:tcPr>
            <w:tcW w:type="dxa" w:w="3000"/>
            <w:shd/>
            <w:vAlign w:val="top"/>
          </w:tcPr>
          <w:p>
            <w:pPr>
              <w:spacing w:after="80" w:before="80"/>
              <w:ind w:left="100"/>
            </w:pPr>
            <w:r>
              <w:rPr>
                <w:b w:val="false"/>
                <w:bCs w:val="false"/>
                <w:color w:val="0D1B2A"/>
                <w:sz w:val="18"/>
                <w:szCs w:val="18"/>
              </w:rPr>
              <w:t xml:space="preserve">IEEE Standards Association</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REF-03</w:t>
            </w:r>
          </w:p>
        </w:tc>
        <w:tc>
          <w:tcPr>
            <w:tcW w:type="dxa" w:w="4600"/>
            <w:shd w:color="F4F6F9" w:val="clear"/>
            <w:vAlign w:val="top"/>
          </w:tcPr>
          <w:p>
            <w:pPr>
              <w:spacing w:after="80" w:before="80"/>
              <w:ind w:left="100"/>
            </w:pPr>
            <w:r>
              <w:rPr>
                <w:b w:val="false"/>
                <w:bCs w:val="false"/>
                <w:color w:val="0D1B2A"/>
                <w:sz w:val="18"/>
                <w:szCs w:val="18"/>
              </w:rPr>
              <w:t xml:space="preserve">SIH26188 — Problem Statement: AI Based Fake Identity and Document Screening System</w:t>
            </w:r>
          </w:p>
        </w:tc>
        <w:tc>
          <w:tcPr>
            <w:tcW w:type="dxa" w:w="3000"/>
            <w:shd w:color="F4F6F9" w:val="clear"/>
            <w:vAlign w:val="top"/>
          </w:tcPr>
          <w:p>
            <w:pPr>
              <w:spacing w:after="80" w:before="80"/>
              <w:ind w:left="100"/>
            </w:pPr>
            <w:r>
              <w:rPr>
                <w:b w:val="false"/>
                <w:bCs w:val="false"/>
                <w:color w:val="0D1B2A"/>
                <w:sz w:val="18"/>
                <w:szCs w:val="18"/>
              </w:rPr>
              <w:t xml:space="preserve">Smart India Hackathon 2026, MHA</w:t>
            </w:r>
          </w:p>
        </w:tc>
      </w:tr>
      <w:tr>
        <w:trPr>
          <w:tblHeader w:val="false"/>
        </w:trPr>
        <w:tc>
          <w:tcPr>
            <w:tcW w:type="dxa" w:w="1400"/>
            <w:shd/>
            <w:vAlign w:val="top"/>
          </w:tcPr>
          <w:p>
            <w:pPr>
              <w:spacing w:after="80" w:before="80"/>
              <w:ind w:left="100"/>
            </w:pPr>
            <w:r>
              <w:rPr>
                <w:b w:val="false"/>
                <w:bCs w:val="false"/>
                <w:color w:val="0D1B2A"/>
                <w:sz w:val="18"/>
                <w:szCs w:val="18"/>
              </w:rPr>
              <w:t xml:space="preserve">REF-04</w:t>
            </w:r>
          </w:p>
        </w:tc>
        <w:tc>
          <w:tcPr>
            <w:tcW w:type="dxa" w:w="4600"/>
            <w:shd/>
            <w:vAlign w:val="top"/>
          </w:tcPr>
          <w:p>
            <w:pPr>
              <w:spacing w:after="80" w:before="80"/>
              <w:ind w:left="100"/>
            </w:pPr>
            <w:r>
              <w:rPr>
                <w:b w:val="false"/>
                <w:bCs w:val="false"/>
                <w:color w:val="0D1B2A"/>
                <w:sz w:val="18"/>
                <w:szCs w:val="18"/>
              </w:rPr>
              <w:t xml:space="preserve">SDD-SSB-DOCSCREEN-v1.0 — Software Design Document (companion)</w:t>
            </w:r>
          </w:p>
        </w:tc>
        <w:tc>
          <w:tcPr>
            <w:tcW w:type="dxa" w:w="3000"/>
            <w:shd/>
            <w:vAlign w:val="top"/>
          </w:tcPr>
          <w:p>
            <w:pPr>
              <w:spacing w:after="80" w:before="80"/>
              <w:ind w:left="100"/>
            </w:pPr>
            <w:r>
              <w:rPr>
                <w:b w:val="false"/>
                <w:bCs w:val="false"/>
                <w:color w:val="0D1B2A"/>
                <w:sz w:val="18"/>
                <w:szCs w:val="18"/>
              </w:rPr>
              <w:t xml:space="preserve">AIDSS Project Team</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REF-05</w:t>
            </w:r>
          </w:p>
        </w:tc>
        <w:tc>
          <w:tcPr>
            <w:tcW w:type="dxa" w:w="4600"/>
            <w:shd w:color="F4F6F9" w:val="clear"/>
            <w:vAlign w:val="top"/>
          </w:tcPr>
          <w:p>
            <w:pPr>
              <w:spacing w:after="80" w:before="80"/>
              <w:ind w:left="100"/>
            </w:pPr>
            <w:r>
              <w:rPr>
                <w:b w:val="false"/>
                <w:bCs w:val="false"/>
                <w:color w:val="0D1B2A"/>
                <w:sz w:val="18"/>
                <w:szCs w:val="18"/>
              </w:rPr>
              <w:t xml:space="preserve">MVSS-Net: Multi-View Feature Learning with Schema Supervision (IEEE TIFS 2022)</w:t>
            </w:r>
          </w:p>
        </w:tc>
        <w:tc>
          <w:tcPr>
            <w:tcW w:type="dxa" w:w="3000"/>
            <w:shd w:color="F4F6F9" w:val="clear"/>
            <w:vAlign w:val="top"/>
          </w:tcPr>
          <w:p>
            <w:pPr>
              <w:spacing w:after="80" w:before="80"/>
              <w:ind w:left="100"/>
            </w:pPr>
            <w:r>
              <w:rPr>
                <w:b w:val="false"/>
                <w:bCs w:val="false"/>
                <w:color w:val="0D1B2A"/>
                <w:sz w:val="18"/>
                <w:szCs w:val="18"/>
              </w:rPr>
              <w:t xml:space="preserve">Chen et al., IEEE Transactions on Information Forensics and Security</w:t>
            </w:r>
          </w:p>
        </w:tc>
      </w:tr>
      <w:tr>
        <w:trPr>
          <w:tblHeader w:val="false"/>
        </w:trPr>
        <w:tc>
          <w:tcPr>
            <w:tcW w:type="dxa" w:w="1400"/>
            <w:shd/>
            <w:vAlign w:val="top"/>
          </w:tcPr>
          <w:p>
            <w:pPr>
              <w:spacing w:after="80" w:before="80"/>
              <w:ind w:left="100"/>
            </w:pPr>
            <w:r>
              <w:rPr>
                <w:b w:val="false"/>
                <w:bCs w:val="false"/>
                <w:color w:val="0D1B2A"/>
                <w:sz w:val="18"/>
                <w:szCs w:val="18"/>
              </w:rPr>
              <w:t xml:space="preserve">REF-06</w:t>
            </w:r>
          </w:p>
        </w:tc>
        <w:tc>
          <w:tcPr>
            <w:tcW w:type="dxa" w:w="4600"/>
            <w:shd/>
            <w:vAlign w:val="top"/>
          </w:tcPr>
          <w:p>
            <w:pPr>
              <w:spacing w:after="80" w:before="80"/>
              <w:ind w:left="100"/>
            </w:pPr>
            <w:r>
              <w:rPr>
                <w:b w:val="false"/>
                <w:bCs w:val="false"/>
                <w:color w:val="0D1B2A"/>
                <w:sz w:val="18"/>
                <w:szCs w:val="18"/>
              </w:rPr>
              <w:t xml:space="preserve">ArcFace: Additive Angular Margin Loss for Deep Face Recognition (CVPR 2019)</w:t>
            </w:r>
          </w:p>
        </w:tc>
        <w:tc>
          <w:tcPr>
            <w:tcW w:type="dxa" w:w="3000"/>
            <w:shd/>
            <w:vAlign w:val="top"/>
          </w:tcPr>
          <w:p>
            <w:pPr>
              <w:spacing w:after="80" w:before="80"/>
              <w:ind w:left="100"/>
            </w:pPr>
            <w:r>
              <w:rPr>
                <w:b w:val="false"/>
                <w:bCs w:val="false"/>
                <w:color w:val="0D1B2A"/>
                <w:sz w:val="18"/>
                <w:szCs w:val="18"/>
              </w:rPr>
              <w:t xml:space="preserve">Deng et al., IEEE/CVF</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REF-07</w:t>
            </w:r>
          </w:p>
        </w:tc>
        <w:tc>
          <w:tcPr>
            <w:tcW w:type="dxa" w:w="4600"/>
            <w:shd w:color="F4F6F9" w:val="clear"/>
            <w:vAlign w:val="top"/>
          </w:tcPr>
          <w:p>
            <w:pPr>
              <w:spacing w:after="80" w:before="80"/>
              <w:ind w:left="100"/>
            </w:pPr>
            <w:r>
              <w:rPr>
                <w:b w:val="false"/>
                <w:bCs w:val="false"/>
                <w:color w:val="0D1B2A"/>
                <w:sz w:val="18"/>
                <w:szCs w:val="18"/>
              </w:rPr>
              <w:t xml:space="preserve">Combinatorial Belief Functions in Forensic Science — Dempster-Shafer Theory</w:t>
            </w:r>
          </w:p>
        </w:tc>
        <w:tc>
          <w:tcPr>
            <w:tcW w:type="dxa" w:w="3000"/>
            <w:shd w:color="F4F6F9" w:val="clear"/>
            <w:vAlign w:val="top"/>
          </w:tcPr>
          <w:p>
            <w:pPr>
              <w:spacing w:after="80" w:before="80"/>
              <w:ind w:left="100"/>
            </w:pPr>
            <w:r>
              <w:rPr>
                <w:b w:val="false"/>
                <w:bCs w:val="false"/>
                <w:color w:val="0D1B2A"/>
                <w:sz w:val="18"/>
                <w:szCs w:val="18"/>
              </w:rPr>
              <w:t xml:space="preserve">Taroni et al., Forensic Science International</w:t>
            </w:r>
          </w:p>
        </w:tc>
      </w:tr>
      <w:tr>
        <w:trPr>
          <w:tblHeader w:val="false"/>
        </w:trPr>
        <w:tc>
          <w:tcPr>
            <w:tcW w:type="dxa" w:w="1400"/>
            <w:shd/>
            <w:vAlign w:val="top"/>
          </w:tcPr>
          <w:p>
            <w:pPr>
              <w:spacing w:after="80" w:before="80"/>
              <w:ind w:left="100"/>
            </w:pPr>
            <w:r>
              <w:rPr>
                <w:b w:val="false"/>
                <w:bCs w:val="false"/>
                <w:color w:val="0D1B2A"/>
                <w:sz w:val="18"/>
                <w:szCs w:val="18"/>
              </w:rPr>
              <w:t xml:space="preserve">REF-08</w:t>
            </w:r>
          </w:p>
        </w:tc>
        <w:tc>
          <w:tcPr>
            <w:tcW w:type="dxa" w:w="4600"/>
            <w:shd/>
            <w:vAlign w:val="top"/>
          </w:tcPr>
          <w:p>
            <w:pPr>
              <w:spacing w:after="80" w:before="80"/>
              <w:ind w:left="100"/>
            </w:pPr>
            <w:r>
              <w:rPr>
                <w:b w:val="false"/>
                <w:bCs w:val="false"/>
                <w:color w:val="0D1B2A"/>
                <w:sz w:val="18"/>
                <w:szCs w:val="18"/>
              </w:rPr>
              <w:t xml:space="preserve">Government of India — Information Technology (Amendment) Act 2008</w:t>
            </w:r>
          </w:p>
        </w:tc>
        <w:tc>
          <w:tcPr>
            <w:tcW w:type="dxa" w:w="3000"/>
            <w:shd/>
            <w:vAlign w:val="top"/>
          </w:tcPr>
          <w:p>
            <w:pPr>
              <w:spacing w:after="80" w:before="80"/>
              <w:ind w:left="100"/>
            </w:pPr>
            <w:r>
              <w:rPr>
                <w:b w:val="false"/>
                <w:bCs w:val="false"/>
                <w:color w:val="0D1B2A"/>
                <w:sz w:val="18"/>
                <w:szCs w:val="18"/>
              </w:rPr>
              <w:t xml:space="preserve">Ministry of Law and Justice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REF-09</w:t>
            </w:r>
          </w:p>
        </w:tc>
        <w:tc>
          <w:tcPr>
            <w:tcW w:type="dxa" w:w="4600"/>
            <w:shd w:color="F4F6F9" w:val="clear"/>
            <w:vAlign w:val="top"/>
          </w:tcPr>
          <w:p>
            <w:pPr>
              <w:spacing w:after="80" w:before="80"/>
              <w:ind w:left="100"/>
            </w:pPr>
            <w:r>
              <w:rPr>
                <w:b w:val="false"/>
                <w:bCs w:val="false"/>
                <w:color w:val="0D1B2A"/>
                <w:sz w:val="18"/>
                <w:szCs w:val="18"/>
              </w:rPr>
              <w:t xml:space="preserve">MIDV-500 — A Dataset for Identity Document Analysis and Recognition</w:t>
            </w:r>
          </w:p>
        </w:tc>
        <w:tc>
          <w:tcPr>
            <w:tcW w:type="dxa" w:w="3000"/>
            <w:shd w:color="F4F6F9" w:val="clear"/>
            <w:vAlign w:val="top"/>
          </w:tcPr>
          <w:p>
            <w:pPr>
              <w:spacing w:after="80" w:before="80"/>
              <w:ind w:left="100"/>
            </w:pPr>
            <w:r>
              <w:rPr>
                <w:b w:val="false"/>
                <w:bCs w:val="false"/>
                <w:color w:val="0D1B2A"/>
                <w:sz w:val="18"/>
                <w:szCs w:val="18"/>
              </w:rPr>
              <w:t xml:space="preserve">Bulatov et al., CBDAR 2017</w:t>
            </w:r>
          </w:p>
        </w:tc>
      </w:tr>
      <w:tr>
        <w:trPr>
          <w:tblHeader w:val="false"/>
        </w:trPr>
        <w:tc>
          <w:tcPr>
            <w:tcW w:type="dxa" w:w="1400"/>
            <w:shd/>
            <w:vAlign w:val="top"/>
          </w:tcPr>
          <w:p>
            <w:pPr>
              <w:spacing w:after="80" w:before="80"/>
              <w:ind w:left="100"/>
            </w:pPr>
            <w:r>
              <w:rPr>
                <w:b w:val="false"/>
                <w:bCs w:val="false"/>
                <w:color w:val="0D1B2A"/>
                <w:sz w:val="18"/>
                <w:szCs w:val="18"/>
              </w:rPr>
              <w:t xml:space="preserve">REF-10</w:t>
            </w:r>
          </w:p>
        </w:tc>
        <w:tc>
          <w:tcPr>
            <w:tcW w:type="dxa" w:w="4600"/>
            <w:shd/>
            <w:vAlign w:val="top"/>
          </w:tcPr>
          <w:p>
            <w:pPr>
              <w:spacing w:after="80" w:before="80"/>
              <w:ind w:left="100"/>
            </w:pPr>
            <w:r>
              <w:rPr>
                <w:b w:val="false"/>
                <w:bCs w:val="false"/>
                <w:color w:val="0D1B2A"/>
                <w:sz w:val="18"/>
                <w:szCs w:val="18"/>
              </w:rPr>
              <w:t xml:space="preserve">InsightFace: 2D and 3D Face Analysis Project (buffalo_l model)</w:t>
            </w:r>
          </w:p>
        </w:tc>
        <w:tc>
          <w:tcPr>
            <w:tcW w:type="dxa" w:w="3000"/>
            <w:shd/>
            <w:vAlign w:val="top"/>
          </w:tcPr>
          <w:p>
            <w:pPr>
              <w:spacing w:after="80" w:before="80"/>
              <w:ind w:left="100"/>
            </w:pPr>
            <w:r>
              <w:rPr>
                <w:b w:val="false"/>
                <w:bCs w:val="false"/>
                <w:color w:val="0D1B2A"/>
                <w:sz w:val="18"/>
                <w:szCs w:val="18"/>
              </w:rPr>
              <w:t xml:space="preserve">Guo et al., 2022</w:t>
            </w:r>
          </w:p>
        </w:tc>
      </w:tr>
    </w:tbl>
    <w:p>
      <w:pPr>
        <w:pStyle w:val="Heading2"/>
        <w:spacing w:after="160" w:before="360"/>
      </w:pPr>
      <w:r>
        <w:t xml:space="preserve">1.5  Document Overview</w:t>
      </w:r>
    </w:p>
    <w:p>
      <w:pPr>
        <w:spacing w:after="140"/>
      </w:pPr>
      <w:r>
        <w:t xml:space="preserve">This document is structured as follows:</w:t>
      </w:r>
    </w:p>
    <w:p>
      <w:pPr>
        <w:pStyle w:val="ListParagraph"/>
        <w:numPr>
          <w:ilvl w:val="0"/>
          <w:numId w:val="1"/>
        </w:numPr>
        <w:spacing w:after="80"/>
        <w:ind w:left="720" w:hanging="360"/>
      </w:pPr>
      <w:r>
        <w:t xml:space="preserve">Section 1 (Introduction): Purpose, scope, terminology, and references.</w:t>
      </w:r>
    </w:p>
    <w:p>
      <w:pPr>
        <w:pStyle w:val="ListParagraph"/>
        <w:numPr>
          <w:ilvl w:val="0"/>
          <w:numId w:val="1"/>
        </w:numPr>
        <w:spacing w:after="80"/>
        <w:ind w:left="720" w:hanging="360"/>
      </w:pPr>
      <w:r>
        <w:t xml:space="preserve">Section 2 (Overall Description): Product context, user classification, operating environment, and key constraints.</w:t>
      </w:r>
    </w:p>
    <w:p>
      <w:pPr>
        <w:pStyle w:val="ListParagraph"/>
        <w:numPr>
          <w:ilvl w:val="0"/>
          <w:numId w:val="1"/>
        </w:numPr>
        <w:spacing w:after="80"/>
        <w:ind w:left="720" w:hanging="360"/>
      </w:pPr>
      <w:r>
        <w:t xml:space="preserve">Section 3 (Functional Requirements): Precise, testable requirements for all eight functional areas, each with a unique ID and measurable acceptance criterion.</w:t>
      </w:r>
    </w:p>
    <w:p>
      <w:pPr>
        <w:pStyle w:val="ListParagraph"/>
        <w:numPr>
          <w:ilvl w:val="0"/>
          <w:numId w:val="1"/>
        </w:numPr>
        <w:spacing w:after="80"/>
        <w:ind w:left="720" w:hanging="360"/>
      </w:pPr>
      <w:r>
        <w:t xml:space="preserve">Section 4 (Non-Functional Requirements): Performance, security, reliability, accuracy, usability, and maintainability targets.</w:t>
      </w:r>
    </w:p>
    <w:p>
      <w:pPr>
        <w:pStyle w:val="ListParagraph"/>
        <w:numPr>
          <w:ilvl w:val="0"/>
          <w:numId w:val="1"/>
        </w:numPr>
        <w:spacing w:after="80"/>
        <w:ind w:left="720" w:hanging="360"/>
      </w:pPr>
      <w:r>
        <w:t xml:space="preserve">Section 5 (External Interface Requirements): User interface, hardware, software, and communication interface specifications.</w:t>
      </w:r>
    </w:p>
    <w:p>
      <w:pPr>
        <w:pStyle w:val="ListParagraph"/>
        <w:numPr>
          <w:ilvl w:val="0"/>
          <w:numId w:val="1"/>
        </w:numPr>
        <w:spacing w:after="80"/>
        <w:ind w:left="720" w:hanging="360"/>
      </w:pPr>
      <w:r>
        <w:t xml:space="preserve">Section 6 (System Constraints and Limitations): Explicit scope boundaries, known AI limitations, and legal disclaimers.</w:t>
      </w:r>
    </w:p>
    <w:p>
      <w:pPr>
        <w:pStyle w:val="ListParagraph"/>
        <w:numPr>
          <w:ilvl w:val="0"/>
          <w:numId w:val="1"/>
        </w:numPr>
        <w:spacing w:after="80"/>
        <w:ind w:left="720" w:hanging="360"/>
      </w:pPr>
      <w:r>
        <w:t xml:space="preserve">Appendix A (Requirement Traceability Matrix): Mapping of every functional requirement to its implementing module.</w:t>
      </w:r>
    </w:p>
    <w:p>
      <w:pPr>
        <w:pStyle w:val="ListParagraph"/>
        <w:numPr>
          <w:ilvl w:val="0"/>
          <w:numId w:val="1"/>
        </w:numPr>
        <w:spacing w:after="80"/>
        <w:ind w:left="720" w:hanging="360"/>
      </w:pPr>
      <w:r>
        <w:t xml:space="preserve">Appendix B (Glossary of Domain Terms): Expanded definitions for technical and domain-specific terminology.</w:t>
      </w:r>
    </w:p>
    <w:p>
      <w:r>
        <w:br w:type="page"/>
      </w:r>
    </w:p>
    <w:p>
      <w:pPr>
        <w:pStyle w:val="Heading1"/>
        <w:spacing w:after="200" w:before="560"/>
      </w:pPr>
      <w:r>
        <w:t xml:space="preserve">2. Overall Description</w:t>
      </w:r>
    </w:p>
    <w:p>
      <w:pPr>
        <w:pBdr>
          <w:bottom w:val="single" w:color="2E86AB" w:sz="8"/>
        </w:pBdr>
        <w:spacing w:after="200" w:before="160"/>
      </w:pPr>
    </w:p>
    <w:p>
      <w:pPr>
        <w:pStyle w:val="Heading2"/>
        <w:spacing w:after="160" w:before="360"/>
      </w:pPr>
      <w:r>
        <w:t xml:space="preserve">2.1  Product Perspective</w:t>
      </w:r>
    </w:p>
    <w:p>
      <w:pPr>
        <w:spacing w:after="140"/>
      </w:pPr>
      <w:r>
        <w:t xml:space="preserve">The AIDSS is a new, standalone system. It does not replace existing SSB border management databases or command infrastructure; it provides a document screening layer that sits between physical document presentation and the officer's clearance decision.</w:t>
      </w:r>
    </w:p>
    <w:p>
      <w:pPr>
        <w:spacing w:after="140"/>
      </w:pPr>
      <w:r>
        <w:t xml:space="preserve">The system operates at the checkpoint level as an edge-deployed application, capable of full functionality without external network connectivity. A central server instance aggregates watchlist updates and audit logs from multiple checkpoint nodes on a scheduled encrypted synchronisation cycle. This architecture ensures that a connectivity outage at any single checkpoint does not interrupt screening operations.</w:t>
      </w:r>
    </w:p>
    <w:p>
      <w:pPr>
        <w:spacing w:after="140"/>
      </w:pPr>
      <w:r>
        <w:t xml:space="preserve">The AIDSS interfaces with the following external entities:</w:t>
      </w:r>
    </w:p>
    <w:p>
      <w:pPr>
        <w:pStyle w:val="ListParagraph"/>
        <w:numPr>
          <w:ilvl w:val="0"/>
          <w:numId w:val="1"/>
        </w:numPr>
        <w:spacing w:after="80"/>
        <w:ind w:left="720" w:hanging="360"/>
      </w:pPr>
      <w:r>
        <w:t xml:space="preserve">Document input hardware: flatbed scanners (minimum 600 DPI) or camera-based capture devices</w:t>
      </w:r>
    </w:p>
    <w:p>
      <w:pPr>
        <w:pStyle w:val="ListParagraph"/>
        <w:numPr>
          <w:ilvl w:val="0"/>
          <w:numId w:val="1"/>
        </w:numPr>
        <w:spacing w:after="80"/>
        <w:ind w:left="720" w:hanging="360"/>
      </w:pPr>
      <w:r>
        <w:t xml:space="preserve">Live capture hardware: CCTV or dedicated camera for face capture and liveness detection</w:t>
      </w:r>
    </w:p>
    <w:p>
      <w:pPr>
        <w:pStyle w:val="ListParagraph"/>
        <w:numPr>
          <w:ilvl w:val="0"/>
          <w:numId w:val="1"/>
        </w:numPr>
        <w:spacing w:after="80"/>
        <w:ind w:left="720" w:hanging="360"/>
      </w:pPr>
      <w:r>
        <w:t xml:space="preserve">Central Command infrastructure: encrypted channel for watchlist delta updates and audit log aggregation</w:t>
      </w:r>
    </w:p>
    <w:p>
      <w:pPr>
        <w:pStyle w:val="ListParagraph"/>
        <w:numPr>
          <w:ilvl w:val="0"/>
          <w:numId w:val="1"/>
        </w:numPr>
        <w:spacing w:after="80"/>
        <w:ind w:left="720" w:hanging="360"/>
      </w:pPr>
      <w:r>
        <w:t xml:space="preserve">Officer workstation: web browser interface running the React-based dashboard</w:t>
      </w:r>
    </w:p>
    <w:p>
      <w:pPr>
        <w:spacing w:after="160"/>
      </w:pPr>
    </w:p>
    <w:p>
      <w:pPr>
        <w:spacing w:after="140"/>
      </w:pPr>
      <w:r>
        <w:t xml:space="preserve">The system does not connect to any third-party cloud OCR API, cloud face recognition service, or external biometric database. All AI inference is performed on-device or on a locally hosted GPU server within the checkpoint network perimeter. This is a hard design constraint driven by data sovereignty requirements under the Government of India's data localisation policy.</w:t>
      </w:r>
    </w:p>
    <w:p>
      <w:pPr>
        <w:pStyle w:val="Heading2"/>
        <w:spacing w:after="160" w:before="360"/>
      </w:pPr>
      <w:r>
        <w:t xml:space="preserve">2.2  Product Functions</w:t>
      </w:r>
    </w:p>
    <w:p>
      <w:pPr>
        <w:spacing w:after="140"/>
      </w:pPr>
      <w:r>
        <w:t xml:space="preserve">The AIDSS provides the following high-level functions, each corresponding to a major module:</w:t>
      </w:r>
    </w:p>
    <w:p>
      <w:pPr>
        <w:pStyle w:val="ListParagraph"/>
        <w:numPr>
          <w:ilvl w:val="0"/>
          <w:numId w:val="1"/>
        </w:numPr>
        <w:spacing w:after="80"/>
        <w:ind w:left="720" w:hanging="360"/>
      </w:pPr>
      <w:r>
        <w:t xml:space="preserve">F1 — OCR and Structured Data Extraction: Accepts a document image and returns a structured JSON record containing all identity fields, extracted MRZ data, field-level confidence scores, and any inter-zone discrepancies detected.</w:t>
      </w:r>
    </w:p>
    <w:p>
      <w:pPr>
        <w:pStyle w:val="ListParagraph"/>
        <w:numPr>
          <w:ilvl w:val="0"/>
          <w:numId w:val="1"/>
        </w:numPr>
        <w:spacing w:after="80"/>
        <w:ind w:left="720" w:hanging="360"/>
      </w:pPr>
      <w:r>
        <w:t xml:space="preserve">F2 — Document Validation: Accepts the structured OCR output and returns a validation report covering MRZ checksum results (pass/fail per digit), field format compliance, expiry status, and watchlist match result.</w:t>
      </w:r>
    </w:p>
    <w:p>
      <w:pPr>
        <w:pStyle w:val="ListParagraph"/>
        <w:numPr>
          <w:ilvl w:val="0"/>
          <w:numId w:val="1"/>
        </w:numPr>
        <w:spacing w:after="80"/>
        <w:ind w:left="720" w:hanging="360"/>
      </w:pPr>
      <w:r>
        <w:t xml:space="preserve">F3 — Document Tampering Detection: Accepts the pre-processed document image and returns a composite tampering confidence score, a pixel-level heatmap indicating manipulated regions, and per-method subscores for ELA, copy-move, deep forgery localisation, metadata forensics, and illumination consistency.</w:t>
      </w:r>
    </w:p>
    <w:p>
      <w:pPr>
        <w:pStyle w:val="ListParagraph"/>
        <w:numPr>
          <w:ilvl w:val="0"/>
          <w:numId w:val="1"/>
        </w:numPr>
        <w:spacing w:after="80"/>
        <w:ind w:left="720" w:hanging="360"/>
      </w:pPr>
      <w:r>
        <w:t xml:space="preserve">F4 — Face Verification and Liveness: Accepts the document image (for photo extraction) and a live camera frame, and returns a face similarity score, a liveness determination, and a calibrated probability of identity match.</w:t>
      </w:r>
    </w:p>
    <w:p>
      <w:pPr>
        <w:pStyle w:val="ListParagraph"/>
        <w:numPr>
          <w:ilvl w:val="0"/>
          <w:numId w:val="1"/>
        </w:numPr>
        <w:spacing w:after="80"/>
        <w:ind w:left="720" w:hanging="360"/>
      </w:pPr>
      <w:r>
        <w:t xml:space="preserve">F5 — Risk Scoring: Accepts all four module outputs and returns a unified risk score [0–100], a risk band label (LOW / MEDIUM / HIGH / CRITICAL), a SHAP-based attribution vector explaining each module's contribution, and a set of plain-language finding statements.</w:t>
      </w:r>
    </w:p>
    <w:p>
      <w:pPr>
        <w:pStyle w:val="ListParagraph"/>
        <w:numPr>
          <w:ilvl w:val="0"/>
          <w:numId w:val="1"/>
        </w:numPr>
        <w:spacing w:after="80"/>
        <w:ind w:left="720" w:hanging="360"/>
      </w:pPr>
      <w:r>
        <w:t xml:space="preserve">F6 — Officer Dashboard: Presents all outputs of F1–F5 in a real-time, visually accessible interface with anomaly heatmap overlay, risk gauge, evidence breakdown chart, and officer action panel.</w:t>
      </w:r>
    </w:p>
    <w:p>
      <w:pPr>
        <w:pStyle w:val="ListParagraph"/>
        <w:numPr>
          <w:ilvl w:val="0"/>
          <w:numId w:val="1"/>
        </w:numPr>
        <w:spacing w:after="80"/>
        <w:ind w:left="720" w:hanging="360"/>
      </w:pPr>
      <w:r>
        <w:t xml:space="preserve">F7 — Audit Trail: Records every document submission, processing result, and officer action in a cryptographically signed, append-only audit log.</w:t>
      </w:r>
    </w:p>
    <w:p>
      <w:pPr>
        <w:pStyle w:val="ListParagraph"/>
        <w:numPr>
          <w:ilvl w:val="0"/>
          <w:numId w:val="1"/>
        </w:numPr>
        <w:spacing w:after="80"/>
        <w:ind w:left="720" w:hanging="360"/>
      </w:pPr>
      <w:r>
        <w:t xml:space="preserve">F8 — Watchlist Management: Maintains and queries the blacklist/watchlist database, supports encrypted delta synchronisation from Central Command, and enforces privacy-preserving lookup via hashed identifiers.</w:t>
      </w:r>
    </w:p>
    <w:p>
      <w:pPr>
        <w:pStyle w:val="Heading2"/>
        <w:spacing w:after="160" w:before="360"/>
      </w:pPr>
      <w:r>
        <w:t xml:space="preserve">2.3  User Classes and Characteristics</w:t>
      </w:r>
    </w:p>
    <w:p>
      <w:pPr>
        <w:pStyle w:val="Heading3"/>
        <w:spacing w:after="120" w:before="240"/>
      </w:pPr>
      <w:r>
        <w:t xml:space="preserve">2.3.1  Border Security Officer (Primary User)</w:t>
      </w:r>
    </w:p>
    <w:p>
      <w:pPr>
        <w:spacing w:after="140"/>
      </w:pPr>
      <w:r>
        <w:t xml:space="preserve">Border Security Officers are the primary operational users of the AIDSS dashboard. They receive the document from the traveller, initiate the scan, review the risk output, and make the clearance or secondary check decision.</w:t>
      </w:r>
    </w:p>
    <w:p>
      <w:pPr>
        <w:pStyle w:val="ListParagraph"/>
        <w:numPr>
          <w:ilvl w:val="0"/>
          <w:numId w:val="1"/>
        </w:numPr>
        <w:spacing w:after="80"/>
        <w:ind w:left="720" w:hanging="360"/>
      </w:pPr>
      <w:r>
        <w:t xml:space="preserve">Technical proficiency: Low to moderate. Officers are not expected to understand AI concepts. All information must be communicated in plain language.</w:t>
      </w:r>
    </w:p>
    <w:p>
      <w:pPr>
        <w:pStyle w:val="ListParagraph"/>
        <w:numPr>
          <w:ilvl w:val="0"/>
          <w:numId w:val="1"/>
        </w:numPr>
        <w:spacing w:after="80"/>
        <w:ind w:left="720" w:hanging="360"/>
      </w:pPr>
      <w:r>
        <w:t xml:space="preserve">Expected interaction time per document: Under 30 seconds, including document placement and review of results.</w:t>
      </w:r>
    </w:p>
    <w:p>
      <w:pPr>
        <w:pStyle w:val="ListParagraph"/>
        <w:numPr>
          <w:ilvl w:val="0"/>
          <w:numId w:val="1"/>
        </w:numPr>
        <w:spacing w:after="80"/>
        <w:ind w:left="720" w:hanging="360"/>
      </w:pPr>
      <w:r>
        <w:t xml:space="preserve">Decision authority: Clear LOW-risk documents. For MEDIUM risk, escalate to Supervisor. For HIGH and CRITICAL, mandatory secondary protocol.</w:t>
      </w:r>
    </w:p>
    <w:p>
      <w:pPr>
        <w:pStyle w:val="ListParagraph"/>
        <w:numPr>
          <w:ilvl w:val="0"/>
          <w:numId w:val="1"/>
        </w:numPr>
        <w:spacing w:after="80"/>
        <w:ind w:left="720" w:hanging="360"/>
      </w:pPr>
      <w:r>
        <w:t xml:space="preserve">Language requirement: English and Hindi interfaces must be available and switchable at any time.</w:t>
      </w:r>
    </w:p>
    <w:p>
      <w:pPr>
        <w:pStyle w:val="Heading3"/>
        <w:spacing w:after="120" w:before="240"/>
      </w:pPr>
      <w:r>
        <w:t xml:space="preserve">2.3.2  Supervisor / Senior Officer</w:t>
      </w:r>
    </w:p>
    <w:p>
      <w:pPr>
        <w:spacing w:after="140"/>
      </w:pPr>
      <w:r>
        <w:t xml:space="preserve">Supervisors receive escalation alerts for MEDIUM-risk and above determinations. They can review the full evidence breakdown, override a risk assessment with documented justification, and access screening history for their checkpoint.</w:t>
      </w:r>
    </w:p>
    <w:p>
      <w:pPr>
        <w:pStyle w:val="ListParagraph"/>
        <w:numPr>
          <w:ilvl w:val="0"/>
          <w:numId w:val="1"/>
        </w:numPr>
        <w:spacing w:after="80"/>
        <w:ind w:left="720" w:hanging="360"/>
      </w:pPr>
      <w:r>
        <w:t xml:space="preserve">Technical proficiency: Moderate. Can interpret confidence scores and heatmaps with minimal training.</w:t>
      </w:r>
    </w:p>
    <w:p>
      <w:pPr>
        <w:pStyle w:val="ListParagraph"/>
        <w:numPr>
          <w:ilvl w:val="0"/>
          <w:numId w:val="1"/>
        </w:numPr>
        <w:spacing w:after="80"/>
        <w:ind w:left="720" w:hanging="360"/>
      </w:pPr>
      <w:r>
        <w:t xml:space="preserve">Access level: All officer capabilities plus override authority and checkpoint-level audit log access.</w:t>
      </w:r>
    </w:p>
    <w:p>
      <w:pPr>
        <w:pStyle w:val="Heading3"/>
        <w:spacing w:after="120" w:before="240"/>
      </w:pPr>
      <w:r>
        <w:t xml:space="preserve">2.3.3  System Administrator</w:t>
      </w:r>
    </w:p>
    <w:p>
      <w:pPr>
        <w:spacing w:after="140"/>
      </w:pPr>
      <w:r>
        <w:t xml:space="preserve">System Administrators maintain the deployed system: updating watchlists, managing user accounts, monitoring system health, and initiating model updates.</w:t>
      </w:r>
    </w:p>
    <w:p>
      <w:pPr>
        <w:pStyle w:val="ListParagraph"/>
        <w:numPr>
          <w:ilvl w:val="0"/>
          <w:numId w:val="1"/>
        </w:numPr>
        <w:spacing w:after="80"/>
        <w:ind w:left="720" w:hanging="360"/>
      </w:pPr>
      <w:r>
        <w:t xml:space="preserve">Technical proficiency: High. Expected to understand configuration management, Docker deployment, and database administration.</w:t>
      </w:r>
    </w:p>
    <w:p>
      <w:pPr>
        <w:pStyle w:val="ListParagraph"/>
        <w:numPr>
          <w:ilvl w:val="0"/>
          <w:numId w:val="1"/>
        </w:numPr>
        <w:spacing w:after="80"/>
        <w:ind w:left="720" w:hanging="360"/>
      </w:pPr>
      <w:r>
        <w:t xml:space="preserve">Access level: Full system access. Cannot modify the audit trail content — append-only constraint applies to all roles.</w:t>
      </w:r>
    </w:p>
    <w:p>
      <w:pPr>
        <w:pStyle w:val="Heading3"/>
        <w:spacing w:after="120" w:before="240"/>
      </w:pPr>
      <w:r>
        <w:t xml:space="preserve">2.3.4  Auditor / Forensic Reviewer</w:t>
      </w:r>
    </w:p>
    <w:p>
      <w:pPr>
        <w:spacing w:after="140"/>
      </w:pPr>
      <w:r>
        <w:t xml:space="preserve">Auditors access historical screening records for investigation or compliance review. They may be MHA internal auditors, court-appointed forensic reviewers, or SSB internal affairs personnel.</w:t>
      </w:r>
    </w:p>
    <w:p>
      <w:pPr>
        <w:pStyle w:val="ListParagraph"/>
        <w:numPr>
          <w:ilvl w:val="0"/>
          <w:numId w:val="1"/>
        </w:numPr>
        <w:spacing w:after="80"/>
        <w:ind w:left="720" w:hanging="360"/>
      </w:pPr>
      <w:r>
        <w:t xml:space="preserve">Technical proficiency: Variable. Interface must present audit data in human-readable form without requiring database expertise.</w:t>
      </w:r>
    </w:p>
    <w:p>
      <w:pPr>
        <w:pStyle w:val="ListParagraph"/>
        <w:numPr>
          <w:ilvl w:val="0"/>
          <w:numId w:val="1"/>
        </w:numPr>
        <w:spacing w:after="80"/>
        <w:ind w:left="720" w:hanging="360"/>
      </w:pPr>
      <w:r>
        <w:t xml:space="preserve">Access level: Read-only access to audit trail for their authorised date/checkpoint range. No access to live screening functions.</w:t>
      </w:r>
    </w:p>
    <w:p>
      <w:pPr>
        <w:pStyle w:val="Heading2"/>
        <w:spacing w:after="160" w:before="360"/>
      </w:pPr>
      <w:r>
        <w:t xml:space="preserve">2.4  Operating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color="1B2A4A" w:val="clear"/>
            <w:vAlign w:val="top"/>
          </w:tcPr>
          <w:p>
            <w:pPr>
              <w:spacing w:after="80" w:before="80"/>
              <w:ind w:left="100"/>
            </w:pPr>
            <w:r>
              <w:rPr>
                <w:b/>
                <w:bCs/>
                <w:color w:val="FFFFFF"/>
                <w:sz w:val="18"/>
                <w:szCs w:val="18"/>
              </w:rPr>
              <w:t xml:space="preserve">Parameter</w:t>
            </w:r>
          </w:p>
        </w:tc>
        <w:tc>
          <w:tcPr>
            <w:tcW w:type="dxa" w:w="6400"/>
            <w:shd w:color="1B2A4A" w:val="clear"/>
            <w:vAlign w:val="top"/>
          </w:tcPr>
          <w:p>
            <w:pPr>
              <w:spacing w:after="80" w:before="80"/>
              <w:ind w:left="100"/>
            </w:pPr>
            <w:r>
              <w:rPr>
                <w:b/>
                <w:bCs/>
                <w:color w:val="FFFFFF"/>
                <w:sz w:val="18"/>
                <w:szCs w:val="18"/>
              </w:rPr>
              <w:t xml:space="preserve">Specification</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Deployment model</w:t>
            </w:r>
          </w:p>
        </w:tc>
        <w:tc>
          <w:tcPr>
            <w:tcW w:type="dxa" w:w="6400"/>
            <w:shd w:color="F4F6F9" w:val="clear"/>
            <w:vAlign w:val="top"/>
          </w:tcPr>
          <w:p>
            <w:pPr>
              <w:spacing w:after="80" w:before="80"/>
              <w:ind w:left="100"/>
            </w:pPr>
            <w:r>
              <w:rPr>
                <w:b w:val="false"/>
                <w:bCs w:val="false"/>
                <w:color w:val="0D1B2A"/>
                <w:sz w:val="18"/>
                <w:szCs w:val="18"/>
              </w:rPr>
              <w:t xml:space="preserve">Edge node per checkpoint + central aggregation server</w:t>
            </w:r>
          </w:p>
        </w:tc>
      </w:tr>
      <w:tr>
        <w:trPr>
          <w:tblHeader w:val="false"/>
        </w:trPr>
        <w:tc>
          <w:tcPr>
            <w:tcW w:type="dxa" w:w="2600"/>
            <w:shd/>
            <w:vAlign w:val="top"/>
          </w:tcPr>
          <w:p>
            <w:pPr>
              <w:spacing w:after="80" w:before="80"/>
              <w:ind w:left="100"/>
            </w:pPr>
            <w:r>
              <w:rPr>
                <w:b w:val="false"/>
                <w:bCs w:val="false"/>
                <w:color w:val="0D1B2A"/>
                <w:sz w:val="18"/>
                <w:szCs w:val="18"/>
              </w:rPr>
              <w:t xml:space="preserve">Client device</w:t>
            </w:r>
          </w:p>
        </w:tc>
        <w:tc>
          <w:tcPr>
            <w:tcW w:type="dxa" w:w="6400"/>
            <w:shd/>
            <w:vAlign w:val="top"/>
          </w:tcPr>
          <w:p>
            <w:pPr>
              <w:spacing w:after="80" w:before="80"/>
              <w:ind w:left="100"/>
            </w:pPr>
            <w:r>
              <w:rPr>
                <w:b w:val="false"/>
                <w:bCs w:val="false"/>
                <w:color w:val="0D1B2A"/>
                <w:sz w:val="18"/>
                <w:szCs w:val="18"/>
              </w:rPr>
              <w:t xml:space="preserve">Officer workstation: any device running a modern Chromium-based browser</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Server OS</w:t>
            </w:r>
          </w:p>
        </w:tc>
        <w:tc>
          <w:tcPr>
            <w:tcW w:type="dxa" w:w="6400"/>
            <w:shd w:color="F4F6F9" w:val="clear"/>
            <w:vAlign w:val="top"/>
          </w:tcPr>
          <w:p>
            <w:pPr>
              <w:spacing w:after="80" w:before="80"/>
              <w:ind w:left="100"/>
            </w:pPr>
            <w:r>
              <w:rPr>
                <w:b w:val="false"/>
                <w:bCs w:val="false"/>
                <w:color w:val="0D1B2A"/>
                <w:sz w:val="18"/>
                <w:szCs w:val="18"/>
              </w:rPr>
              <w:t xml:space="preserve">Ubuntu 24.04 LTS (containerised via Docker 25.0)</w:t>
            </w:r>
          </w:p>
        </w:tc>
      </w:tr>
      <w:tr>
        <w:trPr>
          <w:tblHeader w:val="false"/>
        </w:trPr>
        <w:tc>
          <w:tcPr>
            <w:tcW w:type="dxa" w:w="2600"/>
            <w:shd/>
            <w:vAlign w:val="top"/>
          </w:tcPr>
          <w:p>
            <w:pPr>
              <w:spacing w:after="80" w:before="80"/>
              <w:ind w:left="100"/>
            </w:pPr>
            <w:r>
              <w:rPr>
                <w:b w:val="false"/>
                <w:bCs w:val="false"/>
                <w:color w:val="0D1B2A"/>
                <w:sz w:val="18"/>
                <w:szCs w:val="18"/>
              </w:rPr>
              <w:t xml:space="preserve">GPU (preferred)</w:t>
            </w:r>
          </w:p>
        </w:tc>
        <w:tc>
          <w:tcPr>
            <w:tcW w:type="dxa" w:w="6400"/>
            <w:shd/>
            <w:vAlign w:val="top"/>
          </w:tcPr>
          <w:p>
            <w:pPr>
              <w:spacing w:after="80" w:before="80"/>
              <w:ind w:left="100"/>
            </w:pPr>
            <w:r>
              <w:rPr>
                <w:b w:val="false"/>
                <w:bCs w:val="false"/>
                <w:color w:val="0D1B2A"/>
                <w:sz w:val="18"/>
                <w:szCs w:val="18"/>
              </w:rPr>
              <w:t xml:space="preserve">NVIDIA GPU with minimum 8 GB VRAM for MVSS-Net and ArcFace deep inference</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GPU (fallback)</w:t>
            </w:r>
          </w:p>
        </w:tc>
        <w:tc>
          <w:tcPr>
            <w:tcW w:type="dxa" w:w="6400"/>
            <w:shd w:color="F4F6F9" w:val="clear"/>
            <w:vAlign w:val="top"/>
          </w:tcPr>
          <w:p>
            <w:pPr>
              <w:spacing w:after="80" w:before="80"/>
              <w:ind w:left="100"/>
            </w:pPr>
            <w:r>
              <w:rPr>
                <w:b w:val="false"/>
                <w:bCs w:val="false"/>
                <w:color w:val="0D1B2A"/>
                <w:sz w:val="18"/>
                <w:szCs w:val="18"/>
              </w:rPr>
              <w:t xml:space="preserve">CPU-only mode: ONNX Runtime INT8 quantised models; latency increases to ≤ 10 s</w:t>
            </w:r>
          </w:p>
        </w:tc>
      </w:tr>
      <w:tr>
        <w:trPr>
          <w:tblHeader w:val="false"/>
        </w:trPr>
        <w:tc>
          <w:tcPr>
            <w:tcW w:type="dxa" w:w="2600"/>
            <w:shd/>
            <w:vAlign w:val="top"/>
          </w:tcPr>
          <w:p>
            <w:pPr>
              <w:spacing w:after="80" w:before="80"/>
              <w:ind w:left="100"/>
            </w:pPr>
            <w:r>
              <w:rPr>
                <w:b w:val="false"/>
                <w:bCs w:val="false"/>
                <w:color w:val="0D1B2A"/>
                <w:sz w:val="18"/>
                <w:szCs w:val="18"/>
              </w:rPr>
              <w:t xml:space="preserve">Scanner</w:t>
            </w:r>
          </w:p>
        </w:tc>
        <w:tc>
          <w:tcPr>
            <w:tcW w:type="dxa" w:w="6400"/>
            <w:shd/>
            <w:vAlign w:val="top"/>
          </w:tcPr>
          <w:p>
            <w:pPr>
              <w:spacing w:after="80" w:before="80"/>
              <w:ind w:left="100"/>
            </w:pPr>
            <w:r>
              <w:rPr>
                <w:b w:val="false"/>
                <w:bCs w:val="false"/>
                <w:color w:val="0D1B2A"/>
                <w:sz w:val="18"/>
                <w:szCs w:val="18"/>
              </w:rPr>
              <w:t xml:space="preserve">USB or network-attached flatbed scanner, minimum 600 DPI, TWAIN-compatible</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Camera</w:t>
            </w:r>
          </w:p>
        </w:tc>
        <w:tc>
          <w:tcPr>
            <w:tcW w:type="dxa" w:w="6400"/>
            <w:shd w:color="F4F6F9" w:val="clear"/>
            <w:vAlign w:val="top"/>
          </w:tcPr>
          <w:p>
            <w:pPr>
              <w:spacing w:after="80" w:before="80"/>
              <w:ind w:left="100"/>
            </w:pPr>
            <w:r>
              <w:rPr>
                <w:b w:val="false"/>
                <w:bCs w:val="false"/>
                <w:color w:val="0D1B2A"/>
                <w:sz w:val="18"/>
                <w:szCs w:val="18"/>
              </w:rPr>
              <w:t xml:space="preserve">Minimum 1080p, 30 fps; USB or IP camera for live face capture and liveness</w:t>
            </w:r>
          </w:p>
        </w:tc>
      </w:tr>
      <w:tr>
        <w:trPr>
          <w:tblHeader w:val="false"/>
        </w:trPr>
        <w:tc>
          <w:tcPr>
            <w:tcW w:type="dxa" w:w="2600"/>
            <w:shd/>
            <w:vAlign w:val="top"/>
          </w:tcPr>
          <w:p>
            <w:pPr>
              <w:spacing w:after="80" w:before="80"/>
              <w:ind w:left="100"/>
            </w:pPr>
            <w:r>
              <w:rPr>
                <w:b w:val="false"/>
                <w:bCs w:val="false"/>
                <w:color w:val="0D1B2A"/>
                <w:sz w:val="18"/>
                <w:szCs w:val="18"/>
              </w:rPr>
              <w:t xml:space="preserve">Network</w:t>
            </w:r>
          </w:p>
        </w:tc>
        <w:tc>
          <w:tcPr>
            <w:tcW w:type="dxa" w:w="6400"/>
            <w:shd/>
            <w:vAlign w:val="top"/>
          </w:tcPr>
          <w:p>
            <w:pPr>
              <w:spacing w:after="80" w:before="80"/>
              <w:ind w:left="100"/>
            </w:pPr>
            <w:r>
              <w:rPr>
                <w:b w:val="false"/>
                <w:bCs w:val="false"/>
                <w:color w:val="0D1B2A"/>
                <w:sz w:val="18"/>
                <w:szCs w:val="18"/>
              </w:rPr>
              <w:t xml:space="preserve">Local LAN between scanner/camera, GPU server, and officer workstation; external connectivity not required for operation</w:t>
            </w:r>
          </w:p>
        </w:tc>
      </w:tr>
      <w:tr>
        <w:trPr>
          <w:tblHeader w:val="false"/>
        </w:trPr>
        <w:tc>
          <w:tcPr>
            <w:tcW w:type="dxa" w:w="2600"/>
            <w:shd w:color="F4F6F9" w:val="clear"/>
            <w:vAlign w:val="top"/>
          </w:tcPr>
          <w:p>
            <w:pPr>
              <w:spacing w:after="80" w:before="80"/>
              <w:ind w:left="100"/>
            </w:pPr>
            <w:r>
              <w:rPr>
                <w:b w:val="false"/>
                <w:bCs w:val="false"/>
                <w:color w:val="0D1B2A"/>
                <w:sz w:val="18"/>
                <w:szCs w:val="18"/>
              </w:rPr>
              <w:t xml:space="preserve">Synchronisation</w:t>
            </w:r>
          </w:p>
        </w:tc>
        <w:tc>
          <w:tcPr>
            <w:tcW w:type="dxa" w:w="6400"/>
            <w:shd w:color="F4F6F9" w:val="clear"/>
            <w:vAlign w:val="top"/>
          </w:tcPr>
          <w:p>
            <w:pPr>
              <w:spacing w:after="80" w:before="80"/>
              <w:ind w:left="100"/>
            </w:pPr>
            <w:r>
              <w:rPr>
                <w:b w:val="false"/>
                <w:bCs w:val="false"/>
                <w:color w:val="0D1B2A"/>
                <w:sz w:val="18"/>
                <w:szCs w:val="18"/>
              </w:rPr>
              <w:t xml:space="preserve">Encrypted HTTPS/TLS 1.3 connection to Central Command for watchlist delta updates; operates on schedule, not in real time</w:t>
            </w:r>
          </w:p>
        </w:tc>
      </w:tr>
      <w:tr>
        <w:trPr>
          <w:tblHeader w:val="false"/>
        </w:trPr>
        <w:tc>
          <w:tcPr>
            <w:tcW w:type="dxa" w:w="2600"/>
            <w:shd/>
            <w:vAlign w:val="top"/>
          </w:tcPr>
          <w:p>
            <w:pPr>
              <w:spacing w:after="80" w:before="80"/>
              <w:ind w:left="100"/>
            </w:pPr>
            <w:r>
              <w:rPr>
                <w:b w:val="false"/>
                <w:bCs w:val="false"/>
                <w:color w:val="0D1B2A"/>
                <w:sz w:val="18"/>
                <w:szCs w:val="18"/>
              </w:rPr>
              <w:t xml:space="preserve">Power</w:t>
            </w:r>
          </w:p>
        </w:tc>
        <w:tc>
          <w:tcPr>
            <w:tcW w:type="dxa" w:w="6400"/>
            <w:shd/>
            <w:vAlign w:val="top"/>
          </w:tcPr>
          <w:p>
            <w:pPr>
              <w:spacing w:after="80" w:before="80"/>
              <w:ind w:left="100"/>
            </w:pPr>
            <w:r>
              <w:rPr>
                <w:b w:val="false"/>
                <w:bCs w:val="false"/>
                <w:color w:val="0D1B2A"/>
                <w:sz w:val="18"/>
                <w:szCs w:val="18"/>
              </w:rPr>
              <w:t xml:space="preserve">UPS-backed checkpoint electrical supply; system must tolerate sudden power loss without data corruption</w:t>
            </w:r>
          </w:p>
        </w:tc>
      </w:tr>
    </w:tbl>
    <w:p>
      <w:pPr>
        <w:pStyle w:val="Heading2"/>
        <w:spacing w:after="160" w:before="360"/>
      </w:pPr>
      <w:r>
        <w:t xml:space="preserve">2.5  Design and Implementation Constraints</w:t>
      </w:r>
    </w:p>
    <w:p>
      <w:pPr>
        <w:spacing w:after="140"/>
      </w:pPr>
      <w:r>
        <w:t xml:space="preserve">The following constraints are imposed externally and must be respected by all implementation decisions:</w:t>
      </w:r>
    </w:p>
    <w:p>
      <w:pPr>
        <w:pStyle w:val="ListParagraph"/>
        <w:numPr>
          <w:ilvl w:val="0"/>
          <w:numId w:val="1"/>
        </w:numPr>
        <w:spacing w:after="80"/>
        <w:ind w:left="720" w:hanging="360"/>
      </w:pPr>
      <w:r>
        <w:t xml:space="preserve">CONSTRAINT-01: No third-party cloud API may be used for OCR, face recognition, or any document image processing. All AI inference is on-premise.</w:t>
      </w:r>
    </w:p>
    <w:p>
      <w:pPr>
        <w:pStyle w:val="ListParagraph"/>
        <w:numPr>
          <w:ilvl w:val="0"/>
          <w:numId w:val="1"/>
        </w:numPr>
        <w:spacing w:after="80"/>
        <w:ind w:left="720" w:hanging="360"/>
      </w:pPr>
      <w:r>
        <w:t xml:space="preserve">CONSTRAINT-02: Biometric data (face embeddings, document photographs) must not be transmitted outside the checkpoint's local network perimeter except as explicitly required by the Central Command synchronisation protocol.</w:t>
      </w:r>
    </w:p>
    <w:p>
      <w:pPr>
        <w:pStyle w:val="ListParagraph"/>
        <w:numPr>
          <w:ilvl w:val="0"/>
          <w:numId w:val="1"/>
        </w:numPr>
        <w:spacing w:after="80"/>
        <w:ind w:left="720" w:hanging="360"/>
      </w:pPr>
      <w:r>
        <w:t xml:space="preserve">CONSTRAINT-03: The system shall be deployed using Docker containers. No dependency shall require installation directly on the host OS outside Docker.</w:t>
      </w:r>
    </w:p>
    <w:p>
      <w:pPr>
        <w:pStyle w:val="ListParagraph"/>
        <w:numPr>
          <w:ilvl w:val="0"/>
          <w:numId w:val="1"/>
        </w:numPr>
        <w:spacing w:after="80"/>
        <w:ind w:left="720" w:hanging="360"/>
      </w:pPr>
      <w:r>
        <w:t xml:space="preserve">CONSTRAINT-04: The audit trail database shall be append-only. No user role, including System Administrator, may delete or modify an existing audit record.</w:t>
      </w:r>
    </w:p>
    <w:p>
      <w:pPr>
        <w:pStyle w:val="ListParagraph"/>
        <w:numPr>
          <w:ilvl w:val="0"/>
          <w:numId w:val="1"/>
        </w:numPr>
        <w:spacing w:after="80"/>
        <w:ind w:left="720" w:hanging="360"/>
      </w:pPr>
      <w:r>
        <w:t xml:space="preserve">CONSTRAINT-05: The watchlist lookup mechanism shall use SHA-256 hashed identifiers so that the local node never stores plaintext personal identity data beyond the active session.</w:t>
      </w:r>
    </w:p>
    <w:p>
      <w:pPr>
        <w:pStyle w:val="ListParagraph"/>
        <w:numPr>
          <w:ilvl w:val="0"/>
          <w:numId w:val="1"/>
        </w:numPr>
        <w:spacing w:after="80"/>
        <w:ind w:left="720" w:hanging="360"/>
      </w:pPr>
      <w:r>
        <w:t xml:space="preserve">CONSTRAINT-06: The system shall be operable in an offline-first mode. All OCR, validation, and face verification fast-path operations shall function without external network access.</w:t>
      </w:r>
    </w:p>
    <w:p>
      <w:pPr>
        <w:pStyle w:val="ListParagraph"/>
        <w:numPr>
          <w:ilvl w:val="0"/>
          <w:numId w:val="1"/>
        </w:numPr>
        <w:spacing w:after="80"/>
        <w:ind w:left="720" w:hanging="360"/>
      </w:pPr>
      <w:r>
        <w:t xml:space="preserve">CONSTRAINT-07: The frontend interface shall be accessible via any modern browser without requiring installation of additional software on the officer workstation.</w:t>
      </w:r>
    </w:p>
    <w:p>
      <w:pPr>
        <w:pStyle w:val="ListParagraph"/>
        <w:numPr>
          <w:ilvl w:val="0"/>
          <w:numId w:val="1"/>
        </w:numPr>
        <w:spacing w:after="80"/>
        <w:ind w:left="720" w:hanging="360"/>
      </w:pPr>
      <w:r>
        <w:t xml:space="preserve">CONSTRAINT-08: The system shall log every query to the watchlist database in the audit trail, even when no match is returned.</w:t>
      </w:r>
    </w:p>
    <w:p>
      <w:pPr>
        <w:pStyle w:val="ListParagraph"/>
        <w:numPr>
          <w:ilvl w:val="0"/>
          <w:numId w:val="1"/>
        </w:numPr>
        <w:spacing w:after="80"/>
        <w:ind w:left="720" w:hanging="360"/>
      </w:pPr>
      <w:r>
        <w:t xml:space="preserve">CONSTRAINT-09: All cryptographic operations shall use algorithms approved under the Government of India's National Cyber Security Policy framework (AES-256 for symmetric encryption; SHA-256 or higher for hashing; TLS 1.3 for transport).</w:t>
      </w:r>
    </w:p>
    <w:p>
      <w:pPr>
        <w:pStyle w:val="Heading2"/>
        <w:spacing w:after="160" w:before="360"/>
      </w:pPr>
      <w:r>
        <w:t xml:space="preserve">2.6  Assumptions and Dependencies</w:t>
      </w:r>
    </w:p>
    <w:p>
      <w:pPr>
        <w:spacing w:after="140"/>
      </w:pPr>
      <w:r>
        <w:rPr>
          <w:b/>
          <w:bCs/>
          <w:color w:val="0D1B2A"/>
        </w:rPr>
        <w:t xml:space="preserve">Assumptions:</w:t>
      </w:r>
    </w:p>
    <w:p>
      <w:pPr>
        <w:pStyle w:val="ListParagraph"/>
        <w:numPr>
          <w:ilvl w:val="0"/>
          <w:numId w:val="1"/>
        </w:numPr>
        <w:spacing w:after="80"/>
        <w:ind w:left="720" w:hanging="360"/>
      </w:pPr>
      <w:r>
        <w:t xml:space="preserve">ASM-01: SSB checkpoint hardware meets the minimum specifications defined in Section 2.4. The development team is not responsible for hardware procurement.</w:t>
      </w:r>
    </w:p>
    <w:p>
      <w:pPr>
        <w:pStyle w:val="ListParagraph"/>
        <w:numPr>
          <w:ilvl w:val="0"/>
          <w:numId w:val="1"/>
        </w:numPr>
        <w:spacing w:after="80"/>
        <w:ind w:left="720" w:hanging="360"/>
      </w:pPr>
      <w:r>
        <w:t xml:space="preserve">ASM-02: Training datasets (MIDV-500, MIDV-2020, CASIA-ITDE, MS1MV3) are accessible under their respective academic licences for the duration of the project.</w:t>
      </w:r>
    </w:p>
    <w:p>
      <w:pPr>
        <w:pStyle w:val="ListParagraph"/>
        <w:numPr>
          <w:ilvl w:val="0"/>
          <w:numId w:val="1"/>
        </w:numPr>
        <w:spacing w:after="80"/>
        <w:ind w:left="720" w:hanging="360"/>
      </w:pPr>
      <w:r>
        <w:t xml:space="preserve">ASM-03: Synthetic tampered documents generated for training do not use real individual's identity data.</w:t>
      </w:r>
    </w:p>
    <w:p>
      <w:pPr>
        <w:pStyle w:val="ListParagraph"/>
        <w:numPr>
          <w:ilvl w:val="0"/>
          <w:numId w:val="1"/>
        </w:numPr>
        <w:spacing w:after="80"/>
        <w:ind w:left="720" w:hanging="360"/>
      </w:pPr>
      <w:r>
        <w:t xml:space="preserve">ASM-04: Officers will receive a minimum 2-hour system training session before using the AIDSS in a live checkpoint environment.</w:t>
      </w:r>
    </w:p>
    <w:p>
      <w:pPr>
        <w:pStyle w:val="ListParagraph"/>
        <w:numPr>
          <w:ilvl w:val="0"/>
          <w:numId w:val="1"/>
        </w:numPr>
        <w:spacing w:after="80"/>
        <w:ind w:left="720" w:hanging="360"/>
      </w:pPr>
      <w:r>
        <w:t xml:space="preserve">ASM-05: A minimum of one NVIDIA-capable GPU server is available at each checkpoint deployment site.</w:t>
      </w:r>
    </w:p>
    <w:p>
      <w:pPr>
        <w:spacing w:after="140"/>
      </w:pPr>
      <w:r>
        <w:rPr>
          <w:b/>
          <w:bCs/>
          <w:color w:val="0D1B2A"/>
        </w:rPr>
        <w:t xml:space="preserve">Dependencies:</w:t>
      </w:r>
    </w:p>
    <w:p>
      <w:pPr>
        <w:pStyle w:val="ListParagraph"/>
        <w:numPr>
          <w:ilvl w:val="0"/>
          <w:numId w:val="1"/>
        </w:numPr>
        <w:spacing w:after="80"/>
        <w:ind w:left="720" w:hanging="360"/>
      </w:pPr>
      <w:r>
        <w:t xml:space="preserve">DEP-01: PaddleOCR PP-OCRv4 (paddleocr==2.7.3) must support the document languages encountered at the deployed border crossing.</w:t>
      </w:r>
    </w:p>
    <w:p>
      <w:pPr>
        <w:pStyle w:val="ListParagraph"/>
        <w:numPr>
          <w:ilvl w:val="0"/>
          <w:numId w:val="1"/>
        </w:numPr>
        <w:spacing w:after="80"/>
        <w:ind w:left="720" w:hanging="360"/>
      </w:pPr>
      <w:r>
        <w:t xml:space="preserve">DEP-02: InsightFace buffalo_l model weights are available for download from the official InsightFace repository at build time.</w:t>
      </w:r>
    </w:p>
    <w:p>
      <w:pPr>
        <w:pStyle w:val="ListParagraph"/>
        <w:numPr>
          <w:ilvl w:val="0"/>
          <w:numId w:val="1"/>
        </w:numPr>
        <w:spacing w:after="80"/>
        <w:ind w:left="720" w:hanging="360"/>
      </w:pPr>
      <w:r>
        <w:t xml:space="preserve">DEP-03: Redis 7.2 is available as a Docker container image from the official Docker Hub mirror accessible within the deployment network.</w:t>
      </w:r>
    </w:p>
    <w:p>
      <w:pPr>
        <w:pStyle w:val="ListParagraph"/>
        <w:numPr>
          <w:ilvl w:val="0"/>
          <w:numId w:val="1"/>
        </w:numPr>
        <w:spacing w:after="80"/>
        <w:ind w:left="720" w:hanging="360"/>
      </w:pPr>
      <w:r>
        <w:t xml:space="preserve">DEP-04: Central Command provides a documented API for watchlist delta synchronisation. If this API is unavailable, the system shall continue operating with the last-successfully-synced watchlist version.</w:t>
      </w:r>
    </w:p>
    <w:p>
      <w:r>
        <w:br w:type="page"/>
      </w:r>
    </w:p>
    <w:p>
      <w:pPr>
        <w:pStyle w:val="Heading1"/>
        <w:spacing w:after="200" w:before="560"/>
      </w:pPr>
      <w:r>
        <w:t xml:space="preserve">3. Functional Requirements</w:t>
      </w:r>
    </w:p>
    <w:p>
      <w:pPr>
        <w:pBdr>
          <w:bottom w:val="single" w:color="2E86AB" w:sz="8"/>
        </w:pBdr>
        <w:spacing w:after="200" w:before="160"/>
      </w:pPr>
    </w:p>
    <w:p>
      <w:pPr>
        <w:spacing w:after="140"/>
      </w:pPr>
      <w:r>
        <w:t xml:space="preserve">Requirements are labelled with the following priority scheme: </w:t>
      </w:r>
      <w:r>
        <w:rPr>
          <w:b/>
          <w:bCs/>
          <w:color w:val="B71C1C"/>
        </w:rPr>
        <w:t xml:space="preserve">[Must Have]</w:t>
      </w:r>
      <w:r>
        <w:t xml:space="preserve"> — mandatory for system acceptance; </w:t>
      </w:r>
      <w:r>
        <w:rPr>
          <w:b/>
          <w:bCs/>
          <w:color w:val="7D4600"/>
        </w:rPr>
        <w:t xml:space="preserve">[Should Have]</w:t>
      </w:r>
      <w:r>
        <w:t xml:space="preserve"> — required for operational effectiveness; </w:t>
      </w:r>
      <w:r>
        <w:rPr>
          <w:b/>
          <w:bCs/>
          <w:color w:val="1A5276"/>
        </w:rPr>
        <w:t xml:space="preserve">[Nice to Have]</w:t>
      </w:r>
      <w:r>
        <w:t xml:space="preserve"> — desirable for enhanced capability.</w:t>
      </w:r>
    </w:p>
    <w:p>
      <w:pPr>
        <w:spacing w:after="140"/>
      </w:pPr>
      <w:r>
        <w:t xml:space="preserve">Each requirement carries a unique identifier, a testable description, input/output specification, and a measurable acceptance criterion against which test cases shall be written.</w:t>
      </w:r>
    </w:p>
    <w:p>
      <w:pPr>
        <w:pStyle w:val="Heading2"/>
        <w:spacing w:after="160" w:before="360"/>
      </w:pPr>
      <w:r>
        <w:t xml:space="preserve">3.1  Module 1 — OCR Extraction (FR-OCR)</w:t>
      </w: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FR-OCR-01</w:t>
      </w:r>
      <w:r>
        <w:t xml:space="preserve">  </w:t>
      </w:r>
      <w:r>
        <w:rPr>
          <w:b/>
          <w:bCs/>
          <w:sz w:val="20"/>
          <w:szCs w:val="20"/>
        </w:rPr>
        <w:t xml:space="preserve">Document Type Classification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automatically classify the document type from the submitted image using a MobileNetV3 ONNX classifier. Supported types: PASSPORT_TD3, PASSPORT_TD2, VISA, NATIONAL_ID_AADHAAR, DRIVING_LICENCE, PERMIT_GENERAL. Classification must occur within 500 ms of image receipt, entirely on-device without any network call.</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Pre-processed colour document image in JPEG or PNG format, minimum 200 DPI effective resolution</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JSON object: { "document_type": string, "classification_confidence": float [0.0–1.0]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Given a test set of 500 images (100 per type, including 50 degraded-quality per type), top-1 classification accuracy ≥ 95%. Classification latency ≤ 500 ms on reference hardware (Intel Core i7 12th gen, 16 GB RAM).</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FR-OCR-02</w:t>
      </w:r>
      <w:r>
        <w:t xml:space="preserve">  </w:t>
      </w:r>
      <w:r>
        <w:rPr>
          <w:b/>
          <w:bCs/>
          <w:sz w:val="20"/>
          <w:szCs w:val="20"/>
        </w:rPr>
        <w:t xml:space="preserve">Passport Visual Inspection Zone (VIZ) Extraction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extract the following structured fields from the VIZ of a TD3 passport using PaddleOCR PP-OCRv4: surname, given names, nationality, date of birth (YYYY-MM-DD), sex, place of birth (if present), date of issue, date of expiry, document number, issuing authority. Each field shall have an associated character-level confidence score.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Pre-processed rectified passport image; document_type confirmed as PASSPORT_TD3</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JSON object containing each named field as a key with sub-fields { "value": string, "confidence": float [0.0–1.0]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200 passport images (including 40 with minor degradation such as laminate glare and ink fade): field-level CER ≤ 3% on surname, document number, and expiry date fields. Fields with confidence &lt; 0.60 shall be flagged for officer review rather than treated as extraction failures.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FR-OCR-03</w:t>
      </w:r>
      <w:r>
        <w:t xml:space="preserve">  </w:t>
      </w:r>
      <w:r>
        <w:rPr>
          <w:b/>
          <w:bCs/>
          <w:sz w:val="20"/>
          <w:szCs w:val="20"/>
        </w:rPr>
        <w:t xml:space="preserve">Visa Data Extraction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extract the following fields from visa documents: visa number, visa type (Tourist/Business/Transit/Student), issuing country, issue date, expiry date, number of entries permitted, maximum stay duration, holder name. Fields whose format does not conform to the issuing country's known visa template shall be flagged.</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Pre-processed visa sticker or separate visa document image; document_type confirmed as VISA</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Structured JSON with per-field values and confidence scores; array of format_violation flags</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100 visa images: CER ≤ 5% on visa number and date fields. At least 80% of intentionally introduced format violations (e.g. invalid entry code) are flagged.</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FR-OCR-04</w:t>
      </w:r>
      <w:r>
        <w:t xml:space="preserve">  </w:t>
      </w:r>
      <w:r>
        <w:rPr>
          <w:b/>
          <w:bCs/>
          <w:sz w:val="20"/>
          <w:szCs w:val="20"/>
        </w:rPr>
        <w:t xml:space="preserve">National Identity Document Extraction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extract key fields from Indian Aadhaar cards and equivalent national identity documents from Nepal, Bhutan, Bangladesh, and Myanmar: full name, date of birth, gender, address (if printed), identification number, issuing authority. For Aadhaar, the 12-digit UID shall be validated against the Verhoeff check digit algorithm.</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Pre-processed national ID image; document_type confirmed as NATIONAL_ID_AADHAAR or equivalent</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Structured JSON with per-field values, confidence scores, and Aadhaar check digit pass/fail result</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150 national ID images from the five specified countries: CER ≤ 5%. Verhoeff check digit validation correctly identifies 100% of deliberately invalidated test UIDs.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FR-OCR-05</w:t>
      </w:r>
      <w:r>
        <w:t xml:space="preserve">  </w:t>
      </w:r>
      <w:r>
        <w:rPr>
          <w:b/>
          <w:bCs/>
          <w:sz w:val="20"/>
          <w:szCs w:val="20"/>
        </w:rPr>
        <w:t xml:space="preserve">Driving Licence and Permit Extraction</w:t>
      </w:r>
      <w:r>
        <w:t xml:space="preserve">    </w:t>
      </w:r>
      <w:r>
        <w:rPr>
          <w:b/>
          <w:bCs/>
          <w:color w:val="7D4600"/>
          <w:sz w:val="18"/>
          <w:szCs w:val="18"/>
        </w:rPr>
        <w:t xml:space="preserve">[Should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extract the following fields from Indian driving licences and border permit documents: licence/permit number, holder name, date of birth, issuing authority (RTO / district authority), issue date, expiry date, vehicle/permit category. The system shall handle both Devanagari and Roman script fields on the same document via PaddleOCR multi-language mode.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Pre-processed driving licence or permit document image</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Structured JSON with per-field values and confidence scores; multi-script field values rendered in Unicode</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100 documents: CER ≤ 8% on licence number and name fields. Mixed-script fields correctly detected in ≥ 90% of cases.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FR-OCR-06</w:t>
      </w:r>
      <w:r>
        <w:t xml:space="preserve">  </w:t>
      </w:r>
      <w:r>
        <w:rPr>
          <w:b/>
          <w:bCs/>
          <w:sz w:val="20"/>
          <w:szCs w:val="20"/>
        </w:rPr>
        <w:t xml:space="preserve">MRZ Detection and Zone Isolation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detect the MRZ zone on any submitted travel document and isolate it as a separate image crop for downstream parsing. Detection must succeed even when the document is tilted up to ±10° from horizontal, partially obscured at the edges (up to 10% crop loss), or has JPEG compression artefacts at Q &lt; 70.</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Pre-processed document image (any supported type); document_type confirmed as PASSPORT_TD3, PASSPORT_TD2, or VISA</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Cropped MRZ image region; bounding box coordinates in pixel space; detection confidence score</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300 passport images (including 60 with deliberate degradation): MRZ zone detected in ≥ 98% of cases. False positive MRZ detections (zone identified on non-MRZ region) ≤ 1%.</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FR-OCR-07</w:t>
      </w:r>
      <w:r>
        <w:t xml:space="preserve">  </w:t>
      </w:r>
      <w:r>
        <w:rPr>
          <w:b/>
          <w:bCs/>
          <w:sz w:val="20"/>
          <w:szCs w:val="20"/>
        </w:rPr>
        <w:t xml:space="preserve">MRZ Parsing — TD1, TD2, TD3 Format Support</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parse MRZ data from all three ICAO 9303-defined travel document formats: TD1 (3 lines × 30 characters, identity cards), TD2 (2 lines × 36 characters, passport-format cards), and TD3 (2 lines × 44 characters, standard passports). Parsing shall extract: document type code, issuing state code, document number, date of birth, sex, date of expiry, nationality, optional data fields, and all primary/composite check digit values.</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Isolated MRZ image crop from FR-OCR-06; known TD format (1/2/3)</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Parsed MRZ record: { "format": "TD3" | "TD2" | "TD1", "fields": { [field_name]: { "raw": string, "parsed": string, "check_digit_provided": string } }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200 MRZ images (covering all three formats): per-character recognition accuracy ≥ 99.0% on clean images; ≥ 97.0% on degraded (Q ≤ 70 JPEG) images. Format identification correct in 100% of test cases.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FR-OCR-08</w:t>
      </w:r>
      <w:r>
        <w:t xml:space="preserve">  </w:t>
      </w:r>
      <w:r>
        <w:rPr>
          <w:b/>
          <w:bCs/>
          <w:sz w:val="20"/>
          <w:szCs w:val="20"/>
        </w:rPr>
        <w:t xml:space="preserve">ICAO 9303 MRZ Checksum Validation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independently compute and verify all ICAO 9303-defined check digits present in the parsed MRZ. For TD3 passports, this includes: (1) check digit on document number [positions 29 of line 1]; (2) check digit on date of birth [position 30 of line 2]; (3) check digit on expiry date [position 37 of line 2]; (4) check digit on optional data [position 43 of line 2]; (5) composite check digit [positions 1–10, 14–20, 22–43 of line 2]; and equivalent fields for TD1 and TD2. The weighted modulo-10 algorithm per ICAO 9303 Section 4.9 shall be implemented independently — not derived from a third-party library — to allow auditability. Each check digit shall return a pass/fail result with the computed value and the provided value.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Parsed MRZ record from FR-OCR-07</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Checksum validation report: { "total_checks": int, "passed": int, "results": [ { "field": string, "provided": string, "computed": string, "pass": bool } ]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Given a test set of 100 passports with deliberately invalidated check digits (one per test case): system correctly identifies all 100 failures. Given 100 unmodified valid passports: system returns all-pass with zero false failures.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FR-OCR-09</w:t>
      </w:r>
      <w:r>
        <w:t xml:space="preserve">  </w:t>
      </w:r>
      <w:r>
        <w:rPr>
          <w:b/>
          <w:bCs/>
          <w:sz w:val="20"/>
          <w:szCs w:val="20"/>
        </w:rPr>
        <w:t xml:space="preserve">VIZ–MRZ Cross-Validation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compare fields that appear in both the VIZ (visible zone) and the MRZ and report any discrepancy. Compared fields: surname, given names, date of birth, document number, nationality, date of expiry, sex. Discrepancy reporting shall use Levenshtein edit distance — differences ≤ 1 character shall be flagged as WARNING (possible OCR error); differences &gt; 1 character shall be flagged as CONFLICT (possible tampering). A CONFLICT on date of birth, document number, or expiry date shall automatically contribute a high-weight evidence mass to the tampering detection module.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VIZ extraction output (FR-OCR-02) and MRZ parsed record (FR-OCR-07)</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Cross-validation report: { "fields_compared": int, "discrepancies": [ { "field": string, "viz_value": string, "mrz_value": string, "edit_distance": int, "severity": "WARNING" | "CONFLICT" } ]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50 documents with deliberate VIZ–MRZ conflicts (planted discrepancies on DOB and document number): all 50 CONFLICT flags triggered. On 200 genuine documents: VIZ–MRZ WARNING rate ≤ 5% (attributable to OCR variation, not false tampering signals).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FR-OCR-10</w:t>
      </w:r>
      <w:r>
        <w:t xml:space="preserve">  </w:t>
      </w:r>
      <w:r>
        <w:rPr>
          <w:b/>
          <w:bCs/>
          <w:sz w:val="20"/>
          <w:szCs w:val="20"/>
        </w:rPr>
        <w:t xml:space="preserve">Handwriting Recognition for Permit Documents</w:t>
      </w:r>
      <w:r>
        <w:t xml:space="preserve">    </w:t>
      </w:r>
      <w:r>
        <w:rPr>
          <w:b/>
          <w:bCs/>
          <w:color w:val="7D4600"/>
          <w:sz w:val="18"/>
          <w:szCs w:val="18"/>
        </w:rPr>
        <w:t xml:space="preserve">[Should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For permit documents that contain handwritten entries (name, destination, authorising officer signature), the system shall invoke TrOCR (microsoft/trocr-base-handwritten) to extract text content. Handwritten fields shall be separately labelled in the output with a HANDWRITTEN flag and shall carry lower baseline confidence (the minimum confidence threshold for handwritten fields is 0.50, compared to 0.70 for printed fields).</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Pre-processed permit document image with at least one region classified as handwritten by layout analysis</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Handwritten field extractions appended to standard OCR output with { "value": string, "confidence": float, "method": "HANDWRITING_TROCR" } annotation</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50 permit documents with handwritten name fields: CER ≤ 15% for handwritten text. The HANDWRITING_TROCR flag is present in 100% of cases where handwriting is present.</w:t>
            </w:r>
          </w:p>
        </w:tc>
      </w:tr>
    </w:tbl>
    <w:p>
      <w:pPr>
        <w:spacing w:after="120"/>
      </w:pPr>
    </w:p>
    <w:p>
      <w:pPr>
        <w:pStyle w:val="Heading2"/>
        <w:spacing w:after="160" w:before="360"/>
      </w:pPr>
      <w:r>
        <w:t xml:space="preserve">3.2  Module 2 — Document Validation (FR-VAL)</w:t>
      </w: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FR-VAL-01</w:t>
      </w:r>
      <w:r>
        <w:t xml:space="preserve">  </w:t>
      </w:r>
      <w:r>
        <w:rPr>
          <w:b/>
          <w:bCs/>
          <w:sz w:val="20"/>
          <w:szCs w:val="20"/>
        </w:rPr>
        <w:t xml:space="preserve">Field Format Validation via Rule Engine</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validate each extracted field against document-type-specific format rules loaded from a versioned JSON configuration file. Rules shall include: regular expression patterns for document numbers and dates; allowed value sets for nationality codes (ISO 3166-1 alpha-3), gender codes {M, F, X, &lt;}, and document type codes; cross-field constraints (e.g. date of issue must precede date of expiry; date of birth must precede date of issue). Rule files shall be hot-reloadable without system restart.</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Structured OCR output; rule configuration file version identifier</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Validation report: { "rule_version": string, "fields_evaluated": int, "violations": [ { "field": string, "rule_id": string, "provided_value": string, "violation_description": string } ]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100 documents with 200 planted format violations: ≥ 95% of violations detected. Zero false-positive violations on a test set of 200 correctly formatted documents. Hot-reload of a modified rule file takes effect within 5 seconds without service restart.</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FR-VAL-02</w:t>
      </w:r>
      <w:r>
        <w:t xml:space="preserve">  </w:t>
      </w:r>
      <w:r>
        <w:rPr>
          <w:b/>
          <w:bCs/>
          <w:sz w:val="20"/>
          <w:szCs w:val="20"/>
        </w:rPr>
        <w:t xml:space="preserve">Document Expiry Status Determination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determine the expiry status of every document with an expiry date field. The determination shall be made against UTC time obtained from the NTP-synchronised system clock. Three statuses are defined: VALID (expiry date is more than 180 days in the future); NEAR_EXPIRY (expiry date is between 1 and 180 days in the future — flagged as WARNING, not a risk contributor); EXPIRED (expiry date is in the past — flagged as FAIL, contributes medium risk mass to the scoring engine). Timezone handling: MRZ expiry dates are in local issuing country date format (YYMMDD) and shall be parsed accordingly.</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Parsed expiry date field (YYMMDD or YYYY-MM-DD); system UTC time</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Expiry status: { "status": "VALID" | "NEAR_EXPIRY" | "EXPIRED", "days_until_expiry": int, "expiry_date_utc": string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Given 100 test documents with dates spanning VALID, NEAR_EXPIRY, and EXPIRED ranges: status classification correct in 100% of cases. System handles year 2000/2100 rollover in YYMMDD format per ICAO 9303 Section 4.3 (year ≥ 60 → 19xx; year &lt; 60 → 20xx).</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FR-VAL-03</w:t>
      </w:r>
      <w:r>
        <w:t xml:space="preserve">  </w:t>
      </w:r>
      <w:r>
        <w:rPr>
          <w:b/>
          <w:bCs/>
          <w:sz w:val="20"/>
          <w:szCs w:val="20"/>
        </w:rPr>
        <w:t xml:space="preserve">Nationality and Issuing Authority Code Validation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validate: (a) nationality codes against the ISO 3166-1 alpha-3 standard code list; (b) issuing state codes in the MRZ against the ICAO 3-letter country/territory code list (which differs from ISO 3166-1 for some entries, e.g. "D" for Germany, "GBR" for United Kingdom); (c) issuing authority names against the country-specific known issuing authority register where available. Invalid or unrecognised codes shall be flagged as format violations.</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Nationality field, issuing state field from MRZ and VIZ; ICAO country code list (embedded, versioned)</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Code validation results: per-field { "provided_code": string, "valid": bool, "matched_country": string | null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50 documents with invalid country codes (including retired codes, invented codes, and OCR-error codes): ≥ 96% correctly flagged as invalid. On 200 valid documents: zero false-positive invalid code flags.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FR-VAL-04</w:t>
      </w:r>
      <w:r>
        <w:t xml:space="preserve">  </w:t>
      </w:r>
      <w:r>
        <w:rPr>
          <w:b/>
          <w:bCs/>
          <w:sz w:val="20"/>
          <w:szCs w:val="20"/>
        </w:rPr>
        <w:t xml:space="preserve">Inter-Field Coherence Validation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validate logical coherence between related fields: (a) date of birth must be at least 0 and at most 130 years before the current date; (b) date of issue must be after date of birth; (c) date of expiry must be after date of issue; (d) for Indian passports, document number format shall match the pattern [A-Z][1-9][0-9]{6} per MEA issuance rules; (e) sex field value must be consistent across MRZ and VIZ. Each coherence failure shall be categorised as a LOGIC_VIOLATION and contribute to the document validation risk mass.</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Full structured OCR output with all date and identifier fields</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Coherence report: { "checks_performed": int, "logic_violations": [ { "check_id": string, "fields_involved": [string], "description": string } ]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60 documents with planted logic violations (age below 0, expiry before issue, incompatible sex codes): ≥ 95% detected. On 300 valid documents: ≤ 1% false-positive logic violation rate.</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FR-VAL-05</w:t>
      </w:r>
      <w:r>
        <w:t xml:space="preserve">  </w:t>
      </w:r>
      <w:r>
        <w:rPr>
          <w:b/>
          <w:bCs/>
          <w:sz w:val="20"/>
          <w:szCs w:val="20"/>
        </w:rPr>
        <w:t xml:space="preserve">Blacklist and Watchlist Lookup</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query the watchlist database for every processed document. The query shall be performed on SHA-256 hashed document number, SHA-256 hashed full name (normalised to uppercase, diacritics stripped), and the ArcFace face embedding vector against the watchlist embedding index (approximate nearest-neighbour via FAISS). Any match on document number or name hash returns an immediate WATCHLIST_MATCH result. A face embedding distance below threshold 0.35 from a watchlist entry returns a BIOMETRIC_SIMILARITY_FLAG. Both result types trigger an immediate CRITICAL risk band override.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Extracted document number and name (pre-hashed); ArcFace embedding from Module 4 (if available); Redis watchlist cache</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Lookup result: { "document_hash_match": bool, "name_hash_match": bool, "biometric_match": bool, "match_details": { "watchlist_entry_id": string | null, "match_type": string, "similarity_score": float | null }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100 documents where 20 have document numbers matching the test watchlist: all 20 matches returned (recall = 100%). Average lookup latency ≤ 2 ms for cache hit; ≤ 50 ms for cache miss requiring SQLite fallback.</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FR-VAL-06</w:t>
      </w:r>
      <w:r>
        <w:t xml:space="preserve">  </w:t>
      </w:r>
      <w:r>
        <w:rPr>
          <w:b/>
          <w:bCs/>
          <w:sz w:val="20"/>
          <w:szCs w:val="20"/>
        </w:rPr>
        <w:t xml:space="preserve">Validation Module DS Mass Output</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validation module shall express its aggregate output as a Dempster-Shafer mass function over the frame {GENUINE, FAKE, UNKNOWN} for consumption by the risk scoring engine. The mass function shall be derived from: number and severity of MRZ checksum failures, number and severity of format violations, expiry status, VIZ-MRZ conflict severity, and watchlist result. The mapping from violation set to mass function shall be defined in a versioned calibration configuration file.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All validation sub-module outputs from FR-VAL-01 through FR-VAL-05</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DS mass function: { "m_genuine": float, "m_fake": float, "m_unknown": float } where all three sum to 1.0 ± 0.001</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A document with all-pass validation (no violations) shall return m_genuine ≥ 0.80. A document with a WATCHLIST_MATCH shall return m_fake = 1.0. A document with one WARNING-level violation shall return m_genuine ≥ 0.60.</w:t>
            </w:r>
          </w:p>
        </w:tc>
      </w:tr>
    </w:tbl>
    <w:p>
      <w:pPr>
        <w:spacing w:after="120"/>
      </w:pPr>
    </w:p>
    <w:p>
      <w:pPr>
        <w:pStyle w:val="Heading2"/>
        <w:spacing w:after="160" w:before="360"/>
      </w:pPr>
      <w:r>
        <w:t xml:space="preserve">3.3  Module 3 — Tampering Detection (FR-TAM)</w:t>
      </w: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FR-TAM-01</w:t>
      </w:r>
      <w:r>
        <w:t xml:space="preserve">  </w:t>
      </w:r>
      <w:r>
        <w:rPr>
          <w:b/>
          <w:bCs/>
          <w:sz w:val="20"/>
          <w:szCs w:val="20"/>
        </w:rPr>
        <w:t xml:space="preserve">Error Level Analysis (ELA) for JPEG Tampering</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perform Error Level Analysis on every submitted document image that is in JPEG format. The ELA algorithm shall: (1) re-save the image at a fixed quality level of Q=90; (2) compute the absolute per-pixel difference between the re-saved image and the original; (3) normalise the error map to [0, 255]; (4) separately compute mean ELA signal within the document photograph zone and within the surrounding document body zone; (5) compute the photo-to-body ELA ratio. A ratio &gt; 3.0 shall contribute high positive evidence to the tampering mass function. A ratio ≤ 1.5 shall contribute minimal evidence.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Original JPEG document image; photo zone bounding box coordinates from document layout analysis</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ELA result: { "ela_heatmap": base64_png, "photo_zone_ela_mean": float, "body_zone_ela_mean": float, "photo_body_ratio": float, "ela_score": float [0.0–1.0]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80 documents (40 with spliced photo, 40 genuine): ELA score correctly classifies ≥ 75% at threshold 0.50. ELA processing time ≤ 150 ms per image on reference CPU hardware.</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FR-TAM-02</w:t>
      </w:r>
      <w:r>
        <w:t xml:space="preserve">  </w:t>
      </w:r>
      <w:r>
        <w:rPr>
          <w:b/>
          <w:bCs/>
          <w:sz w:val="20"/>
          <w:szCs w:val="20"/>
        </w:rPr>
        <w:t xml:space="preserve">Copy-Move Forgery Detection via DCT Block Matching</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detect copy-move forgery in document images by: (1) dividing the greyscale image into overlapping 16×16 pixel blocks with 8-pixel stride; (2) computing the 2D DCT of each block; (3) using the top 64 DCT coefficients as a feature vector; (4) lexicographically sorting feature vectors to identify near-duplicate blocks; (5) reporting the number of matched block pairs and rendering a match mask on the document. The copy-move score shall be derived from the count of matched pairs, normalised to [0.0–1.0] with saturation at 50 matched pairs.</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Pre-processed greyscale document image (minimum 200 DPI)</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Copy-move result: { "matched_pairs": int, "match_mask": base64_png, "copy_move_score": float [0.0–1.0]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60 documents (30 with stamp or text cloning, 30 genuine): ≥ 70% precision and ≥ 65% recall at score threshold 0.40. Processing time ≤ 400 ms per image on reference CPU hardware.</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FR-TAM-03</w:t>
      </w:r>
      <w:r>
        <w:t xml:space="preserve">  </w:t>
      </w:r>
      <w:r>
        <w:rPr>
          <w:b/>
          <w:bCs/>
          <w:sz w:val="20"/>
          <w:szCs w:val="20"/>
        </w:rPr>
        <w:t xml:space="preserve">Deep Forgery Localisation via MVSS-Net</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invoke the MVSS-Net (Multi-View Self-Supervised Network) model for pixel-level manipulation detection and localisation. MVSS-Net shall be run on the GPU server as a PyTorch inference call. The model shall produce a 256×256 manipulation probability mask, which shall be upsampled to the original document resolution for heatmap overlay. The binary manipulation decision (manipulated / genuine) shall be made at the operating point corresponding to precision ≥ 0.80 on the NIST MFC2019 evaluation partition. In CPU-fallback mode, this module shall be replaced by a pre-computed result cache for demonstration documents, with a "DEEP_ANALYSIS_PENDING" status flag returned to the officer UI.</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Pre-processed colour document image, normalised to 512×512 for model input</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MVSS-Net result: { "manipulation_mask": base64_png, "manipulation_score": float [0.0–1.0], "localised_regions": [ { "bbox": [x,y,w,h], "confidence": float } ], "analysis_mode": "LIVE" | "FALLBACK"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the NIST MFC2019 test partition (used as acceptance benchmark): pixel-level F1 ≥ 0.65. Image-level binary classification AUC ≥ 0.85. GPU inference time ≤ 1,500 ms per image.</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FR-TAM-04</w:t>
      </w:r>
      <w:r>
        <w:t xml:space="preserve">  </w:t>
      </w:r>
      <w:r>
        <w:rPr>
          <w:b/>
          <w:bCs/>
          <w:sz w:val="20"/>
          <w:szCs w:val="20"/>
        </w:rPr>
        <w:t xml:space="preserve">EXIF and Image Metadata Forensics</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extract and analyse all EXIF and extended metadata from submitted document images using ExifTool (via pyexiftool). The following anomalies shall be automatically flagged: (a) presence of known editing software signatures (Adobe Photoshop, GIMP, Affinity Photo, Paint.NET, Adobe Lightroom, CorelDRAW) in the "Software" metadata field; (b) file modification timestamp later than file creation timestamp by more than 60 seconds; (c) absence of camera make and model metadata in an image claimed to be a direct scanner output; (d) mismatched thumbnail and main image dimensions. Each flagged anomaly shall contribute evidence to the tampering DS mass function with a calibrated weight.</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Original document image file (any format)</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Metadata forensics result: { "software_detected": string | null, "modification_after_creation": bool, "missing_camera_metadata": bool, "thumbnail_mismatch": bool, "all_flags": [string], "metadata_score": float [0.0–1.0], "raw_exif": object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50 documents processed through Adobe Photoshop (with software metadata preserved): ≥ 95% correctly flagged. On 100 genuine scanner-captured images: metadata_score ≤ 0.10 in ≥ 90% of cases.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FR-TAM-05</w:t>
      </w:r>
      <w:r>
        <w:t xml:space="preserve">  </w:t>
      </w:r>
      <w:r>
        <w:rPr>
          <w:b/>
          <w:bCs/>
          <w:sz w:val="20"/>
          <w:szCs w:val="20"/>
        </w:rPr>
        <w:t xml:space="preserve">Illumination Consistency Analysis</w:t>
      </w:r>
      <w:r>
        <w:t xml:space="preserve">    </w:t>
      </w:r>
      <w:r>
        <w:rPr>
          <w:b/>
          <w:bCs/>
          <w:color w:val="7D4600"/>
          <w:sz w:val="18"/>
          <w:szCs w:val="18"/>
        </w:rPr>
        <w:t xml:space="preserve">[Should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estimate the dominant illumination direction on the document photograph face region and compare it against the estimated illumination on the surrounding document body using spherical harmonic (SH) decomposition of face normals obtained via the face3d library. If the angular difference between the dominant light source direction on the face versus the document body exceeds 35°, the system shall flag an ILLUMINATION_INCONSISTENCY. This method is specifically effective at detecting physically cut-and-pasted photographs where the original photo was taken under different lighting than the document scanning environment.</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Pre-processed document image; face region bounding box from FR-FAC-01</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Illumination result: { "face_sh_direction_deg": float, "body_sh_direction_deg": float, "angular_difference_deg": float, "illumination_inconsistency_flag": bool, "illumination_score": float [0.0–1.0]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40 documents with physically spliced photographs (taken under directionally different lighting): ≥ 60% correctly flagged. On 80 genuine documents: false-positive illumination inconsistency rate ≤ 15%.</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FR-TAM-06</w:t>
      </w:r>
      <w:r>
        <w:t xml:space="preserve">  </w:t>
      </w:r>
      <w:r>
        <w:rPr>
          <w:b/>
          <w:bCs/>
          <w:sz w:val="20"/>
          <w:szCs w:val="20"/>
        </w:rPr>
        <w:t xml:space="preserve">Composite Tampering Score via DS Fusion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combine the outputs of FR-TAM-01 through FR-TAM-05 into a single composite tampering score and DS mass function using the Dempster-Shafer orthogonal sum (combination rule). Each tampering detector shall be individually modelled as a DS mass function over {GENUINE, FAKE, UNKNOWN}. The UNKNOWN mass for each detector shall reflect the detector's known limitation range — for example, ELA shall assign high UNKNOWN mass on PNG-format inputs where it has no discriminative power. The final combined mass m_fake from this fusion shall be the tampering input to the risk scoring engine.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Scalar scores and format metadata from FR-TAM-01 through FR-TAM-05</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Tampering DS mass: { "m_genuine": float, "m_fake": float, "m_unknown": float, "composite_tampering_score": float [0.0–1.0], "contributing_methods": [ { "method": string, "score": float, "weight": float } ]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A document where ELA, copy-move, and MVSS-Net all return scores &gt; 0.70 shall produce composite m_fake ≥ 0.90 after DS fusion. A genuine document shall produce m_fake ≤ 0.15 in ≥ 95% of genuine test cases.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FR-TAM-07</w:t>
      </w:r>
      <w:r>
        <w:t xml:space="preserve">  </w:t>
      </w:r>
      <w:r>
        <w:rPr>
          <w:b/>
          <w:bCs/>
          <w:sz w:val="20"/>
          <w:szCs w:val="20"/>
        </w:rPr>
        <w:t xml:space="preserve">PNG and Lossless Format Handling</w:t>
      </w:r>
      <w:r>
        <w:t xml:space="preserve">    </w:t>
      </w:r>
      <w:r>
        <w:rPr>
          <w:b/>
          <w:bCs/>
          <w:color w:val="7D4600"/>
          <w:sz w:val="18"/>
          <w:szCs w:val="18"/>
        </w:rPr>
        <w:t xml:space="preserve">[Should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recognise when the submitted document image is in a lossless format (PNG, TIFF, BMP) for which ELA has no discriminative power. In such cases: the ELA module shall return ela_score = 0.0 with m_unknown = 1.0 (full uncertainty) in its DS mass function, and this shall not penalise the tampering score. The remaining four tampering methods (copy-move, MVSS-Net, EXIF, illumination) shall execute normally. The officer UI shall display a note: "ELA analysis not applicable for lossless image format."</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Document image file format identifier</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Format-aware routing of tampering pipeline with appropriate module skip and uncertainty assignment</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Given 20 genuine PNG-format document images: composite tampering score ≤ 0.20 in ≥ 85% of cases (ELA exclusion working correctly). ELA module never contributes a non-zero fake mass for PNG inputs.</w:t>
            </w:r>
          </w:p>
        </w:tc>
      </w:tr>
    </w:tbl>
    <w:p>
      <w:pPr>
        <w:spacing w:after="120"/>
      </w:pPr>
    </w:p>
    <w:p>
      <w:pPr>
        <w:pStyle w:val="Heading2"/>
        <w:spacing w:after="160" w:before="360"/>
      </w:pPr>
      <w:r>
        <w:t xml:space="preserve">3.4  Module 4 — Face Verification (FR-FAC)</w:t>
      </w: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FR-FAC-01</w:t>
      </w:r>
      <w:r>
        <w:t xml:space="preserve">  </w:t>
      </w:r>
      <w:r>
        <w:rPr>
          <w:b/>
          <w:bCs/>
          <w:sz w:val="20"/>
          <w:szCs w:val="20"/>
        </w:rPr>
        <w:t xml:space="preserve">Face Detection in Document Photograph</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detect and crop the face region from the document photograph zone using RetinaFace (InsightFace FaceAnalysis model). Detection shall succeed for faces at in-plane rotations up to ±30° and at resolutions as low as 60×60 pixels (typical for degraded passport photo scans). If no face is detected in the document photograph zone, the system shall return a FACE_NOT_DETECTED status and set face verification confidence to 0.0, contributing maximum uncertainty (m_unknown = 1.0) to the face verification DS mass.</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Cropped document photograph zone image (isolated from the bio-data page)</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Face detection result: { "face_detected": bool, "face_crop": base64_jpg | null, "landmarks_5pt": [[x,y]] | null, "detection_confidence": float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200 document photograph crops (including 40 with degradation): face detection recall ≥ 97%. On 50 document zones with no face (damaged/redacted): false-positive face detection rate ≤ 3%.</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FR-FAC-02</w:t>
      </w:r>
      <w:r>
        <w:t xml:space="preserve">  </w:t>
      </w:r>
      <w:r>
        <w:rPr>
          <w:b/>
          <w:bCs/>
          <w:sz w:val="20"/>
          <w:szCs w:val="20"/>
        </w:rPr>
        <w:t xml:space="preserve">Live Face Capture and Detection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capture the traveller's live face from the checkpoint camera feed. The camera interface shall present a live preview on the officer dashboard and capture the frame on officer command or automatically upon detecting a stable, frontal face (pose normalised: pitch ± 20°, yaw ± 30°, roll ± 15°). If the captured frame contains multiple faces, the system shall prompt the officer to re-capture with a single subject in frame.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Live camera feed at minimum 1080p, 30 fps</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Live face capture result: { "face_captured": bool, "face_crop": base64_jpg | null, "capture_quality_score": float [0.0–1.0], "multi_face_detected": bool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test set of 100 live capture simulations (including varied lighting, angles within pose limits, and 20% with minor occlusion by eyeglasses): successful capture rate ≥ 90%. Multi-face alert triggered correctly in 100% of multi-face frames.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FR-FAC-03</w:t>
      </w:r>
      <w:r>
        <w:t xml:space="preserve">  </w:t>
      </w:r>
      <w:r>
        <w:rPr>
          <w:b/>
          <w:bCs/>
          <w:sz w:val="20"/>
          <w:szCs w:val="20"/>
        </w:rPr>
        <w:t xml:space="preserve">Face Alignment and Normalisation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Prior to embedding extraction, the system shall geometrically normalise both the document face crop and the live face crop to a standard 112×112 pixel aligned face image using affine transformation based on 5-point landmark positions (eye centres, nose tip, mouth corners). Normalisation shall be performed identically for both crops to eliminate pose variation as a source of embedding distance error.</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Face crop image; 5-point landmarks from RetinaFace (FR-FAC-01 / FR-FAC-02)</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112×112 pixel aligned face image in BGR format, normalised pixel values ∈ [0.0, 1.0]</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After alignment, the eye-to-eye axis shall be within ±3° of horizontal in ≥ 98% of test images. Normalised images shall have consistent inter-pupillary distance of 60 ± 3 pixels across all aligned outputs.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FR-FAC-04</w:t>
      </w:r>
      <w:r>
        <w:t xml:space="preserve">  </w:t>
      </w:r>
      <w:r>
        <w:rPr>
          <w:b/>
          <w:bCs/>
          <w:sz w:val="20"/>
          <w:szCs w:val="20"/>
        </w:rPr>
        <w:t xml:space="preserve">ArcFace Embedding Extraction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extract a 512-dimensional L2-normalised face embedding from each aligned face image using the InsightFace ArcFace R100 model (buffalo_l). The model shall be loaded once at system startup and persist in GPU memory for the operational session. On CPU fallback (no GPU available), an INT8 ONNX-quantised version of the same model shall be used. Both GPU and CPU paths shall produce embeddings that are compatible for cosine similarity comparison.</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Aligned 112×112 face image from FR-FAC-03</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Face embedding: { "embedding": float[512], "l2_norm": float, "inference_device": "GPU" | "CPU_ONNX"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L2 norm of all output embeddings shall be 1.0 ± 0.001 (confirming normalisation). On LFW benchmark: GPU model achieves ≥ 99.5% accuracy; ONNX CPU model achieves ≥ 99.0% accuracy. Embedding extraction latency: GPU ≤ 150 ms; ONNX CPU ≤ 800 ms.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FR-FAC-05</w:t>
      </w:r>
      <w:r>
        <w:t xml:space="preserve">  </w:t>
      </w:r>
      <w:r>
        <w:rPr>
          <w:b/>
          <w:bCs/>
          <w:sz w:val="20"/>
          <w:szCs w:val="20"/>
        </w:rPr>
        <w:t xml:space="preserve">Cosine Similarity Matching and Decision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compute the cosine similarity between the document face embedding and the live face embedding. The similarity value lies in [−1, 1] where 1.0 indicates identical embeddings. The matching decision threshold shall be 0.30 (cosine distance = 1 − similarity), selected to achieve FAR ≤ 0.2% on the IJB-C benchmark. The raw similarity score shall be converted to a calibrated match probability via Platt scaling. The calibrated probability and the similarity score shall both be reported.</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Document face embedding (FR-FAC-04, document photo); live face embedding (FR-FAC-04, camera capture)</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Match result: { "cosine_similarity": float [-1.0–1.0], "cosine_distance": float, "match_decision": "MATCH" | "MISMATCH" | "UNCERTAIN", "calibrated_probability": float [0.0–1.0]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Operating at threshold cosine_distance = 0.30: system achieves FAR ≤ 0.2% and FRR ≤ 3.0% on the IJB-C evaluation partition. UNCERTAIN band (0.28–0.32 cosine distance) prompts secondary verification in the officer UI.</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FR-FAC-06</w:t>
      </w:r>
      <w:r>
        <w:t xml:space="preserve">  </w:t>
      </w:r>
      <w:r>
        <w:rPr>
          <w:b/>
          <w:bCs/>
          <w:sz w:val="20"/>
          <w:szCs w:val="20"/>
        </w:rPr>
        <w:t xml:space="preserve">Liveness Detection — Anti-Spoofing</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perform liveness detection on the live face capture using the Silent-Face anti-spoofing model (MiniFASNet, ONNX-quantised). Two sub-models at 12× and 4× scales shall both vote on the liveness determination. Possible outcomes: LIVE (both models vote live); SPOOF_SUSPECTED (one model votes spoof); SPOOF_CONFIRMED (both models vote spoof). A SPOOF_CONFIRMED result shall trigger an immediate HIGH risk override regardless of face similarity score. A SPOOF_SUSPECTED result shall trigger a CHALLENGE_REQUIRED response prompting the officer to request a randomised head movement (nod, turn left, turn right) before re-capture.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Live face capture frame from FR-FAC-02; MiniFASNet_12x.onnx and MiniFASNet_4x.onnx model weights</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Liveness result: { "liveness_status": "LIVE" | "SPOOF_SUSPECTED" | "SPOOF_CONFIRMED", "model_12x_score": float, "model_4x_score": float, "challenge_required": bool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the CASIA-SURF CeFA test partition: APCER (attack presentation classification error rate) ≤ 5%; BPCER (bona fide presentation classification error rate) ≤ 5%. Liveness inference latency ≤ 100 ms on ONNX CPU runtime.</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FR-FAC-07</w:t>
      </w:r>
      <w:r>
        <w:t xml:space="preserve">  </w:t>
      </w:r>
      <w:r>
        <w:rPr>
          <w:b/>
          <w:bCs/>
          <w:sz w:val="20"/>
          <w:szCs w:val="20"/>
        </w:rPr>
        <w:t xml:space="preserve">Low-Quality Document Photo Enhancement</w:t>
      </w:r>
      <w:r>
        <w:t xml:space="preserve">    </w:t>
      </w:r>
      <w:r>
        <w:rPr>
          <w:b/>
          <w:bCs/>
          <w:color w:val="7D4600"/>
          <w:sz w:val="18"/>
          <w:szCs w:val="18"/>
        </w:rPr>
        <w:t xml:space="preserve">[Should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When the document photograph crop has a detected quality score (IQA via BRISQUE) below 40 (out of 100), the system shall apply Real-ESRGAN 4× super-resolution upscaling before face detection and embedding extraction. The super-resolved image shall be used only for AI processing — the original image shall be stored in the audit trail. The UI shall display a note: "Document photo quality was low — super-resolution applied before analysis."</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Document photograph crop with BRISQUE quality score &lt; 40</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Super-resolved face crop (4× upscaled) for embedding extraction; BRISQUE quality scores (before and after)</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After Real-ESRGAN: RetinaFace detection succeeds on ≥ 80% of previously-failing low-quality crops. ArcFace embedding similarity between pre- and post-enhanced genuine faces ≥ 0.70 (confirming no identity-distorting artefacts introduced).</w:t>
            </w:r>
          </w:p>
        </w:tc>
      </w:tr>
    </w:tbl>
    <w:p>
      <w:pPr>
        <w:spacing w:after="120"/>
      </w:pPr>
    </w:p>
    <w:p>
      <w:pPr>
        <w:pStyle w:val="Heading2"/>
        <w:spacing w:after="160" w:before="360"/>
      </w:pPr>
      <w:r>
        <w:t xml:space="preserve">3.5  Risk Scoring Engine (FR-RSK)</w:t>
      </w: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FR-RSK-01</w:t>
      </w:r>
      <w:r>
        <w:t xml:space="preserve">  </w:t>
      </w:r>
      <w:r>
        <w:rPr>
          <w:b/>
          <w:bCs/>
          <w:sz w:val="20"/>
          <w:szCs w:val="20"/>
        </w:rPr>
        <w:t xml:space="preserve">Dempster-Shafer Evidence Fusion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combine DS mass functions from Module 2 (validation), Module 3 (tampering), and Module 4 (face verification) into a single combined mass function using the Dempster-Shafer orthogonal sum (Dempster's rule of combination). The combination shall be performed sequentially: validation ⊕ tampering → intermediate; intermediate ⊕ face verification → combined. The combined m_fake value shall be the basis for risk score computation. If the total conflict factor K ≥ 0.98 (indicating near-total inter-module conflict), the system shall fall back to a simple mean of m_fake values and log a FUSION_CONFLICT_WARNING in the audit trail.</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DS mass functions from FR-VAL-06, FR-TAM-06, and FR-FAC-05 / FR-FAC-06</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Combined DS mass: { "m_genuine": float, "m_fake": float, "m_unknown": float, "conflict_factor_K": float, "fusion_mode": "DS_COMBINATION" | "CONFLICT_FALLBACK"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When all three modules independently return m_fake ≥ 0.60: combined m_fake ≥ 0.90. When all three return m_fake ≤ 0.10: combined m_fake ≤ 0.20. The DS combination function is unit-tested against 100 analytically computed reference cases.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FR-RSK-02</w:t>
      </w:r>
      <w:r>
        <w:t xml:space="preserve">  </w:t>
      </w:r>
      <w:r>
        <w:rPr>
          <w:b/>
          <w:bCs/>
          <w:sz w:val="20"/>
          <w:szCs w:val="20"/>
        </w:rPr>
        <w:t xml:space="preserve">Platt-Scaled Risk Score Calibration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combined m_fake value shall be passed through a Platt scaling sigmoid function (parameters A and B fitted on a calibration dataset of ≥ 1,000 labelled documents) to produce a calibrated probability P(fraudulent | evidence). This probability shall be multiplied by 100 and rounded to the nearest integer to produce the final risk score [0–100]. The Platt scaling parameters shall be versioned and stored alongside the model version in the audit trail for every processed document.</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Combined m_fake from FR-RSK-01; Platt scaling parameters (A, B) from calibration</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Risk score: { "raw_m_fake": float, "calibrated_probability": float, "risk_score": int [0–100], "platt_version": string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On a held-out calibration test set of 500 documents (250 genuine, 250 tampered): Brier score ≤ 0.15. Reliability diagram (calibration curve) shows ≤ 10% deviation from perfect calibration across deciles.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FR-RSK-03</w:t>
      </w:r>
      <w:r>
        <w:t xml:space="preserve">  </w:t>
      </w:r>
      <w:r>
        <w:rPr>
          <w:b/>
          <w:bCs/>
          <w:sz w:val="20"/>
          <w:szCs w:val="20"/>
        </w:rPr>
        <w:t xml:space="preserve">Risk Band Classification and Hard Overrides</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classify the risk score into one of four bands: LOW (0–25, green), MEDIUM (26–55, amber), HIGH (56–79, red), CRITICAL (80–100, flashing red). Independently, the following conditions shall trigger a hard override directly to CRITICAL, bypassing the probabilistic score: (1) WATCHLIST_MATCH on document number hash; (2) WATCHLIST_MATCH on name hash; (3) BIOMETRIC_SIMILARITY_FLAG from watchlist face search; (4) SPOOF_CONFIRMED liveness result. Hard overrides shall be recorded with the triggering condition in the audit trail.</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Risk score from FR-RSK-02; hard override conditions from FR-VAL-05 and FR-FAC-06</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Risk classification: { "risk_score": int, "risk_band": "LOW" | "MEDIUM" | "HIGH" | "CRITICAL", "hard_override_triggered": bool, "override_reason": string | null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All four hard override conditions independently trigger CRITICAL in 100% of test cases. Risk band boundaries correct in 100% of boundary test cases (score 0, 25, 26, 55, 56, 79, 80, 100).</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FR-RSK-04</w:t>
      </w:r>
      <w:r>
        <w:t xml:space="preserve">  </w:t>
      </w:r>
      <w:r>
        <w:rPr>
          <w:b/>
          <w:bCs/>
          <w:sz w:val="20"/>
          <w:szCs w:val="20"/>
        </w:rPr>
        <w:t xml:space="preserve">SHAP Attribution Vector</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compute a SHAP-equivalent additive attribution vector that decomposes the final risk score into the contribution of each module. Six attribution values shall be computed: MRZ validation, field format validation, ELA tampering, deep forgery (MVSS-Net), face similarity, and liveness. Attribution values shall sum to the risk score ± 2 points (rounding). Negative attribution values are permitted (a module providing evidence of genuineness reduces the risk score). Attribution shall be computed using the Shapley value formula applied to the DS fusion tree.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All module outputs; DS fusion intermediate results; final risk score</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Attribution: { "mrz_validation": float, "field_validation": float, "ela_tampering": float, "deep_forgery": float, "face_similarity": float, "liveness": float, "attribution_sum": float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Absolute difference between attribution_sum and risk_score ≤ 2 points in ≥ 99% of test cases. Sign of each attribution is correct (positive for evidence of fraud, negative for evidence of genuineness) in 100% of manually verified test cases.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FR-RSK-05</w:t>
      </w:r>
      <w:r>
        <w:t xml:space="preserve">  </w:t>
      </w:r>
      <w:r>
        <w:rPr>
          <w:b/>
          <w:bCs/>
          <w:sz w:val="20"/>
          <w:szCs w:val="20"/>
        </w:rPr>
        <w:t xml:space="preserve">Plain-Language Finding Statements</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generate a set of plain-language finding statements for each processed document, drawn from a template library. Each statement shall correspond to a specific anomaly or confirmation. Examples: "MRZ check digit 3 failed — the date of birth in the machine-readable zone does not match the visible zone. This is consistent with physical alteration of the date of birth field." Statements shall be prioritised by risk contribution (highest contribution first). A maximum of 5 statements shall be shown by default, with an option to expand all. Statements shall be available in both English and Hindi.</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All module outputs; risk attribution vector from FR-RSK-04; language preference setting</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Ordered array of finding statements: [ { "finding_id": string, "text": string, "language": "EN" | "HI", "severity": "INFO" | "WARNING" | "CRITICAL" } ]</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Each distinct anomaly type has a corresponding template statement verified by a domain expert. On a test set of 30 anomalous documents: ≥ 90% of triggered anomalies produce a corresponding finding statement. Hindi translations reviewed by a native speaker for technical accuracy.</w:t>
            </w:r>
          </w:p>
        </w:tc>
      </w:tr>
    </w:tbl>
    <w:p>
      <w:pPr>
        <w:spacing w:after="120"/>
      </w:pPr>
    </w:p>
    <w:p>
      <w:pPr>
        <w:pStyle w:val="Heading2"/>
        <w:spacing w:after="160" w:before="360"/>
      </w:pPr>
      <w:r>
        <w:t xml:space="preserve">3.6  Officer Dashboard UI (FR-UI)</w:t>
      </w: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FR-UI-01</w:t>
      </w:r>
      <w:r>
        <w:t xml:space="preserve">  </w:t>
      </w:r>
      <w:r>
        <w:rPr>
          <w:b/>
          <w:bCs/>
          <w:sz w:val="20"/>
          <w:szCs w:val="20"/>
        </w:rPr>
        <w:t xml:space="preserve">Document Submission Interface</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dashboard shall provide a document submission panel with: (a) a scanner-trigger button that initiates a TWAIN/WIA scan from the configured flatbed scanner; (b) a file upload interface accepting JPEG, PNG, and PDF inputs; (c) a real-time scanner preview. Uploaded or scanned images shall be displayed with a pre-processing confirmation overlay showing detected document boundaries, deskew correction angle, and detected document type before submission to the analysis pipeline.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Officer interaction (button press or file upload); scanner API or uploaded file</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Pre-processing confirmation screen with document preview; trigger for analysis pipeline submission</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Scanner-trigger to analysis-pipeline-submission latency ≤ 1 second. Document boundary detection overlay renders correctly for 95% of test inputs. Interface operable with no browser console errors.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FR-UI-02</w:t>
      </w:r>
      <w:r>
        <w:t xml:space="preserve">  </w:t>
      </w:r>
      <w:r>
        <w:rPr>
          <w:b/>
          <w:bCs/>
          <w:sz w:val="20"/>
          <w:szCs w:val="20"/>
        </w:rPr>
        <w:t xml:space="preserve">Real-Time Processing Status</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During document analysis, the dashboard shall display a four-stage progress indicator, one stage per module (OCR, Validation, Tampering, Face Verification). Each stage indicator shall update in real time as the corresponding module completes. The estimated remaining time shall be displayed and updated at 500 ms intervals. If any module exceeds its timeout threshold, its indicator shall change to an amber "DELAYED" state and the system shall proceed with available results.</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Module completion events from the FastAPI pipeline via WebSocket</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Animated 4-stage progress bar with per-module status labels and estimated time</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Progress bar updates within 200 ms of each module completion event. Timeout handling (amber state) triggers correctly in 100% of simulated timeout test cases. UI remains responsive during analysis (&lt; 100 ms input latency).</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FR-UI-03</w:t>
      </w:r>
      <w:r>
        <w:t xml:space="preserve">  </w:t>
      </w:r>
      <w:r>
        <w:rPr>
          <w:b/>
          <w:bCs/>
          <w:sz w:val="20"/>
          <w:szCs w:val="20"/>
        </w:rPr>
        <w:t xml:space="preserve">Risk Score Gauge and Band Display</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dashboard shall display the final risk score as an animated radial gauge dial ranging from 0 (left, green) to 100 (right, red). The gauge needle shall animate from 0 to the final value over 1.2 seconds upon result arrival. The risk band label (LOW / MEDIUM / HIGH / CRITICAL) shall be displayed in large font below the gauge in the corresponding band colour. For CRITICAL results, the label shall flash at 1 Hz. The risk score integer shall be displayed in the gauge centre.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Risk score and risk band from FR-RSK-03</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Rendered animated gauge component in the officer dashboard</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Gauge animation completes correctly for all values 0–100 in visual testing. CRITICAL flashing at 1 Hz ± 50 ms. Risk band colour matches specification (green/amber/red/flashing red) in 100% of test cases.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FR-UI-04</w:t>
      </w:r>
      <w:r>
        <w:t xml:space="preserve">  </w:t>
      </w:r>
      <w:r>
        <w:rPr>
          <w:b/>
          <w:bCs/>
          <w:sz w:val="20"/>
          <w:szCs w:val="20"/>
        </w:rPr>
        <w:t xml:space="preserve">Document Anomaly Heatmap Overlay</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dashboard shall display the submitted document image with a semi-transparent heatmap overlay indicating regions of forensic concern. The heatmap shall be the weighted composite of: the ELA error map (from FR-TAM-01); the MVSS-Net manipulation mask (from FR-TAM-03); and the copy-move match mask (from FR-TAM-02). Colour scale: green (0.0) through yellow (0.5) to red (1.0). The officer shall be able to toggle the heatmap on/off without losing the underlying document view. A separate toggle shall show only the face verification match result overlaid on the photograph zone.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Heatmaps from tampering modules; document image; risk attribution</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Interactive document viewer with heatmap toggle controls</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Heatmap renders at the same resolution as the original document image in ≥ 95% of test cases. Toggle switches respond within 150 ms. Heatmap correctly shows high-signal regions for all 40 test tampered documents reviewed in user acceptance testing.</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FR-UI-05</w:t>
      </w:r>
      <w:r>
        <w:t xml:space="preserve">  </w:t>
      </w:r>
      <w:r>
        <w:rPr>
          <w:b/>
          <w:bCs/>
          <w:sz w:val="20"/>
          <w:szCs w:val="20"/>
        </w:rPr>
        <w:t xml:space="preserve">SHAP Attribution Chart</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dashboard shall display a horizontal bar chart showing each module's risk contribution in points. Bars extending right (positive, red) indicate risk contribution; bars extending left (negative, green) indicate authenticity evidence. Module labels shall be human-readable (e.g. "MRZ Checksums", "Photo Forensics", "Face Match", "Liveness"). The chart shall be accompanied by a one-line summary for each bar (pulled from the plain-language finding template). The total bar length shall visually sum to the displayed risk score.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SHAP attribution vector from FR-RSK-04; plain-language findings from FR-RSK-05</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Rendered attribution chart component with module labels and per-bar summaries</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Bar widths proportional to attribution values with ≤ 2% rendering error. All six bars rendered correctly for all test inputs. Chart accessible to screen readers (ARIA labels on all bar elements).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FR-UI-06</w:t>
      </w:r>
      <w:r>
        <w:t xml:space="preserve">  </w:t>
      </w:r>
      <w:r>
        <w:rPr>
          <w:b/>
          <w:bCs/>
          <w:sz w:val="20"/>
          <w:szCs w:val="20"/>
        </w:rPr>
        <w:t xml:space="preserve">Field Confidence Table</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dashboard shall display a tabular view of all extracted identity fields, with colour-coded confidence indicators: green (confidence ≥ 0.85); amber (0.60 ≤ confidence &lt; 0.85); red (confidence &lt; 0.60). Each field row shall show: field name, extracted value, confidence percentage, and any validation violations for that field. Fields with CONFLICT status from VIZ–MRZ cross-validation shall be highlighted with a conflict badge.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OCR extraction output (FR-OCR-02); validation report (FR-VAL-01); cross-validation report (FR-OCR-09)</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Rendered field confidence table in the officer dashboard</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Colour thresholds correctly applied in 100% of test cases. Conflict badge appears on all CONFLICT-status fields. Table renders within 200 ms of data receipt.</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FR-UI-07</w:t>
      </w:r>
      <w:r>
        <w:t xml:space="preserve">  </w:t>
      </w:r>
      <w:r>
        <w:rPr>
          <w:b/>
          <w:bCs/>
          <w:sz w:val="20"/>
          <w:szCs w:val="20"/>
        </w:rPr>
        <w:t xml:space="preserve">Officer Action Panel and Decision Recording</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dashboard shall provide an officer action panel with three decision buttons: CLEAR (document and individual pass), SECONDARY CHECK (refer to supervisor), DETAIN (initiate detention protocol). Each decision shall require confirmation via a secondary click. Selecting SECONDARY CHECK or DETAIN shall prompt the officer to enter a brief justification note (minimum 10 characters, maximum 500 characters) before the action is recorded. All decisions, timestamps, and justification notes shall be written to the audit trail.</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Officer button interaction; typed justification note</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Decision recorded in audit trail; appropriate workflow triggered (supervisor alert for SECONDARY CHECK; detention protocol flag for DETAIN)</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Confirmation step prevents accidental single-click decisions in 100% of test interactions. Justification note minimum-length enforcement active in 100% of test cases. Decision write to audit trail completes within 500 ms.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FR-UI-08</w:t>
      </w:r>
      <w:r>
        <w:t xml:space="preserve">  </w:t>
      </w:r>
      <w:r>
        <w:rPr>
          <w:b/>
          <w:bCs/>
          <w:sz w:val="20"/>
          <w:szCs w:val="20"/>
        </w:rPr>
        <w:t xml:space="preserve">Multilingual Interface — English and Hindi</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officer dashboard shall support full display in English and Hindi. Language selection shall be available at all times via a toggle in the header. Switching language shall immediately re-render all UI text, labels, plain-language findings, and field names in the selected language without page reload. All technical values (scores, dates, document numbers) shall remain in their original format regardless of language setting.</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Officer language preference selection</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Fully localised UI with all text elements in the selected language</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Language switch renders within 300 ms. All 120 translatable UI strings have verified Hindi translations reviewed by a native speaker. No untranslated strings appear in Hindi mode.</w:t>
            </w:r>
          </w:p>
        </w:tc>
      </w:tr>
    </w:tbl>
    <w:p>
      <w:pPr>
        <w:spacing w:after="120"/>
      </w:pPr>
    </w:p>
    <w:p>
      <w:pPr>
        <w:pStyle w:val="Heading2"/>
        <w:spacing w:after="160" w:before="360"/>
      </w:pPr>
      <w:r>
        <w:t xml:space="preserve">3.7  Audit Trail (FR-AUD)</w:t>
      </w: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FR-AUD-01</w:t>
      </w:r>
      <w:r>
        <w:t xml:space="preserve">  </w:t>
      </w:r>
      <w:r>
        <w:rPr>
          <w:b/>
          <w:bCs/>
          <w:sz w:val="20"/>
          <w:szCs w:val="20"/>
        </w:rPr>
        <w:t xml:space="preserve">Immutable Audit Record Creation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For every document submitted to the AIDSS, the system shall create an audit record immediately upon submission and append to it as each processing stage completes. The audit record shall contain: a unique session UUID; the SHA-256 hash of the submitted document image; the checkpoint identifier; the processing timestamp (UTC, ISO 8601); all module outputs in JSON form; the final risk score and band; the DS fusion parameters version; and the officer's decision and justification. The record shall be written to an append-only SQLite database with a write-ahead log (WAL) mode enabled. No UPDATE or DELETE SQL statement shall be executable on the audit database by any application user.</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All module outputs; officer decision; system metadata (checkpoint ID, timestamp)</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Audit record committed to audit.db; record ID returned for cross-reference</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Audit record creation fails in 0% of successful document analysis completions. Attempt to execute DELETE or UPDATE on audit.db via the application layer returns a permission denied error in 100% of test cases. Record creation latency ≤ 500 ms.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FR-AUD-02</w:t>
      </w:r>
      <w:r>
        <w:t xml:space="preserve">  </w:t>
      </w:r>
      <w:r>
        <w:rPr>
          <w:b/>
          <w:bCs/>
          <w:sz w:val="20"/>
          <w:szCs w:val="20"/>
        </w:rPr>
        <w:t xml:space="preserve">Cryptographic Audit Record Integrity</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Each audit record shall include a SHA-256 hash of the record's content fields, signed with HMAC-SHA256 using a checkpoint-specific secret key. The HMAC key shall be stored in the checkpoint's secure configuration (not in the database). A verification utility shall be provided that, given a record and the checkpoint key, confirms whether the record has been tampered with since creation. Records shall also include the SHA-256 of the preceding record (chain-link structure), enabling detection of record insertion or deletion.</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Audit record content; HMAC key from secure configuration</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HMAC signature appended to each audit record; chain hash linking consecutive records</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Given 50 audit records with one record manually modified in a test environment: verification utility detects the modification and all subsequent records (chain break) in 100% of test cases. HMAC computation adds ≤ 10 ms to audit record creation time.</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FR-AUD-03</w:t>
      </w:r>
      <w:r>
        <w:t xml:space="preserve">  </w:t>
      </w:r>
      <w:r>
        <w:rPr>
          <w:b/>
          <w:bCs/>
          <w:sz w:val="20"/>
          <w:szCs w:val="20"/>
        </w:rPr>
        <w:t xml:space="preserve">Audit Log Viewer for Authorised Roles</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provide an audit log viewer accessible to Supervisors, System Administrators, and Auditors within their authorised access scope. The viewer shall support: full-text search on document number, officer name, and date range; filtering by risk band, officer decision, and checkpoint ID; sorting by timestamp (ascending/descending); export of filtered results to a signed PDF report. The viewer shall display each record in human-readable form — not raw JSON — with the original document thumbnail and heatmap.</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Authenticated user query (search terms, filters, date range)</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Paginated list of audit records matching the query; PDF export of filtered results</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Query execution time ≤ 2 seconds for date ranges up to 30 days on a 100,000-record audit database. PDF export includes all specified record fields and generates without error.</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FR-AUD-04</w:t>
      </w:r>
      <w:r>
        <w:t xml:space="preserve">  </w:t>
      </w:r>
      <w:r>
        <w:rPr>
          <w:b/>
          <w:bCs/>
          <w:sz w:val="20"/>
          <w:szCs w:val="20"/>
        </w:rPr>
        <w:t xml:space="preserve">Audit Data Retention and Archival</w:t>
      </w:r>
      <w:r>
        <w:t xml:space="preserve">    </w:t>
      </w:r>
      <w:r>
        <w:rPr>
          <w:b/>
          <w:bCs/>
          <w:color w:val="7D4600"/>
          <w:sz w:val="18"/>
          <w:szCs w:val="18"/>
        </w:rPr>
        <w:t xml:space="preserve">[Should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retain audit records in the active SQLite database for a configurable period (default 12 months). Records older than the retention period shall be archived to a compressed, cryptographically signed archive file and moved off the active database. The archive format shall be SQLite with the same schema as the active database, enabling direct re-import for investigation. Archive rotation shall occur automatically on a nightly schedule.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System date; retention period configuration; active audit database</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Archive file (compressed .sqlite.gz with HMAC signature); active database pruned of archived records</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Archive rotation runs without interrupting live checkpoint operations. Archived records can be re-imported and queried in the audit viewer within 5 minutes of re-import initiation.</w:t>
            </w:r>
          </w:p>
        </w:tc>
      </w:tr>
    </w:tbl>
    <w:p>
      <w:pPr>
        <w:spacing w:after="120"/>
      </w:pPr>
    </w:p>
    <w:p>
      <w:pPr>
        <w:pStyle w:val="Heading2"/>
        <w:spacing w:after="160" w:before="360"/>
      </w:pPr>
      <w:r>
        <w:t xml:space="preserve">3.8  Blacklist / Watchlist Management (FR-BLK)</w:t>
      </w: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FR-BLK-01</w:t>
      </w:r>
      <w:r>
        <w:t xml:space="preserve">  </w:t>
      </w:r>
      <w:r>
        <w:rPr>
          <w:b/>
          <w:bCs/>
          <w:sz w:val="20"/>
          <w:szCs w:val="20"/>
        </w:rPr>
        <w:t xml:space="preserve">Watchlist Storage Architecture</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watchlist shall be stored in two tiers: (1) an in-memory Redis cache (primary lookup store) containing SHA-256 hashed document numbers and name hashes, with TTL of 24 hours; (2) a persistent SQLite database (fallback and source of truth) containing the same hashed entries plus watchlist category codes and last-updated timestamps. Face embedding vectors from watchlist persons shall be stored in a FAISS flat index (in-memory) with a separate file-backed serialised index for persistence across restarts.</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Watchlist delta updates from Central Command; existing Redis and SQLite stores</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Updated in-memory cache and persistent database; updated FAISS index</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Redis cache hit rate ≥ 99% for documents processed within 24 hours of watchlist sync. FAISS index load time from serialised file ≤ 10 seconds for an index of 100,000 face embeddings. SQLite fallback activated automatically in 100% of Redis outage test cases.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FR-BLK-02</w:t>
      </w:r>
      <w:r>
        <w:t xml:space="preserve">  </w:t>
      </w:r>
      <w:r>
        <w:rPr>
          <w:b/>
          <w:bCs/>
          <w:sz w:val="20"/>
          <w:szCs w:val="20"/>
        </w:rPr>
        <w:t xml:space="preserve">Encrypted Watchlist Delta Synchronisation</w:t>
      </w:r>
      <w:r>
        <w:t xml:space="preserve">    </w:t>
      </w:r>
      <w:r>
        <w:rPr>
          <w:b/>
          <w:bCs/>
          <w:color w:val="B71C1C"/>
          <w:sz w:val="18"/>
          <w:szCs w:val="18"/>
        </w:rPr>
        <w:t xml:space="preserve">[Must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shall receive watchlist updates from Central Command via an authenticated HTTPS connection (TLS 1.3, mutual certificate authentication). Updates shall be transmitted as signed delta packages (AES-256-GCM encrypted, HMAC-SHA256 signed) containing additions and removals since the last successful synchronisation. The checkpoint node shall verify the package signature before applying any changes. Synchronisation shall occur on a configurable schedule (default: every 6 hours). If synchronisation fails, the system shall continue operating with the current watchlist and log a SYNC_FAILURE event in the audit trail.</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Encrypted delta package from Central Command; synchronisation schedule configuration</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Updated watchlist databases; synchronisation status log entry; SYNC_FAILURE alert on failure</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Synchronisation correctly applies additions and removals in 100% of test delta packages. Packages with invalid signatures are rejected (not applied) in 100% of test cases. System continues operational without watchlist access interruption during simulated synchronisation failures.</w:t>
            </w:r>
          </w:p>
        </w:tc>
      </w:tr>
    </w:tbl>
    <w:p>
      <w:pPr>
        <w:spacing w:after="120"/>
      </w:pPr>
    </w:p>
    <w:p>
      <w:pPr>
        <w:pBdr>
          <w:left w:val="thick" w:color="2E86AB" w:sz="16"/>
        </w:pBdr>
        <w:shd w:color="EBF5FB" w:val="clear"/>
        <w:spacing w:after="0" w:before="200"/>
        <w:ind w:left="120"/>
      </w:pPr>
      <w:r>
        <w:rPr>
          <w:rFonts w:ascii="Courier New" w:cs="Courier New" w:eastAsia="Courier New" w:hAnsi="Courier New"/>
          <w:b/>
          <w:bCs/>
          <w:color w:val="1B2A4A"/>
          <w:sz w:val="20"/>
          <w:szCs w:val="20"/>
        </w:rPr>
        <w:t xml:space="preserve">FR-BLK-03</w:t>
      </w:r>
      <w:r>
        <w:t xml:space="preserve">  </w:t>
      </w:r>
      <w:r>
        <w:rPr>
          <w:b/>
          <w:bCs/>
          <w:sz w:val="20"/>
          <w:szCs w:val="20"/>
        </w:rPr>
        <w:t xml:space="preserve">Watchlist Administration Interface</w:t>
      </w:r>
      <w:r>
        <w:t xml:space="preserve">    </w:t>
      </w:r>
      <w:r>
        <w:rPr>
          <w:b/>
          <w:bCs/>
          <w:color w:val="7D4600"/>
          <w:sz w:val="18"/>
          <w:szCs w:val="18"/>
        </w:rPr>
        <w:t xml:space="preserve">[Should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color="1B2A4A" w:val="clear"/>
            <w:vAlign w:val="top"/>
          </w:tcPr>
          <w:p>
            <w:pPr>
              <w:spacing w:after="80" w:before="80"/>
              <w:ind w:left="100"/>
            </w:pPr>
            <w:r>
              <w:rPr>
                <w:b/>
                <w:bCs/>
                <w:color w:val="FFFFFF"/>
                <w:sz w:val="18"/>
                <w:szCs w:val="18"/>
              </w:rPr>
              <w:t xml:space="preserve">Field</w:t>
            </w:r>
          </w:p>
        </w:tc>
        <w:tc>
          <w:tcPr>
            <w:tcW w:type="dxa" w:w="7400"/>
            <w:shd w:color="1B2A4A" w:val="clear"/>
            <w:vAlign w:val="top"/>
          </w:tcPr>
          <w:p>
            <w:pPr>
              <w:spacing w:after="80" w:before="80"/>
              <w:ind w:left="100"/>
            </w:pPr>
            <w:r>
              <w:rPr>
                <w:b/>
                <w:bCs/>
                <w:color w:val="FFFFFF"/>
                <w:sz w:val="18"/>
                <w:szCs w:val="18"/>
              </w:rPr>
              <w:t xml:space="preserve">Detail</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Description</w:t>
            </w:r>
          </w:p>
        </w:tc>
        <w:tc>
          <w:tcPr>
            <w:tcW w:type="dxa" w:w="7400"/>
            <w:shd w:color="F4F6F9" w:val="clear"/>
            <w:vAlign w:val="top"/>
          </w:tcPr>
          <w:p>
            <w:pPr>
              <w:spacing w:after="80" w:before="80"/>
              <w:ind w:left="100"/>
            </w:pPr>
            <w:r>
              <w:rPr>
                <w:b w:val="false"/>
                <w:bCs w:val="false"/>
                <w:color w:val="0D1B2A"/>
                <w:sz w:val="18"/>
                <w:szCs w:val="18"/>
              </w:rPr>
              <w:t xml:space="preserve">The System Administrator role shall have access to a watchlist management interface providing: view of the current watchlist entry count and last synchronisation timestamp; manual trigger for an out-of-schedule synchronisation; addition of temporary local watchlist entries (for checkpoint-level intelligence, not replicated to Central Command); view of synchronisation history and failure log. No interface shall expose the plaintext content of watchlist entries — only hashed identifiers and category codes shall be visible.</w:t>
            </w:r>
          </w:p>
        </w:tc>
      </w:tr>
      <w:tr>
        <w:trPr>
          <w:tblHeader w:val="false"/>
        </w:trPr>
        <w:tc>
          <w:tcPr>
            <w:tcW w:type="dxa" w:w="1600"/>
            <w:shd/>
            <w:vAlign w:val="top"/>
          </w:tcPr>
          <w:p>
            <w:pPr>
              <w:spacing w:after="80" w:before="80"/>
              <w:ind w:left="100"/>
            </w:pPr>
            <w:r>
              <w:rPr>
                <w:b w:val="false"/>
                <w:bCs w:val="false"/>
                <w:color w:val="0D1B2A"/>
                <w:sz w:val="18"/>
                <w:szCs w:val="18"/>
              </w:rPr>
              <w:t xml:space="preserve">Input</w:t>
            </w:r>
          </w:p>
        </w:tc>
        <w:tc>
          <w:tcPr>
            <w:tcW w:type="dxa" w:w="7400"/>
            <w:shd/>
            <w:vAlign w:val="top"/>
          </w:tcPr>
          <w:p>
            <w:pPr>
              <w:spacing w:after="80" w:before="80"/>
              <w:ind w:left="100"/>
            </w:pPr>
            <w:r>
              <w:rPr>
                <w:b w:val="false"/>
                <w:bCs w:val="false"/>
                <w:color w:val="0D1B2A"/>
                <w:sz w:val="18"/>
                <w:szCs w:val="18"/>
              </w:rPr>
              <w:t xml:space="preserve">Authenticated System Administrator session</w:t>
            </w:r>
          </w:p>
        </w:tc>
      </w:tr>
      <w:tr>
        <w:trPr>
          <w:tblHeader w:val="false"/>
        </w:trPr>
        <w:tc>
          <w:tcPr>
            <w:tcW w:type="dxa" w:w="1600"/>
            <w:shd w:color="F4F6F9" w:val="clear"/>
            <w:vAlign w:val="top"/>
          </w:tcPr>
          <w:p>
            <w:pPr>
              <w:spacing w:after="80" w:before="80"/>
              <w:ind w:left="100"/>
            </w:pPr>
            <w:r>
              <w:rPr>
                <w:b w:val="false"/>
                <w:bCs w:val="false"/>
                <w:color w:val="0D1B2A"/>
                <w:sz w:val="18"/>
                <w:szCs w:val="18"/>
              </w:rPr>
              <w:t xml:space="preserve">Output</w:t>
            </w:r>
          </w:p>
        </w:tc>
        <w:tc>
          <w:tcPr>
            <w:tcW w:type="dxa" w:w="7400"/>
            <w:shd w:color="F4F6F9" w:val="clear"/>
            <w:vAlign w:val="top"/>
          </w:tcPr>
          <w:p>
            <w:pPr>
              <w:spacing w:after="80" w:before="80"/>
              <w:ind w:left="100"/>
            </w:pPr>
            <w:r>
              <w:rPr>
                <w:b w:val="false"/>
                <w:bCs w:val="false"/>
                <w:color w:val="0D1B2A"/>
                <w:sz w:val="18"/>
                <w:szCs w:val="18"/>
              </w:rPr>
              <w:t xml:space="preserve">Watchlist administration dashboard; manual sync trigger; local entry management</w:t>
            </w:r>
          </w:p>
        </w:tc>
      </w:tr>
      <w:tr>
        <w:trPr>
          <w:tblHeader w:val="false"/>
        </w:trPr>
        <w:tc>
          <w:tcPr>
            <w:tcW w:type="dxa" w:w="1600"/>
            <w:shd/>
            <w:vAlign w:val="top"/>
          </w:tcPr>
          <w:p>
            <w:pPr>
              <w:spacing w:after="80" w:before="80"/>
              <w:ind w:left="100"/>
            </w:pPr>
            <w:r>
              <w:rPr>
                <w:b w:val="false"/>
                <w:bCs w:val="false"/>
                <w:color w:val="0D1B2A"/>
                <w:sz w:val="18"/>
                <w:szCs w:val="18"/>
              </w:rPr>
              <w:t xml:space="preserve">Acceptance Criterion</w:t>
            </w:r>
          </w:p>
        </w:tc>
        <w:tc>
          <w:tcPr>
            <w:tcW w:type="dxa" w:w="7400"/>
            <w:shd/>
            <w:vAlign w:val="top"/>
          </w:tcPr>
          <w:p>
            <w:pPr>
              <w:spacing w:after="80" w:before="80"/>
              <w:ind w:left="100"/>
            </w:pPr>
            <w:r>
              <w:rPr>
                <w:b w:val="false"/>
                <w:bCs w:val="false"/>
                <w:color w:val="0D1B2A"/>
                <w:sz w:val="18"/>
                <w:szCs w:val="18"/>
              </w:rPr>
              <w:t xml:space="preserve">Manual synchronisation trigger initiates synchronisation within 5 seconds. Local entry additions are immediately active in the lookup pipeline. No plaintext personal identity data is exposed in any watchlist administration view.</w:t>
            </w:r>
          </w:p>
        </w:tc>
      </w:tr>
    </w:tbl>
    <w:p>
      <w:pPr>
        <w:spacing w:after="120"/>
      </w:pPr>
    </w:p>
    <w:p>
      <w:r>
        <w:br w:type="page"/>
      </w:r>
    </w:p>
    <w:p>
      <w:pPr>
        <w:pStyle w:val="Heading1"/>
        <w:spacing w:after="200" w:before="560"/>
      </w:pPr>
      <w:r>
        <w:t xml:space="preserve">4. Non-Functional Requirements</w:t>
      </w:r>
    </w:p>
    <w:p>
      <w:pPr>
        <w:pBdr>
          <w:bottom w:val="single" w:color="2E86AB" w:sz="8"/>
        </w:pBdr>
        <w:spacing w:after="200" w:before="160"/>
      </w:pPr>
    </w:p>
    <w:p>
      <w:pPr>
        <w:pStyle w:val="Heading2"/>
        <w:spacing w:after="160" w:before="360"/>
      </w:pPr>
      <w:r>
        <w:t xml:space="preserve">4.1  Performance Requirements</w:t>
      </w:r>
    </w:p>
    <w:p>
      <w:pPr>
        <w:pStyle w:val="Heading3"/>
        <w:spacing w:after="120" w:before="240"/>
      </w:pPr>
      <w:r>
        <w:t xml:space="preserve">NFR-PERF-01 — End-to-End Document Processing Time</w:t>
      </w:r>
    </w:p>
    <w:p>
      <w:pPr>
        <w:spacing w:after="140"/>
      </w:pPr>
      <w:r>
        <w:t xml:space="preserve">The system shall complete full document analysis (OCR extraction, validation, tampering detection, face verification, risk scoring, and dashboard rendering) within 5 seconds of image submission under normal operating conditions (GPU available, Redis cache populated, within-spec document quality).</w:t>
      </w:r>
    </w:p>
    <w:p>
      <w:pPr>
        <w:pStyle w:val="Heading3"/>
        <w:spacing w:after="120" w:before="240"/>
      </w:pPr>
      <w:r>
        <w:t xml:space="preserve">NFR-PERF-02 — Module-Level Latency Budgets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color="1B2A4A" w:val="clear"/>
            <w:vAlign w:val="top"/>
          </w:tcPr>
          <w:p>
            <w:pPr>
              <w:spacing w:after="80" w:before="80"/>
              <w:ind w:left="100"/>
            </w:pPr>
            <w:r>
              <w:rPr>
                <w:b/>
                <w:bCs/>
                <w:color w:val="FFFFFF"/>
                <w:sz w:val="18"/>
                <w:szCs w:val="18"/>
              </w:rPr>
              <w:t xml:space="preserve">Module</w:t>
            </w:r>
          </w:p>
        </w:tc>
        <w:tc>
          <w:tcPr>
            <w:tcW w:type="dxa" w:w="2900"/>
            <w:shd w:color="1B2A4A" w:val="clear"/>
            <w:vAlign w:val="top"/>
          </w:tcPr>
          <w:p>
            <w:pPr>
              <w:spacing w:after="80" w:before="80"/>
              <w:ind w:left="100"/>
            </w:pPr>
            <w:r>
              <w:rPr>
                <w:b/>
                <w:bCs/>
                <w:color w:val="FFFFFF"/>
                <w:sz w:val="18"/>
                <w:szCs w:val="18"/>
              </w:rPr>
              <w:t xml:space="preserve">Maximum Latency (GPU Mode)</w:t>
            </w:r>
          </w:p>
        </w:tc>
        <w:tc>
          <w:tcPr>
            <w:tcW w:type="dxa" w:w="2900"/>
            <w:shd w:color="1B2A4A" w:val="clear"/>
            <w:vAlign w:val="top"/>
          </w:tcPr>
          <w:p>
            <w:pPr>
              <w:spacing w:after="80" w:before="80"/>
              <w:ind w:left="100"/>
            </w:pPr>
            <w:r>
              <w:rPr>
                <w:b/>
                <w:bCs/>
                <w:color w:val="FFFFFF"/>
                <w:sz w:val="18"/>
                <w:szCs w:val="18"/>
              </w:rPr>
              <w:t xml:space="preserve">Maximum Latency (CPU Fallback)</w:t>
            </w:r>
          </w:p>
        </w:tc>
      </w:tr>
      <w:tr>
        <w:trPr>
          <w:tblHeader w:val="false"/>
        </w:trPr>
        <w:tc>
          <w:tcPr>
            <w:tcW w:type="dxa" w:w="3200"/>
            <w:shd w:color="F4F6F9" w:val="clear"/>
            <w:vAlign w:val="top"/>
          </w:tcPr>
          <w:p>
            <w:pPr>
              <w:spacing w:after="80" w:before="80"/>
              <w:ind w:left="100"/>
            </w:pPr>
            <w:r>
              <w:rPr>
                <w:b w:val="false"/>
                <w:bCs w:val="false"/>
                <w:color w:val="0D1B2A"/>
                <w:sz w:val="18"/>
                <w:szCs w:val="18"/>
              </w:rPr>
              <w:t xml:space="preserve">Pre-processing (CLAHE, deskew, classification)</w:t>
            </w:r>
          </w:p>
        </w:tc>
        <w:tc>
          <w:tcPr>
            <w:tcW w:type="dxa" w:w="2900"/>
            <w:shd w:color="F4F6F9" w:val="clear"/>
            <w:vAlign w:val="top"/>
          </w:tcPr>
          <w:p>
            <w:pPr>
              <w:spacing w:after="80" w:before="80"/>
              <w:ind w:left="100"/>
            </w:pPr>
            <w:r>
              <w:rPr>
                <w:b w:val="false"/>
                <w:bCs w:val="false"/>
                <w:color w:val="0D1B2A"/>
                <w:sz w:val="18"/>
                <w:szCs w:val="18"/>
              </w:rPr>
              <w:t xml:space="preserve">500 ms</w:t>
            </w:r>
          </w:p>
        </w:tc>
        <w:tc>
          <w:tcPr>
            <w:tcW w:type="dxa" w:w="2900"/>
            <w:shd w:color="F4F6F9" w:val="clear"/>
            <w:vAlign w:val="top"/>
          </w:tcPr>
          <w:p>
            <w:pPr>
              <w:spacing w:after="80" w:before="80"/>
              <w:ind w:left="100"/>
            </w:pPr>
            <w:r>
              <w:rPr>
                <w:b w:val="false"/>
                <w:bCs w:val="false"/>
                <w:color w:val="0D1B2A"/>
                <w:sz w:val="18"/>
                <w:szCs w:val="18"/>
              </w:rPr>
              <w:t xml:space="preserve">500 ms</w:t>
            </w:r>
          </w:p>
        </w:tc>
      </w:tr>
      <w:tr>
        <w:trPr>
          <w:tblHeader w:val="false"/>
        </w:trPr>
        <w:tc>
          <w:tcPr>
            <w:tcW w:type="dxa" w:w="3200"/>
            <w:shd/>
            <w:vAlign w:val="top"/>
          </w:tcPr>
          <w:p>
            <w:pPr>
              <w:spacing w:after="80" w:before="80"/>
              <w:ind w:left="100"/>
            </w:pPr>
            <w:r>
              <w:rPr>
                <w:b w:val="false"/>
                <w:bCs w:val="false"/>
                <w:color w:val="0D1B2A"/>
                <w:sz w:val="18"/>
                <w:szCs w:val="18"/>
              </w:rPr>
              <w:t xml:space="preserve">OCR extraction + MRZ parsing</w:t>
            </w:r>
          </w:p>
        </w:tc>
        <w:tc>
          <w:tcPr>
            <w:tcW w:type="dxa" w:w="2900"/>
            <w:shd/>
            <w:vAlign w:val="top"/>
          </w:tcPr>
          <w:p>
            <w:pPr>
              <w:spacing w:after="80" w:before="80"/>
              <w:ind w:left="100"/>
            </w:pPr>
            <w:r>
              <w:rPr>
                <w:b w:val="false"/>
                <w:bCs w:val="false"/>
                <w:color w:val="0D1B2A"/>
                <w:sz w:val="18"/>
                <w:szCs w:val="18"/>
              </w:rPr>
              <w:t xml:space="preserve">1,000 ms</w:t>
            </w:r>
          </w:p>
        </w:tc>
        <w:tc>
          <w:tcPr>
            <w:tcW w:type="dxa" w:w="2900"/>
            <w:shd/>
            <w:vAlign w:val="top"/>
          </w:tcPr>
          <w:p>
            <w:pPr>
              <w:spacing w:after="80" w:before="80"/>
              <w:ind w:left="100"/>
            </w:pPr>
            <w:r>
              <w:rPr>
                <w:b w:val="false"/>
                <w:bCs w:val="false"/>
                <w:color w:val="0D1B2A"/>
                <w:sz w:val="18"/>
                <w:szCs w:val="18"/>
              </w:rPr>
              <w:t xml:space="preserve">2,000 ms</w:t>
            </w:r>
          </w:p>
        </w:tc>
      </w:tr>
      <w:tr>
        <w:trPr>
          <w:tblHeader w:val="false"/>
        </w:trPr>
        <w:tc>
          <w:tcPr>
            <w:tcW w:type="dxa" w:w="3200"/>
            <w:shd w:color="F4F6F9" w:val="clear"/>
            <w:vAlign w:val="top"/>
          </w:tcPr>
          <w:p>
            <w:pPr>
              <w:spacing w:after="80" w:before="80"/>
              <w:ind w:left="100"/>
            </w:pPr>
            <w:r>
              <w:rPr>
                <w:b w:val="false"/>
                <w:bCs w:val="false"/>
                <w:color w:val="0D1B2A"/>
                <w:sz w:val="18"/>
                <w:szCs w:val="18"/>
              </w:rPr>
              <w:t xml:space="preserve">Document validation + watchlist lookup</w:t>
            </w:r>
          </w:p>
        </w:tc>
        <w:tc>
          <w:tcPr>
            <w:tcW w:type="dxa" w:w="2900"/>
            <w:shd w:color="F4F6F9" w:val="clear"/>
            <w:vAlign w:val="top"/>
          </w:tcPr>
          <w:p>
            <w:pPr>
              <w:spacing w:after="80" w:before="80"/>
              <w:ind w:left="100"/>
            </w:pPr>
            <w:r>
              <w:rPr>
                <w:b w:val="false"/>
                <w:bCs w:val="false"/>
                <w:color w:val="0D1B2A"/>
                <w:sz w:val="18"/>
                <w:szCs w:val="18"/>
              </w:rPr>
              <w:t xml:space="preserve">200 ms</w:t>
            </w:r>
          </w:p>
        </w:tc>
        <w:tc>
          <w:tcPr>
            <w:tcW w:type="dxa" w:w="2900"/>
            <w:shd w:color="F4F6F9" w:val="clear"/>
            <w:vAlign w:val="top"/>
          </w:tcPr>
          <w:p>
            <w:pPr>
              <w:spacing w:after="80" w:before="80"/>
              <w:ind w:left="100"/>
            </w:pPr>
            <w:r>
              <w:rPr>
                <w:b w:val="false"/>
                <w:bCs w:val="false"/>
                <w:color w:val="0D1B2A"/>
                <w:sz w:val="18"/>
                <w:szCs w:val="18"/>
              </w:rPr>
              <w:t xml:space="preserve">200 ms</w:t>
            </w:r>
          </w:p>
        </w:tc>
      </w:tr>
      <w:tr>
        <w:trPr>
          <w:tblHeader w:val="false"/>
        </w:trPr>
        <w:tc>
          <w:tcPr>
            <w:tcW w:type="dxa" w:w="3200"/>
            <w:shd/>
            <w:vAlign w:val="top"/>
          </w:tcPr>
          <w:p>
            <w:pPr>
              <w:spacing w:after="80" w:before="80"/>
              <w:ind w:left="100"/>
            </w:pPr>
            <w:r>
              <w:rPr>
                <w:b w:val="false"/>
                <w:bCs w:val="false"/>
                <w:color w:val="0D1B2A"/>
                <w:sz w:val="18"/>
                <w:szCs w:val="18"/>
              </w:rPr>
              <w:t xml:space="preserve">ELA + copy-move + EXIF + illumination</w:t>
            </w:r>
          </w:p>
        </w:tc>
        <w:tc>
          <w:tcPr>
            <w:tcW w:type="dxa" w:w="2900"/>
            <w:shd/>
            <w:vAlign w:val="top"/>
          </w:tcPr>
          <w:p>
            <w:pPr>
              <w:spacing w:after="80" w:before="80"/>
              <w:ind w:left="100"/>
            </w:pPr>
            <w:r>
              <w:rPr>
                <w:b w:val="false"/>
                <w:bCs w:val="false"/>
                <w:color w:val="0D1B2A"/>
                <w:sz w:val="18"/>
                <w:szCs w:val="18"/>
              </w:rPr>
              <w:t xml:space="preserve">700 ms</w:t>
            </w:r>
          </w:p>
        </w:tc>
        <w:tc>
          <w:tcPr>
            <w:tcW w:type="dxa" w:w="2900"/>
            <w:shd/>
            <w:vAlign w:val="top"/>
          </w:tcPr>
          <w:p>
            <w:pPr>
              <w:spacing w:after="80" w:before="80"/>
              <w:ind w:left="100"/>
            </w:pPr>
            <w:r>
              <w:rPr>
                <w:b w:val="false"/>
                <w:bCs w:val="false"/>
                <w:color w:val="0D1B2A"/>
                <w:sz w:val="18"/>
                <w:szCs w:val="18"/>
              </w:rPr>
              <w:t xml:space="preserve">700 ms</w:t>
            </w:r>
          </w:p>
        </w:tc>
      </w:tr>
      <w:tr>
        <w:trPr>
          <w:tblHeader w:val="false"/>
        </w:trPr>
        <w:tc>
          <w:tcPr>
            <w:tcW w:type="dxa" w:w="3200"/>
            <w:shd w:color="F4F6F9" w:val="clear"/>
            <w:vAlign w:val="top"/>
          </w:tcPr>
          <w:p>
            <w:pPr>
              <w:spacing w:after="80" w:before="80"/>
              <w:ind w:left="100"/>
            </w:pPr>
            <w:r>
              <w:rPr>
                <w:b w:val="false"/>
                <w:bCs w:val="false"/>
                <w:color w:val="0D1B2A"/>
                <w:sz w:val="18"/>
                <w:szCs w:val="18"/>
              </w:rPr>
              <w:t xml:space="preserve">MVSS-Net deep forgery detection</w:t>
            </w:r>
          </w:p>
        </w:tc>
        <w:tc>
          <w:tcPr>
            <w:tcW w:type="dxa" w:w="2900"/>
            <w:shd w:color="F4F6F9" w:val="clear"/>
            <w:vAlign w:val="top"/>
          </w:tcPr>
          <w:p>
            <w:pPr>
              <w:spacing w:after="80" w:before="80"/>
              <w:ind w:left="100"/>
            </w:pPr>
            <w:r>
              <w:rPr>
                <w:b w:val="false"/>
                <w:bCs w:val="false"/>
                <w:color w:val="0D1B2A"/>
                <w:sz w:val="18"/>
                <w:szCs w:val="18"/>
              </w:rPr>
              <w:t xml:space="preserve">1,500 ms</w:t>
            </w:r>
          </w:p>
        </w:tc>
        <w:tc>
          <w:tcPr>
            <w:tcW w:type="dxa" w:w="2900"/>
            <w:shd w:color="F4F6F9" w:val="clear"/>
            <w:vAlign w:val="top"/>
          </w:tcPr>
          <w:p>
            <w:pPr>
              <w:spacing w:after="80" w:before="80"/>
              <w:ind w:left="100"/>
            </w:pPr>
            <w:r>
              <w:rPr>
                <w:b w:val="false"/>
                <w:bCs w:val="false"/>
                <w:color w:val="0D1B2A"/>
                <w:sz w:val="18"/>
                <w:szCs w:val="18"/>
              </w:rPr>
              <w:t xml:space="preserve">3,000 ms (or FALLBACK)</w:t>
            </w:r>
          </w:p>
        </w:tc>
      </w:tr>
      <w:tr>
        <w:trPr>
          <w:tblHeader w:val="false"/>
        </w:trPr>
        <w:tc>
          <w:tcPr>
            <w:tcW w:type="dxa" w:w="3200"/>
            <w:shd/>
            <w:vAlign w:val="top"/>
          </w:tcPr>
          <w:p>
            <w:pPr>
              <w:spacing w:after="80" w:before="80"/>
              <w:ind w:left="100"/>
            </w:pPr>
            <w:r>
              <w:rPr>
                <w:b w:val="false"/>
                <w:bCs w:val="false"/>
                <w:color w:val="0D1B2A"/>
                <w:sz w:val="18"/>
                <w:szCs w:val="18"/>
              </w:rPr>
              <w:t xml:space="preserve">ArcFace embedding extraction (×2)</w:t>
            </w:r>
          </w:p>
        </w:tc>
        <w:tc>
          <w:tcPr>
            <w:tcW w:type="dxa" w:w="2900"/>
            <w:shd/>
            <w:vAlign w:val="top"/>
          </w:tcPr>
          <w:p>
            <w:pPr>
              <w:spacing w:after="80" w:before="80"/>
              <w:ind w:left="100"/>
            </w:pPr>
            <w:r>
              <w:rPr>
                <w:b w:val="false"/>
                <w:bCs w:val="false"/>
                <w:color w:val="0D1B2A"/>
                <w:sz w:val="18"/>
                <w:szCs w:val="18"/>
              </w:rPr>
              <w:t xml:space="preserve">300 ms</w:t>
            </w:r>
          </w:p>
        </w:tc>
        <w:tc>
          <w:tcPr>
            <w:tcW w:type="dxa" w:w="2900"/>
            <w:shd/>
            <w:vAlign w:val="top"/>
          </w:tcPr>
          <w:p>
            <w:pPr>
              <w:spacing w:after="80" w:before="80"/>
              <w:ind w:left="100"/>
            </w:pPr>
            <w:r>
              <w:rPr>
                <w:b w:val="false"/>
                <w:bCs w:val="false"/>
                <w:color w:val="0D1B2A"/>
                <w:sz w:val="18"/>
                <w:szCs w:val="18"/>
              </w:rPr>
              <w:t xml:space="preserve">1,600 ms</w:t>
            </w:r>
          </w:p>
        </w:tc>
      </w:tr>
      <w:tr>
        <w:trPr>
          <w:tblHeader w:val="false"/>
        </w:trPr>
        <w:tc>
          <w:tcPr>
            <w:tcW w:type="dxa" w:w="3200"/>
            <w:shd w:color="F4F6F9" w:val="clear"/>
            <w:vAlign w:val="top"/>
          </w:tcPr>
          <w:p>
            <w:pPr>
              <w:spacing w:after="80" w:before="80"/>
              <w:ind w:left="100"/>
            </w:pPr>
            <w:r>
              <w:rPr>
                <w:b w:val="false"/>
                <w:bCs w:val="false"/>
                <w:color w:val="0D1B2A"/>
                <w:sz w:val="18"/>
                <w:szCs w:val="18"/>
              </w:rPr>
              <w:t xml:space="preserve">Liveness detection</w:t>
            </w:r>
          </w:p>
        </w:tc>
        <w:tc>
          <w:tcPr>
            <w:tcW w:type="dxa" w:w="2900"/>
            <w:shd w:color="F4F6F9" w:val="clear"/>
            <w:vAlign w:val="top"/>
          </w:tcPr>
          <w:p>
            <w:pPr>
              <w:spacing w:after="80" w:before="80"/>
              <w:ind w:left="100"/>
            </w:pPr>
            <w:r>
              <w:rPr>
                <w:b w:val="false"/>
                <w:bCs w:val="false"/>
                <w:color w:val="0D1B2A"/>
                <w:sz w:val="18"/>
                <w:szCs w:val="18"/>
              </w:rPr>
              <w:t xml:space="preserve">100 ms</w:t>
            </w:r>
          </w:p>
        </w:tc>
        <w:tc>
          <w:tcPr>
            <w:tcW w:type="dxa" w:w="2900"/>
            <w:shd w:color="F4F6F9" w:val="clear"/>
            <w:vAlign w:val="top"/>
          </w:tcPr>
          <w:p>
            <w:pPr>
              <w:spacing w:after="80" w:before="80"/>
              <w:ind w:left="100"/>
            </w:pPr>
            <w:r>
              <w:rPr>
                <w:b w:val="false"/>
                <w:bCs w:val="false"/>
                <w:color w:val="0D1B2A"/>
                <w:sz w:val="18"/>
                <w:szCs w:val="18"/>
              </w:rPr>
              <w:t xml:space="preserve">100 ms</w:t>
            </w:r>
          </w:p>
        </w:tc>
      </w:tr>
      <w:tr>
        <w:trPr>
          <w:tblHeader w:val="false"/>
        </w:trPr>
        <w:tc>
          <w:tcPr>
            <w:tcW w:type="dxa" w:w="3200"/>
            <w:shd/>
            <w:vAlign w:val="top"/>
          </w:tcPr>
          <w:p>
            <w:pPr>
              <w:spacing w:after="80" w:before="80"/>
              <w:ind w:left="100"/>
            </w:pPr>
            <w:r>
              <w:rPr>
                <w:b w:val="false"/>
                <w:bCs w:val="false"/>
                <w:color w:val="0D1B2A"/>
                <w:sz w:val="18"/>
                <w:szCs w:val="18"/>
              </w:rPr>
              <w:t xml:space="preserve">Risk scoring + SHAP + findings generation</w:t>
            </w:r>
          </w:p>
        </w:tc>
        <w:tc>
          <w:tcPr>
            <w:tcW w:type="dxa" w:w="2900"/>
            <w:shd/>
            <w:vAlign w:val="top"/>
          </w:tcPr>
          <w:p>
            <w:pPr>
              <w:spacing w:after="80" w:before="80"/>
              <w:ind w:left="100"/>
            </w:pPr>
            <w:r>
              <w:rPr>
                <w:b w:val="false"/>
                <w:bCs w:val="false"/>
                <w:color w:val="0D1B2A"/>
                <w:sz w:val="18"/>
                <w:szCs w:val="18"/>
              </w:rPr>
              <w:t xml:space="preserve">200 ms</w:t>
            </w:r>
          </w:p>
        </w:tc>
        <w:tc>
          <w:tcPr>
            <w:tcW w:type="dxa" w:w="2900"/>
            <w:shd/>
            <w:vAlign w:val="top"/>
          </w:tcPr>
          <w:p>
            <w:pPr>
              <w:spacing w:after="80" w:before="80"/>
              <w:ind w:left="100"/>
            </w:pPr>
            <w:r>
              <w:rPr>
                <w:b w:val="false"/>
                <w:bCs w:val="false"/>
                <w:color w:val="0D1B2A"/>
                <w:sz w:val="18"/>
                <w:szCs w:val="18"/>
              </w:rPr>
              <w:t xml:space="preserve">200 ms</w:t>
            </w:r>
          </w:p>
        </w:tc>
      </w:tr>
      <w:tr>
        <w:trPr>
          <w:tblHeader w:val="false"/>
        </w:trPr>
        <w:tc>
          <w:tcPr>
            <w:tcW w:type="dxa" w:w="3200"/>
            <w:shd w:color="F4F6F9" w:val="clear"/>
            <w:vAlign w:val="top"/>
          </w:tcPr>
          <w:p>
            <w:pPr>
              <w:spacing w:after="80" w:before="80"/>
              <w:ind w:left="100"/>
            </w:pPr>
            <w:r>
              <w:rPr>
                <w:b w:val="false"/>
                <w:bCs w:val="false"/>
                <w:color w:val="0D1B2A"/>
                <w:sz w:val="18"/>
                <w:szCs w:val="18"/>
              </w:rPr>
              <w:t xml:space="preserve">Dashboard render</w:t>
            </w:r>
          </w:p>
        </w:tc>
        <w:tc>
          <w:tcPr>
            <w:tcW w:type="dxa" w:w="2900"/>
            <w:shd w:color="F4F6F9" w:val="clear"/>
            <w:vAlign w:val="top"/>
          </w:tcPr>
          <w:p>
            <w:pPr>
              <w:spacing w:after="80" w:before="80"/>
              <w:ind w:left="100"/>
            </w:pPr>
            <w:r>
              <w:rPr>
                <w:b w:val="false"/>
                <w:bCs w:val="false"/>
                <w:color w:val="0D1B2A"/>
                <w:sz w:val="18"/>
                <w:szCs w:val="18"/>
              </w:rPr>
              <w:t xml:space="preserve">300 ms</w:t>
            </w:r>
          </w:p>
        </w:tc>
        <w:tc>
          <w:tcPr>
            <w:tcW w:type="dxa" w:w="2900"/>
            <w:shd w:color="F4F6F9" w:val="clear"/>
            <w:vAlign w:val="top"/>
          </w:tcPr>
          <w:p>
            <w:pPr>
              <w:spacing w:after="80" w:before="80"/>
              <w:ind w:left="100"/>
            </w:pPr>
            <w:r>
              <w:rPr>
                <w:b w:val="false"/>
                <w:bCs w:val="false"/>
                <w:color w:val="0D1B2A"/>
                <w:sz w:val="18"/>
                <w:szCs w:val="18"/>
              </w:rPr>
              <w:t xml:space="preserve">300 ms</w:t>
            </w:r>
          </w:p>
        </w:tc>
      </w:tr>
    </w:tbl>
    <w:p>
      <w:pPr>
        <w:pStyle w:val="Heading3"/>
        <w:spacing w:after="120" w:before="240"/>
      </w:pPr>
      <w:r>
        <w:t xml:space="preserve">NFR-PERF-03 — Concurrent Document Handling</w:t>
      </w:r>
    </w:p>
    <w:p>
      <w:pPr>
        <w:spacing w:after="140"/>
      </w:pPr>
      <w:r>
        <w:t xml:space="preserve">The system shall support processing of a minimum of 4 simultaneous document submissions from 4 officer workstations sharing a single GPU server, without any individual submission exceeding 2× the single-document processing time. The FastAPI application shall handle concurrent requests using Python asyncio with non-blocking GPU task queuing.</w:t>
      </w:r>
    </w:p>
    <w:p>
      <w:pPr>
        <w:pStyle w:val="Heading3"/>
        <w:spacing w:after="120" w:before="240"/>
      </w:pPr>
      <w:r>
        <w:t xml:space="preserve">NFR-PERF-04 — Offline Operation</w:t>
      </w:r>
    </w:p>
    <w:p>
      <w:pPr>
        <w:spacing w:after="140"/>
      </w:pPr>
      <w:r>
        <w:t xml:space="preserve">All fast-path modules (OCR, ELA, copy-move, EXIF, ArcFace ONNX, liveness, validation, risk scoring) shall function with zero external network dependency. The MVSS-Net GPU model shall be pre-loaded at system startup. Watchlist lookup shall fall back to local SQLite if Redis is unavailable. The system shall pass a full offline operation test (network interface disabled) with no functional degradation other than the inability to synchronise watchlist updates.</w:t>
      </w:r>
    </w:p>
    <w:p>
      <w:pPr>
        <w:pStyle w:val="Heading3"/>
        <w:spacing w:after="120" w:before="240"/>
      </w:pPr>
      <w:r>
        <w:t xml:space="preserve">NFR-PERF-05 — Dashboard UI Responsiveness</w:t>
      </w:r>
    </w:p>
    <w:p>
      <w:pPr>
        <w:spacing w:after="140"/>
      </w:pPr>
      <w:r>
        <w:t xml:space="preserve">The officer dashboard shall render the initial screen in under 2 seconds on first load (cached). Module progress updates shall reach the browser within 200 ms of the corresponding backend event via WebSocket. All interactive controls (toggles, buttons, filters) shall respond within 150 ms of officer interaction.</w:t>
      </w:r>
    </w:p>
    <w:p>
      <w:pPr>
        <w:pStyle w:val="Heading2"/>
        <w:spacing w:after="160" w:before="360"/>
      </w:pPr>
      <w:r>
        <w:t xml:space="preserve">4.2  Security Requirements</w:t>
      </w:r>
    </w:p>
    <w:p>
      <w:pPr>
        <w:pStyle w:val="Heading3"/>
        <w:spacing w:after="120" w:before="240"/>
      </w:pPr>
      <w:r>
        <w:t xml:space="preserve">NFR-SEC-01 — Data Sovereignty</w:t>
      </w:r>
    </w:p>
    <w:p>
      <w:pPr>
        <w:spacing w:after="140"/>
      </w:pPr>
      <w:r>
        <w:t xml:space="preserve">No document image, biometric data, identity field value, or risk score shall be transmitted to any system outside the SSB checkpoint network perimeter. All AI inference shall run on on-premise hardware. Cloud-based OCR, face recognition, or document verification APIs are prohibited. This requirement shall be verified by network traffic analysis at acceptance testing.</w:t>
      </w:r>
    </w:p>
    <w:p>
      <w:pPr>
        <w:pStyle w:val="Heading3"/>
        <w:spacing w:after="120" w:before="240"/>
      </w:pPr>
      <w:r>
        <w:t xml:space="preserve">NFR-SEC-02 — Audit Trail Integrity</w:t>
      </w:r>
    </w:p>
    <w:p>
      <w:pPr>
        <w:spacing w:after="140"/>
      </w:pPr>
      <w:r>
        <w:t xml:space="preserve">The audit database shall be configured in append-only mode enforced at the SQLite connection level. The application database user shall have INSERT privilege only on the audit table. HMAC-SHA256 record signing (FR-AUD-02) shall ensure post-hoc tampering detection. The verification utility shall be run as part of the monthly audit compliance check.</w:t>
      </w:r>
    </w:p>
    <w:p>
      <w:pPr>
        <w:pStyle w:val="Heading3"/>
        <w:spacing w:after="120" w:before="240"/>
      </w:pPr>
      <w:r>
        <w:t xml:space="preserve">NFR-SEC-03 — Biometric Data Handling</w:t>
      </w:r>
    </w:p>
    <w:p>
      <w:pPr>
        <w:spacing w:after="140"/>
      </w:pPr>
      <w:r>
        <w:t xml:space="preserve">Face embeddings extracted from live captures shall not be persisted beyond the active processing session unless explicitly stored as part of a watchlist entry by an authorised administrator. Face images stored in the audit trail shall be protected by AES-256-GCM encryption at rest. The encryption key shall be stored separately from the database in the system's secure configuration vault.</w:t>
      </w:r>
    </w:p>
    <w:p>
      <w:pPr>
        <w:pStyle w:val="Heading3"/>
        <w:spacing w:after="120" w:before="240"/>
      </w:pPr>
      <w:r>
        <w:t xml:space="preserve">NFR-SEC-04 — Access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400"/>
        <w:gridCol w:w="1600"/>
      </w:tblGrid>
      <w:tr>
        <w:trPr>
          <w:tblHeader/>
        </w:trPr>
        <w:tc>
          <w:tcPr>
            <w:tcW w:type="dxa" w:w="3200"/>
            <w:shd w:color="1B2A4A" w:val="clear"/>
            <w:vAlign w:val="top"/>
          </w:tcPr>
          <w:p>
            <w:pPr>
              <w:spacing w:after="80" w:before="80"/>
              <w:ind w:left="100"/>
            </w:pPr>
            <w:r>
              <w:rPr>
                <w:b/>
                <w:bCs/>
                <w:color w:val="FFFFFF"/>
                <w:sz w:val="18"/>
                <w:szCs w:val="18"/>
              </w:rPr>
              <w:t xml:space="preserve">Function</w:t>
            </w:r>
          </w:p>
        </w:tc>
        <w:tc>
          <w:tcPr>
            <w:tcW w:type="dxa" w:w="1400"/>
            <w:shd w:color="1B2A4A" w:val="clear"/>
            <w:vAlign w:val="top"/>
          </w:tcPr>
          <w:p>
            <w:pPr>
              <w:spacing w:after="80" w:before="80"/>
              <w:ind w:left="100"/>
            </w:pPr>
            <w:r>
              <w:rPr>
                <w:b/>
                <w:bCs/>
                <w:color w:val="FFFFFF"/>
                <w:sz w:val="18"/>
                <w:szCs w:val="18"/>
              </w:rPr>
              <w:t xml:space="preserve">Border Officer</w:t>
            </w:r>
          </w:p>
        </w:tc>
        <w:tc>
          <w:tcPr>
            <w:tcW w:type="dxa" w:w="1400"/>
            <w:shd w:color="1B2A4A" w:val="clear"/>
            <w:vAlign w:val="top"/>
          </w:tcPr>
          <w:p>
            <w:pPr>
              <w:spacing w:after="80" w:before="80"/>
              <w:ind w:left="100"/>
            </w:pPr>
            <w:r>
              <w:rPr>
                <w:b/>
                <w:bCs/>
                <w:color w:val="FFFFFF"/>
                <w:sz w:val="18"/>
                <w:szCs w:val="18"/>
              </w:rPr>
              <w:t xml:space="preserve">Supervisor</w:t>
            </w:r>
          </w:p>
        </w:tc>
        <w:tc>
          <w:tcPr>
            <w:tcW w:type="dxa" w:w="1400"/>
            <w:shd w:color="1B2A4A" w:val="clear"/>
            <w:vAlign w:val="top"/>
          </w:tcPr>
          <w:p>
            <w:pPr>
              <w:spacing w:after="80" w:before="80"/>
              <w:ind w:left="100"/>
            </w:pPr>
            <w:r>
              <w:rPr>
                <w:b/>
                <w:bCs/>
                <w:color w:val="FFFFFF"/>
                <w:sz w:val="18"/>
                <w:szCs w:val="18"/>
              </w:rPr>
              <w:t xml:space="preserve">Sys Admin</w:t>
            </w:r>
          </w:p>
        </w:tc>
        <w:tc>
          <w:tcPr>
            <w:tcW w:type="dxa" w:w="1600"/>
            <w:shd w:color="1B2A4A" w:val="clear"/>
            <w:vAlign w:val="top"/>
          </w:tcPr>
          <w:p>
            <w:pPr>
              <w:spacing w:after="80" w:before="80"/>
              <w:ind w:left="100"/>
            </w:pPr>
            <w:r>
              <w:rPr>
                <w:b/>
                <w:bCs/>
                <w:color w:val="FFFFFF"/>
                <w:sz w:val="18"/>
                <w:szCs w:val="18"/>
              </w:rPr>
              <w:t xml:space="preserve">Auditor</w:t>
            </w:r>
          </w:p>
        </w:tc>
      </w:tr>
      <w:tr>
        <w:trPr>
          <w:tblHeader w:val="false"/>
        </w:trPr>
        <w:tc>
          <w:tcPr>
            <w:tcW w:type="dxa" w:w="3200"/>
            <w:shd w:color="F4F6F9" w:val="clear"/>
            <w:vAlign w:val="top"/>
          </w:tcPr>
          <w:p>
            <w:pPr>
              <w:spacing w:after="80" w:before="80"/>
              <w:ind w:left="100"/>
            </w:pPr>
            <w:r>
              <w:rPr>
                <w:b w:val="false"/>
                <w:bCs w:val="false"/>
                <w:color w:val="0D1B2A"/>
                <w:sz w:val="18"/>
                <w:szCs w:val="18"/>
              </w:rPr>
              <w:t xml:space="preserve">Submit document for analysis</w:t>
            </w:r>
          </w:p>
        </w:tc>
        <w:tc>
          <w:tcPr>
            <w:tcW w:type="dxa" w:w="1400"/>
            <w:shd w:color="F4F6F9" w:val="clear"/>
            <w:vAlign w:val="top"/>
          </w:tcPr>
          <w:p>
            <w:pPr>
              <w:spacing w:after="80" w:before="80"/>
              <w:ind w:left="100"/>
            </w:pPr>
            <w:r>
              <w:rPr>
                <w:b w:val="false"/>
                <w:bCs w:val="false"/>
                <w:color w:val="0D1B2A"/>
                <w:sz w:val="18"/>
                <w:szCs w:val="18"/>
              </w:rPr>
              <w:t xml:space="preserve">YES</w:t>
            </w:r>
          </w:p>
        </w:tc>
        <w:tc>
          <w:tcPr>
            <w:tcW w:type="dxa" w:w="1400"/>
            <w:shd w:color="F4F6F9" w:val="clear"/>
            <w:vAlign w:val="top"/>
          </w:tcPr>
          <w:p>
            <w:pPr>
              <w:spacing w:after="80" w:before="80"/>
              <w:ind w:left="100"/>
            </w:pPr>
            <w:r>
              <w:rPr>
                <w:b w:val="false"/>
                <w:bCs w:val="false"/>
                <w:color w:val="0D1B2A"/>
                <w:sz w:val="18"/>
                <w:szCs w:val="18"/>
              </w:rPr>
              <w:t xml:space="preserve">YES</w:t>
            </w:r>
          </w:p>
        </w:tc>
        <w:tc>
          <w:tcPr>
            <w:tcW w:type="dxa" w:w="1400"/>
            <w:shd w:color="F4F6F9" w:val="clear"/>
            <w:vAlign w:val="top"/>
          </w:tcPr>
          <w:p>
            <w:pPr>
              <w:spacing w:after="80" w:before="80"/>
              <w:ind w:left="100"/>
            </w:pPr>
            <w:r>
              <w:rPr>
                <w:b w:val="false"/>
                <w:bCs w:val="false"/>
                <w:color w:val="0D1B2A"/>
                <w:sz w:val="18"/>
                <w:szCs w:val="18"/>
              </w:rPr>
              <w:t xml:space="preserve">YES</w:t>
            </w:r>
          </w:p>
        </w:tc>
        <w:tc>
          <w:tcPr>
            <w:tcW w:type="dxa" w:w="1600"/>
            <w:shd w:color="F4F6F9" w:val="clear"/>
            <w:vAlign w:val="top"/>
          </w:tcPr>
          <w:p>
            <w:pPr>
              <w:spacing w:after="80" w:before="80"/>
              <w:ind w:left="100"/>
            </w:pPr>
            <w:r>
              <w:rPr>
                <w:b w:val="false"/>
                <w:bCs w:val="false"/>
                <w:color w:val="0D1B2A"/>
                <w:sz w:val="18"/>
                <w:szCs w:val="18"/>
              </w:rPr>
              <w:t xml:space="preserve">NO</w:t>
            </w:r>
          </w:p>
        </w:tc>
      </w:tr>
      <w:tr>
        <w:trPr>
          <w:tblHeader w:val="false"/>
        </w:trPr>
        <w:tc>
          <w:tcPr>
            <w:tcW w:type="dxa" w:w="3200"/>
            <w:shd/>
            <w:vAlign w:val="top"/>
          </w:tcPr>
          <w:p>
            <w:pPr>
              <w:spacing w:after="80" w:before="80"/>
              <w:ind w:left="100"/>
            </w:pPr>
            <w:r>
              <w:rPr>
                <w:b w:val="false"/>
                <w:bCs w:val="false"/>
                <w:color w:val="0D1B2A"/>
                <w:sz w:val="18"/>
                <w:szCs w:val="18"/>
              </w:rPr>
              <w:t xml:space="preserve">View risk results for own submissions</w:t>
            </w:r>
          </w:p>
        </w:tc>
        <w:tc>
          <w:tcPr>
            <w:tcW w:type="dxa" w:w="1400"/>
            <w:shd/>
            <w:vAlign w:val="top"/>
          </w:tcPr>
          <w:p>
            <w:pPr>
              <w:spacing w:after="80" w:before="80"/>
              <w:ind w:left="100"/>
            </w:pPr>
            <w:r>
              <w:rPr>
                <w:b w:val="false"/>
                <w:bCs w:val="false"/>
                <w:color w:val="0D1B2A"/>
                <w:sz w:val="18"/>
                <w:szCs w:val="18"/>
              </w:rPr>
              <w:t xml:space="preserve">YES</w:t>
            </w:r>
          </w:p>
        </w:tc>
        <w:tc>
          <w:tcPr>
            <w:tcW w:type="dxa" w:w="1400"/>
            <w:shd/>
            <w:vAlign w:val="top"/>
          </w:tcPr>
          <w:p>
            <w:pPr>
              <w:spacing w:after="80" w:before="80"/>
              <w:ind w:left="100"/>
            </w:pPr>
            <w:r>
              <w:rPr>
                <w:b w:val="false"/>
                <w:bCs w:val="false"/>
                <w:color w:val="0D1B2A"/>
                <w:sz w:val="18"/>
                <w:szCs w:val="18"/>
              </w:rPr>
              <w:t xml:space="preserve">YES</w:t>
            </w:r>
          </w:p>
        </w:tc>
        <w:tc>
          <w:tcPr>
            <w:tcW w:type="dxa" w:w="1400"/>
            <w:shd/>
            <w:vAlign w:val="top"/>
          </w:tcPr>
          <w:p>
            <w:pPr>
              <w:spacing w:after="80" w:before="80"/>
              <w:ind w:left="100"/>
            </w:pPr>
            <w:r>
              <w:rPr>
                <w:b w:val="false"/>
                <w:bCs w:val="false"/>
                <w:color w:val="0D1B2A"/>
                <w:sz w:val="18"/>
                <w:szCs w:val="18"/>
              </w:rPr>
              <w:t xml:space="preserve">YES</w:t>
            </w:r>
          </w:p>
        </w:tc>
        <w:tc>
          <w:tcPr>
            <w:tcW w:type="dxa" w:w="1600"/>
            <w:shd/>
            <w:vAlign w:val="top"/>
          </w:tcPr>
          <w:p>
            <w:pPr>
              <w:spacing w:after="80" w:before="80"/>
              <w:ind w:left="100"/>
            </w:pPr>
            <w:r>
              <w:rPr>
                <w:b w:val="false"/>
                <w:bCs w:val="false"/>
                <w:color w:val="0D1B2A"/>
                <w:sz w:val="18"/>
                <w:szCs w:val="18"/>
              </w:rPr>
              <w:t xml:space="preserve">NO</w:t>
            </w:r>
          </w:p>
        </w:tc>
      </w:tr>
      <w:tr>
        <w:trPr>
          <w:tblHeader w:val="false"/>
        </w:trPr>
        <w:tc>
          <w:tcPr>
            <w:tcW w:type="dxa" w:w="3200"/>
            <w:shd w:color="F4F6F9" w:val="clear"/>
            <w:vAlign w:val="top"/>
          </w:tcPr>
          <w:p>
            <w:pPr>
              <w:spacing w:after="80" w:before="80"/>
              <w:ind w:left="100"/>
            </w:pPr>
            <w:r>
              <w:rPr>
                <w:b w:val="false"/>
                <w:bCs w:val="false"/>
                <w:color w:val="0D1B2A"/>
                <w:sz w:val="18"/>
                <w:szCs w:val="18"/>
              </w:rPr>
              <w:t xml:space="preserve">Override risk assessment decision</w:t>
            </w:r>
          </w:p>
        </w:tc>
        <w:tc>
          <w:tcPr>
            <w:tcW w:type="dxa" w:w="1400"/>
            <w:shd w:color="F4F6F9" w:val="clear"/>
            <w:vAlign w:val="top"/>
          </w:tcPr>
          <w:p>
            <w:pPr>
              <w:spacing w:after="80" w:before="80"/>
              <w:ind w:left="100"/>
            </w:pPr>
            <w:r>
              <w:rPr>
                <w:b w:val="false"/>
                <w:bCs w:val="false"/>
                <w:color w:val="0D1B2A"/>
                <w:sz w:val="18"/>
                <w:szCs w:val="18"/>
              </w:rPr>
              <w:t xml:space="preserve">NO</w:t>
            </w:r>
          </w:p>
        </w:tc>
        <w:tc>
          <w:tcPr>
            <w:tcW w:type="dxa" w:w="1400"/>
            <w:shd w:color="F4F6F9" w:val="clear"/>
            <w:vAlign w:val="top"/>
          </w:tcPr>
          <w:p>
            <w:pPr>
              <w:spacing w:after="80" w:before="80"/>
              <w:ind w:left="100"/>
            </w:pPr>
            <w:r>
              <w:rPr>
                <w:b w:val="false"/>
                <w:bCs w:val="false"/>
                <w:color w:val="0D1B2A"/>
                <w:sz w:val="18"/>
                <w:szCs w:val="18"/>
              </w:rPr>
              <w:t xml:space="preserve">YES</w:t>
            </w:r>
          </w:p>
        </w:tc>
        <w:tc>
          <w:tcPr>
            <w:tcW w:type="dxa" w:w="1400"/>
            <w:shd w:color="F4F6F9" w:val="clear"/>
            <w:vAlign w:val="top"/>
          </w:tcPr>
          <w:p>
            <w:pPr>
              <w:spacing w:after="80" w:before="80"/>
              <w:ind w:left="100"/>
            </w:pPr>
            <w:r>
              <w:rPr>
                <w:b w:val="false"/>
                <w:bCs w:val="false"/>
                <w:color w:val="0D1B2A"/>
                <w:sz w:val="18"/>
                <w:szCs w:val="18"/>
              </w:rPr>
              <w:t xml:space="preserve">NO</w:t>
            </w:r>
          </w:p>
        </w:tc>
        <w:tc>
          <w:tcPr>
            <w:tcW w:type="dxa" w:w="1600"/>
            <w:shd w:color="F4F6F9" w:val="clear"/>
            <w:vAlign w:val="top"/>
          </w:tcPr>
          <w:p>
            <w:pPr>
              <w:spacing w:after="80" w:before="80"/>
              <w:ind w:left="100"/>
            </w:pPr>
            <w:r>
              <w:rPr>
                <w:b w:val="false"/>
                <w:bCs w:val="false"/>
                <w:color w:val="0D1B2A"/>
                <w:sz w:val="18"/>
                <w:szCs w:val="18"/>
              </w:rPr>
              <w:t xml:space="preserve">NO</w:t>
            </w:r>
          </w:p>
        </w:tc>
      </w:tr>
      <w:tr>
        <w:trPr>
          <w:tblHeader w:val="false"/>
        </w:trPr>
        <w:tc>
          <w:tcPr>
            <w:tcW w:type="dxa" w:w="3200"/>
            <w:shd/>
            <w:vAlign w:val="top"/>
          </w:tcPr>
          <w:p>
            <w:pPr>
              <w:spacing w:after="80" w:before="80"/>
              <w:ind w:left="100"/>
            </w:pPr>
            <w:r>
              <w:rPr>
                <w:b w:val="false"/>
                <w:bCs w:val="false"/>
                <w:color w:val="0D1B2A"/>
                <w:sz w:val="18"/>
                <w:szCs w:val="18"/>
              </w:rPr>
              <w:t xml:space="preserve">View all checkpoint audit records</w:t>
            </w:r>
          </w:p>
        </w:tc>
        <w:tc>
          <w:tcPr>
            <w:tcW w:type="dxa" w:w="1400"/>
            <w:shd/>
            <w:vAlign w:val="top"/>
          </w:tcPr>
          <w:p>
            <w:pPr>
              <w:spacing w:after="80" w:before="80"/>
              <w:ind w:left="100"/>
            </w:pPr>
            <w:r>
              <w:rPr>
                <w:b w:val="false"/>
                <w:bCs w:val="false"/>
                <w:color w:val="0D1B2A"/>
                <w:sz w:val="18"/>
                <w:szCs w:val="18"/>
              </w:rPr>
              <w:t xml:space="preserve">NO</w:t>
            </w:r>
          </w:p>
        </w:tc>
        <w:tc>
          <w:tcPr>
            <w:tcW w:type="dxa" w:w="1400"/>
            <w:shd/>
            <w:vAlign w:val="top"/>
          </w:tcPr>
          <w:p>
            <w:pPr>
              <w:spacing w:after="80" w:before="80"/>
              <w:ind w:left="100"/>
            </w:pPr>
            <w:r>
              <w:rPr>
                <w:b w:val="false"/>
                <w:bCs w:val="false"/>
                <w:color w:val="0D1B2A"/>
                <w:sz w:val="18"/>
                <w:szCs w:val="18"/>
              </w:rPr>
              <w:t xml:space="preserve">YES</w:t>
            </w:r>
          </w:p>
        </w:tc>
        <w:tc>
          <w:tcPr>
            <w:tcW w:type="dxa" w:w="1400"/>
            <w:shd/>
            <w:vAlign w:val="top"/>
          </w:tcPr>
          <w:p>
            <w:pPr>
              <w:spacing w:after="80" w:before="80"/>
              <w:ind w:left="100"/>
            </w:pPr>
            <w:r>
              <w:rPr>
                <w:b w:val="false"/>
                <w:bCs w:val="false"/>
                <w:color w:val="0D1B2A"/>
                <w:sz w:val="18"/>
                <w:szCs w:val="18"/>
              </w:rPr>
              <w:t xml:space="preserve">YES</w:t>
            </w:r>
          </w:p>
        </w:tc>
        <w:tc>
          <w:tcPr>
            <w:tcW w:type="dxa" w:w="1600"/>
            <w:shd/>
            <w:vAlign w:val="top"/>
          </w:tcPr>
          <w:p>
            <w:pPr>
              <w:spacing w:after="80" w:before="80"/>
              <w:ind w:left="100"/>
            </w:pPr>
            <w:r>
              <w:rPr>
                <w:b w:val="false"/>
                <w:bCs w:val="false"/>
                <w:color w:val="0D1B2A"/>
                <w:sz w:val="18"/>
                <w:szCs w:val="18"/>
              </w:rPr>
              <w:t xml:space="preserve">YES (read-only)</w:t>
            </w:r>
          </w:p>
        </w:tc>
      </w:tr>
      <w:tr>
        <w:trPr>
          <w:tblHeader w:val="false"/>
        </w:trPr>
        <w:tc>
          <w:tcPr>
            <w:tcW w:type="dxa" w:w="3200"/>
            <w:shd w:color="F4F6F9" w:val="clear"/>
            <w:vAlign w:val="top"/>
          </w:tcPr>
          <w:p>
            <w:pPr>
              <w:spacing w:after="80" w:before="80"/>
              <w:ind w:left="100"/>
            </w:pPr>
            <w:r>
              <w:rPr>
                <w:b w:val="false"/>
                <w:bCs w:val="false"/>
                <w:color w:val="0D1B2A"/>
                <w:sz w:val="18"/>
                <w:szCs w:val="18"/>
              </w:rPr>
              <w:t xml:space="preserve">Manage watchlist entries</w:t>
            </w:r>
          </w:p>
        </w:tc>
        <w:tc>
          <w:tcPr>
            <w:tcW w:type="dxa" w:w="1400"/>
            <w:shd w:color="F4F6F9" w:val="clear"/>
            <w:vAlign w:val="top"/>
          </w:tcPr>
          <w:p>
            <w:pPr>
              <w:spacing w:after="80" w:before="80"/>
              <w:ind w:left="100"/>
            </w:pPr>
            <w:r>
              <w:rPr>
                <w:b w:val="false"/>
                <w:bCs w:val="false"/>
                <w:color w:val="0D1B2A"/>
                <w:sz w:val="18"/>
                <w:szCs w:val="18"/>
              </w:rPr>
              <w:t xml:space="preserve">NO</w:t>
            </w:r>
          </w:p>
        </w:tc>
        <w:tc>
          <w:tcPr>
            <w:tcW w:type="dxa" w:w="1400"/>
            <w:shd w:color="F4F6F9" w:val="clear"/>
            <w:vAlign w:val="top"/>
          </w:tcPr>
          <w:p>
            <w:pPr>
              <w:spacing w:after="80" w:before="80"/>
              <w:ind w:left="100"/>
            </w:pPr>
            <w:r>
              <w:rPr>
                <w:b w:val="false"/>
                <w:bCs w:val="false"/>
                <w:color w:val="0D1B2A"/>
                <w:sz w:val="18"/>
                <w:szCs w:val="18"/>
              </w:rPr>
              <w:t xml:space="preserve">NO</w:t>
            </w:r>
          </w:p>
        </w:tc>
        <w:tc>
          <w:tcPr>
            <w:tcW w:type="dxa" w:w="1400"/>
            <w:shd w:color="F4F6F9" w:val="clear"/>
            <w:vAlign w:val="top"/>
          </w:tcPr>
          <w:p>
            <w:pPr>
              <w:spacing w:after="80" w:before="80"/>
              <w:ind w:left="100"/>
            </w:pPr>
            <w:r>
              <w:rPr>
                <w:b w:val="false"/>
                <w:bCs w:val="false"/>
                <w:color w:val="0D1B2A"/>
                <w:sz w:val="18"/>
                <w:szCs w:val="18"/>
              </w:rPr>
              <w:t xml:space="preserve">YES</w:t>
            </w:r>
          </w:p>
        </w:tc>
        <w:tc>
          <w:tcPr>
            <w:tcW w:type="dxa" w:w="1600"/>
            <w:shd w:color="F4F6F9" w:val="clear"/>
            <w:vAlign w:val="top"/>
          </w:tcPr>
          <w:p>
            <w:pPr>
              <w:spacing w:after="80" w:before="80"/>
              <w:ind w:left="100"/>
            </w:pPr>
            <w:r>
              <w:rPr>
                <w:b w:val="false"/>
                <w:bCs w:val="false"/>
                <w:color w:val="0D1B2A"/>
                <w:sz w:val="18"/>
                <w:szCs w:val="18"/>
              </w:rPr>
              <w:t xml:space="preserve">NO</w:t>
            </w:r>
          </w:p>
        </w:tc>
      </w:tr>
      <w:tr>
        <w:trPr>
          <w:tblHeader w:val="false"/>
        </w:trPr>
        <w:tc>
          <w:tcPr>
            <w:tcW w:type="dxa" w:w="3200"/>
            <w:shd/>
            <w:vAlign w:val="top"/>
          </w:tcPr>
          <w:p>
            <w:pPr>
              <w:spacing w:after="80" w:before="80"/>
              <w:ind w:left="100"/>
            </w:pPr>
            <w:r>
              <w:rPr>
                <w:b w:val="false"/>
                <w:bCs w:val="false"/>
                <w:color w:val="0D1B2A"/>
                <w:sz w:val="18"/>
                <w:szCs w:val="18"/>
              </w:rPr>
              <w:t xml:space="preserve">Trigger manual watchlist synchronisation</w:t>
            </w:r>
          </w:p>
        </w:tc>
        <w:tc>
          <w:tcPr>
            <w:tcW w:type="dxa" w:w="1400"/>
            <w:shd/>
            <w:vAlign w:val="top"/>
          </w:tcPr>
          <w:p>
            <w:pPr>
              <w:spacing w:after="80" w:before="80"/>
              <w:ind w:left="100"/>
            </w:pPr>
            <w:r>
              <w:rPr>
                <w:b w:val="false"/>
                <w:bCs w:val="false"/>
                <w:color w:val="0D1B2A"/>
                <w:sz w:val="18"/>
                <w:szCs w:val="18"/>
              </w:rPr>
              <w:t xml:space="preserve">NO</w:t>
            </w:r>
          </w:p>
        </w:tc>
        <w:tc>
          <w:tcPr>
            <w:tcW w:type="dxa" w:w="1400"/>
            <w:shd/>
            <w:vAlign w:val="top"/>
          </w:tcPr>
          <w:p>
            <w:pPr>
              <w:spacing w:after="80" w:before="80"/>
              <w:ind w:left="100"/>
            </w:pPr>
            <w:r>
              <w:rPr>
                <w:b w:val="false"/>
                <w:bCs w:val="false"/>
                <w:color w:val="0D1B2A"/>
                <w:sz w:val="18"/>
                <w:szCs w:val="18"/>
              </w:rPr>
              <w:t xml:space="preserve">NO</w:t>
            </w:r>
          </w:p>
        </w:tc>
        <w:tc>
          <w:tcPr>
            <w:tcW w:type="dxa" w:w="1400"/>
            <w:shd/>
            <w:vAlign w:val="top"/>
          </w:tcPr>
          <w:p>
            <w:pPr>
              <w:spacing w:after="80" w:before="80"/>
              <w:ind w:left="100"/>
            </w:pPr>
            <w:r>
              <w:rPr>
                <w:b w:val="false"/>
                <w:bCs w:val="false"/>
                <w:color w:val="0D1B2A"/>
                <w:sz w:val="18"/>
                <w:szCs w:val="18"/>
              </w:rPr>
              <w:t xml:space="preserve">YES</w:t>
            </w:r>
          </w:p>
        </w:tc>
        <w:tc>
          <w:tcPr>
            <w:tcW w:type="dxa" w:w="1600"/>
            <w:shd/>
            <w:vAlign w:val="top"/>
          </w:tcPr>
          <w:p>
            <w:pPr>
              <w:spacing w:after="80" w:before="80"/>
              <w:ind w:left="100"/>
            </w:pPr>
            <w:r>
              <w:rPr>
                <w:b w:val="false"/>
                <w:bCs w:val="false"/>
                <w:color w:val="0D1B2A"/>
                <w:sz w:val="18"/>
                <w:szCs w:val="18"/>
              </w:rPr>
              <w:t xml:space="preserve">NO</w:t>
            </w:r>
          </w:p>
        </w:tc>
      </w:tr>
      <w:tr>
        <w:trPr>
          <w:tblHeader w:val="false"/>
        </w:trPr>
        <w:tc>
          <w:tcPr>
            <w:tcW w:type="dxa" w:w="3200"/>
            <w:shd w:color="F4F6F9" w:val="clear"/>
            <w:vAlign w:val="top"/>
          </w:tcPr>
          <w:p>
            <w:pPr>
              <w:spacing w:after="80" w:before="80"/>
              <w:ind w:left="100"/>
            </w:pPr>
            <w:r>
              <w:rPr>
                <w:b w:val="false"/>
                <w:bCs w:val="false"/>
                <w:color w:val="0D1B2A"/>
                <w:sz w:val="18"/>
                <w:szCs w:val="18"/>
              </w:rPr>
              <w:t xml:space="preserve">View system health and model version</w:t>
            </w:r>
          </w:p>
        </w:tc>
        <w:tc>
          <w:tcPr>
            <w:tcW w:type="dxa" w:w="1400"/>
            <w:shd w:color="F4F6F9" w:val="clear"/>
            <w:vAlign w:val="top"/>
          </w:tcPr>
          <w:p>
            <w:pPr>
              <w:spacing w:after="80" w:before="80"/>
              <w:ind w:left="100"/>
            </w:pPr>
            <w:r>
              <w:rPr>
                <w:b w:val="false"/>
                <w:bCs w:val="false"/>
                <w:color w:val="0D1B2A"/>
                <w:sz w:val="18"/>
                <w:szCs w:val="18"/>
              </w:rPr>
              <w:t xml:space="preserve">NO</w:t>
            </w:r>
          </w:p>
        </w:tc>
        <w:tc>
          <w:tcPr>
            <w:tcW w:type="dxa" w:w="1400"/>
            <w:shd w:color="F4F6F9" w:val="clear"/>
            <w:vAlign w:val="top"/>
          </w:tcPr>
          <w:p>
            <w:pPr>
              <w:spacing w:after="80" w:before="80"/>
              <w:ind w:left="100"/>
            </w:pPr>
            <w:r>
              <w:rPr>
                <w:b w:val="false"/>
                <w:bCs w:val="false"/>
                <w:color w:val="0D1B2A"/>
                <w:sz w:val="18"/>
                <w:szCs w:val="18"/>
              </w:rPr>
              <w:t xml:space="preserve">NO</w:t>
            </w:r>
          </w:p>
        </w:tc>
        <w:tc>
          <w:tcPr>
            <w:tcW w:type="dxa" w:w="1400"/>
            <w:shd w:color="F4F6F9" w:val="clear"/>
            <w:vAlign w:val="top"/>
          </w:tcPr>
          <w:p>
            <w:pPr>
              <w:spacing w:after="80" w:before="80"/>
              <w:ind w:left="100"/>
            </w:pPr>
            <w:r>
              <w:rPr>
                <w:b w:val="false"/>
                <w:bCs w:val="false"/>
                <w:color w:val="0D1B2A"/>
                <w:sz w:val="18"/>
                <w:szCs w:val="18"/>
              </w:rPr>
              <w:t xml:space="preserve">YES</w:t>
            </w:r>
          </w:p>
        </w:tc>
        <w:tc>
          <w:tcPr>
            <w:tcW w:type="dxa" w:w="1600"/>
            <w:shd w:color="F4F6F9" w:val="clear"/>
            <w:vAlign w:val="top"/>
          </w:tcPr>
          <w:p>
            <w:pPr>
              <w:spacing w:after="80" w:before="80"/>
              <w:ind w:left="100"/>
            </w:pPr>
            <w:r>
              <w:rPr>
                <w:b w:val="false"/>
                <w:bCs w:val="false"/>
                <w:color w:val="0D1B2A"/>
                <w:sz w:val="18"/>
                <w:szCs w:val="18"/>
              </w:rPr>
              <w:t xml:space="preserve">YES</w:t>
            </w:r>
          </w:p>
        </w:tc>
      </w:tr>
      <w:tr>
        <w:trPr>
          <w:tblHeader w:val="false"/>
        </w:trPr>
        <w:tc>
          <w:tcPr>
            <w:tcW w:type="dxa" w:w="3200"/>
            <w:shd/>
            <w:vAlign w:val="top"/>
          </w:tcPr>
          <w:p>
            <w:pPr>
              <w:spacing w:after="80" w:before="80"/>
              <w:ind w:left="100"/>
            </w:pPr>
            <w:r>
              <w:rPr>
                <w:b w:val="false"/>
                <w:bCs w:val="false"/>
                <w:color w:val="0D1B2A"/>
                <w:sz w:val="18"/>
                <w:szCs w:val="18"/>
              </w:rPr>
              <w:t xml:space="preserve">Export audit report (PDF)</w:t>
            </w:r>
          </w:p>
        </w:tc>
        <w:tc>
          <w:tcPr>
            <w:tcW w:type="dxa" w:w="1400"/>
            <w:shd/>
            <w:vAlign w:val="top"/>
          </w:tcPr>
          <w:p>
            <w:pPr>
              <w:spacing w:after="80" w:before="80"/>
              <w:ind w:left="100"/>
            </w:pPr>
            <w:r>
              <w:rPr>
                <w:b w:val="false"/>
                <w:bCs w:val="false"/>
                <w:color w:val="0D1B2A"/>
                <w:sz w:val="18"/>
                <w:szCs w:val="18"/>
              </w:rPr>
              <w:t xml:space="preserve">NO</w:t>
            </w:r>
          </w:p>
        </w:tc>
        <w:tc>
          <w:tcPr>
            <w:tcW w:type="dxa" w:w="1400"/>
            <w:shd/>
            <w:vAlign w:val="top"/>
          </w:tcPr>
          <w:p>
            <w:pPr>
              <w:spacing w:after="80" w:before="80"/>
              <w:ind w:left="100"/>
            </w:pPr>
            <w:r>
              <w:rPr>
                <w:b w:val="false"/>
                <w:bCs w:val="false"/>
                <w:color w:val="0D1B2A"/>
                <w:sz w:val="18"/>
                <w:szCs w:val="18"/>
              </w:rPr>
              <w:t xml:space="preserve">YES</w:t>
            </w:r>
          </w:p>
        </w:tc>
        <w:tc>
          <w:tcPr>
            <w:tcW w:type="dxa" w:w="1400"/>
            <w:shd/>
            <w:vAlign w:val="top"/>
          </w:tcPr>
          <w:p>
            <w:pPr>
              <w:spacing w:after="80" w:before="80"/>
              <w:ind w:left="100"/>
            </w:pPr>
            <w:r>
              <w:rPr>
                <w:b w:val="false"/>
                <w:bCs w:val="false"/>
                <w:color w:val="0D1B2A"/>
                <w:sz w:val="18"/>
                <w:szCs w:val="18"/>
              </w:rPr>
              <w:t xml:space="preserve">YES</w:t>
            </w:r>
          </w:p>
        </w:tc>
        <w:tc>
          <w:tcPr>
            <w:tcW w:type="dxa" w:w="1600"/>
            <w:shd/>
            <w:vAlign w:val="top"/>
          </w:tcPr>
          <w:p>
            <w:pPr>
              <w:spacing w:after="80" w:before="80"/>
              <w:ind w:left="100"/>
            </w:pPr>
            <w:r>
              <w:rPr>
                <w:b w:val="false"/>
                <w:bCs w:val="false"/>
                <w:color w:val="0D1B2A"/>
                <w:sz w:val="18"/>
                <w:szCs w:val="18"/>
              </w:rPr>
              <w:t xml:space="preserve">YES</w:t>
            </w:r>
          </w:p>
        </w:tc>
      </w:tr>
      <w:tr>
        <w:trPr>
          <w:tblHeader w:val="false"/>
        </w:trPr>
        <w:tc>
          <w:tcPr>
            <w:tcW w:type="dxa" w:w="3200"/>
            <w:shd w:color="F4F6F9" w:val="clear"/>
            <w:vAlign w:val="top"/>
          </w:tcPr>
          <w:p>
            <w:pPr>
              <w:spacing w:after="80" w:before="80"/>
              <w:ind w:left="100"/>
            </w:pPr>
            <w:r>
              <w:rPr>
                <w:b w:val="false"/>
                <w:bCs w:val="false"/>
                <w:color w:val="0D1B2A"/>
                <w:sz w:val="18"/>
                <w:szCs w:val="18"/>
              </w:rPr>
              <w:t xml:space="preserve">Modify or delete any record</w:t>
            </w:r>
          </w:p>
        </w:tc>
        <w:tc>
          <w:tcPr>
            <w:tcW w:type="dxa" w:w="1400"/>
            <w:shd w:color="F4F6F9" w:val="clear"/>
            <w:vAlign w:val="top"/>
          </w:tcPr>
          <w:p>
            <w:pPr>
              <w:spacing w:after="80" w:before="80"/>
              <w:ind w:left="100"/>
            </w:pPr>
            <w:r>
              <w:rPr>
                <w:b w:val="false"/>
                <w:bCs w:val="false"/>
                <w:color w:val="0D1B2A"/>
                <w:sz w:val="18"/>
                <w:szCs w:val="18"/>
              </w:rPr>
              <w:t xml:space="preserve">NO</w:t>
            </w:r>
          </w:p>
        </w:tc>
        <w:tc>
          <w:tcPr>
            <w:tcW w:type="dxa" w:w="1400"/>
            <w:shd w:color="F4F6F9" w:val="clear"/>
            <w:vAlign w:val="top"/>
          </w:tcPr>
          <w:p>
            <w:pPr>
              <w:spacing w:after="80" w:before="80"/>
              <w:ind w:left="100"/>
            </w:pPr>
            <w:r>
              <w:rPr>
                <w:b w:val="false"/>
                <w:bCs w:val="false"/>
                <w:color w:val="0D1B2A"/>
                <w:sz w:val="18"/>
                <w:szCs w:val="18"/>
              </w:rPr>
              <w:t xml:space="preserve">NO</w:t>
            </w:r>
          </w:p>
        </w:tc>
        <w:tc>
          <w:tcPr>
            <w:tcW w:type="dxa" w:w="1400"/>
            <w:shd w:color="F4F6F9" w:val="clear"/>
            <w:vAlign w:val="top"/>
          </w:tcPr>
          <w:p>
            <w:pPr>
              <w:spacing w:after="80" w:before="80"/>
              <w:ind w:left="100"/>
            </w:pPr>
            <w:r>
              <w:rPr>
                <w:b w:val="false"/>
                <w:bCs w:val="false"/>
                <w:color w:val="0D1B2A"/>
                <w:sz w:val="18"/>
                <w:szCs w:val="18"/>
              </w:rPr>
              <w:t xml:space="preserve">NO</w:t>
            </w:r>
          </w:p>
        </w:tc>
        <w:tc>
          <w:tcPr>
            <w:tcW w:type="dxa" w:w="1600"/>
            <w:shd w:color="F4F6F9" w:val="clear"/>
            <w:vAlign w:val="top"/>
          </w:tcPr>
          <w:p>
            <w:pPr>
              <w:spacing w:after="80" w:before="80"/>
              <w:ind w:left="100"/>
            </w:pPr>
            <w:r>
              <w:rPr>
                <w:b w:val="false"/>
                <w:bCs w:val="false"/>
                <w:color w:val="0D1B2A"/>
                <w:sz w:val="18"/>
                <w:szCs w:val="18"/>
              </w:rPr>
              <w:t xml:space="preserve">NO</w:t>
            </w:r>
          </w:p>
        </w:tc>
      </w:tr>
    </w:tbl>
    <w:p>
      <w:pPr>
        <w:pStyle w:val="Heading3"/>
        <w:spacing w:after="120" w:before="240"/>
      </w:pPr>
      <w:r>
        <w:t xml:space="preserve">NFR-SEC-05 — Transport Security</w:t>
      </w:r>
    </w:p>
    <w:p>
      <w:pPr>
        <w:spacing w:after="140"/>
      </w:pPr>
      <w:r>
        <w:t xml:space="preserve">All HTTP communication between the officer workstation browser and the FastAPI backend shall be over TLS 1.3 (Nginx reverse proxy with an SSB-issued certificate). WebSocket connections for real-time updates shall also use WSS (TLS 1.3). Internal Docker network communication between containers shall use an isolated Docker bridge network not exposed to the host network interface.</w:t>
      </w:r>
    </w:p>
    <w:p>
      <w:pPr>
        <w:pStyle w:val="Heading2"/>
        <w:spacing w:after="160" w:before="360"/>
      </w:pPr>
      <w:r>
        <w:t xml:space="preserve">4.3  Reliability Requirements</w:t>
      </w:r>
    </w:p>
    <w:p>
      <w:pPr>
        <w:pStyle w:val="Heading3"/>
        <w:spacing w:after="120" w:before="240"/>
      </w:pPr>
      <w:r>
        <w:t xml:space="preserve">NFR-REL-01 — System Uptime</w:t>
      </w:r>
    </w:p>
    <w:p>
      <w:pPr>
        <w:spacing w:after="140"/>
      </w:pPr>
      <w:r>
        <w:t xml:space="preserve">The AIDSS shall achieve ≥ 99.5% uptime during checkpoint operational hours (typically 06:00–22:00 local time). Planned maintenance windows shall be outside operational hours. Unplanned downtime recovery (from any single component failure except GPU server hardware failure) shall complete within 5 minutes via Docker container auto-restart policies.</w:t>
      </w:r>
    </w:p>
    <w:p>
      <w:pPr>
        <w:pStyle w:val="Heading3"/>
        <w:spacing w:after="120" w:before="240"/>
      </w:pPr>
      <w:r>
        <w:t xml:space="preserve">NFR-REL-02 — Graceful Module Degradation</w:t>
      </w:r>
    </w:p>
    <w:p>
      <w:pPr>
        <w:spacing w:after="140"/>
      </w:pPr>
      <w:r>
        <w:t xml:space="preserve">If any individual module fails to return a result within its timeout period, the system shall: (a) log the failure in the audit trail with the module identifier and error type; (b) assign maximum uncertainty (m_unknown = 1.0) to that module's DS mass contribution; (c) complete processing with the remaining modules; (d) display a "MODULE_TIMEOUT" warning in the officer dashboard alongside the degraded result. The officer shall be clearly informed that the result is incomplete.</w:t>
      </w:r>
    </w:p>
    <w:p>
      <w:pPr>
        <w:pStyle w:val="Heading3"/>
        <w:spacing w:after="120" w:before="240"/>
      </w:pPr>
      <w:r>
        <w:t xml:space="preserve">NFR-REL-03 — GPU Fallback</w:t>
      </w:r>
    </w:p>
    <w:p>
      <w:pPr>
        <w:spacing w:after="140"/>
      </w:pPr>
      <w:r>
        <w:t xml:space="preserve">If the GPU server is unavailable (e.g. driver crash, CUDA OOM error), the system shall: (a) automatically switch to CPU-only inference mode within 10 seconds; (b) use ONNX-quantised INT8 models for ArcFace and liveness; (c) return a pre-computed cached result for MVSS-Net with status DEEP_ANALYSIS_PENDING; (d) display a "REDUCED_ACCURACY_MODE" banner in the officer dashboard. The system shall log all GPU fallback activations in the audit trail.</w:t>
      </w:r>
    </w:p>
    <w:p>
      <w:pPr>
        <w:pStyle w:val="Heading3"/>
        <w:spacing w:after="120" w:before="240"/>
      </w:pPr>
      <w:r>
        <w:t xml:space="preserve">NFR-REL-04 — Data Durability</w:t>
      </w:r>
    </w:p>
    <w:p>
      <w:pPr>
        <w:spacing w:after="140"/>
      </w:pPr>
      <w:r>
        <w:t xml:space="preserve">SQLite databases (audit trail, watchlist) shall be configured with WAL (Write-Ahead Logging) mode to ensure that a sudden power loss does not corrupt the database or cause any committed transaction to be lost. Redis shall be configured with AOF (Append-Only File) persistence with fsync policy "everysec" to limit data loss to at most one second of write operations in the event of a crash.</w:t>
      </w:r>
    </w:p>
    <w:p>
      <w:pPr>
        <w:pStyle w:val="Heading2"/>
        <w:spacing w:after="160" w:before="360"/>
      </w:pPr>
      <w:r>
        <w:t xml:space="preserve">4.4  Accuracy Requirements</w:t>
      </w:r>
    </w:p>
    <w:p>
      <w:pPr>
        <w:pStyle w:val="Heading3"/>
        <w:spacing w:after="120" w:before="240"/>
      </w:pPr>
      <w:r>
        <w:t xml:space="preserve">NFR-ACC-01 — OCR Character Error Rate</w:t>
      </w:r>
    </w:p>
    <w:p>
      <w:pPr>
        <w:spacing w:after="140"/>
      </w:pPr>
      <w:r>
        <w:t xml:space="preserve">The OCR pipeline (PaddleOCR PP-OCRv4) shall achieve a Character Error Rate (CER) of ≤ 3% on document number, date of birth, and expiry date fields on clean document scans (≥ 300 DPI, no significant degradation). On moderately degraded documents (200–300 DPI, minor laminate glare, ≤ 15° skew), CER shall not exceed 8% on those same critical fields.</w:t>
      </w:r>
    </w:p>
    <w:p>
      <w:pPr>
        <w:pStyle w:val="Heading3"/>
        <w:spacing w:after="120" w:before="240"/>
      </w:pPr>
      <w:r>
        <w:t xml:space="preserve">NFR-ACC-02 — Face Verification FAR and FRR</w:t>
      </w:r>
    </w:p>
    <w:p>
      <w:pPr>
        <w:spacing w:after="140"/>
      </w:pPr>
      <w:r>
        <w:t xml:space="preserve">The face verification module (ArcFace R100, cosine distance threshold 0.30) shall achieve: False Acceptance Rate (FAR) ≤ 0.2% evaluated on the IJB-C benchmark; False Rejection Rate (FRR) ≤ 3.0% at the same threshold. In production calibration, the operating threshold may be adjusted by the System Administrator within the range 0.25–0.40 to tune the FAR/FRR trade-off for operational requirements, subject to supervisor approval and re-validation on a checkpoint-specific calibration dataset.</w:t>
      </w:r>
    </w:p>
    <w:p>
      <w:pPr>
        <w:pStyle w:val="Heading3"/>
        <w:spacing w:after="120" w:before="240"/>
      </w:pPr>
      <w:r>
        <w:t xml:space="preserve">NFR-ACC-03 — Tampering Detection Precision and Recall</w:t>
      </w:r>
    </w:p>
    <w:p>
      <w:pPr>
        <w:spacing w:after="140"/>
      </w:pPr>
      <w:r>
        <w:t xml:space="preserve">The composite tampering detection pipeline shall achieve, evaluated on a test set of 500 documents (250 genuine, 250 tampered spanning all five attack vectors): Image-level precision ≥ 0.80 at recall ≥ 0.75. Area Under the ROC Curve (AUC-ROC) ≥ 0.88. Pixel-level F1 score (for MVSS-Net localisation mask) ≥ 0.65 on the NIST MFC2019 evaluation partition.</w:t>
      </w:r>
    </w:p>
    <w:p>
      <w:pPr>
        <w:pStyle w:val="Heading3"/>
        <w:spacing w:after="120" w:before="240"/>
      </w:pPr>
      <w:r>
        <w:t xml:space="preserve">NFR-ACC-04 — MRZ Checksum False Negative Rate</w:t>
      </w:r>
    </w:p>
    <w:p>
      <w:pPr>
        <w:spacing w:after="140"/>
      </w:pPr>
      <w:r>
        <w:t xml:space="preserve">The MRZ checksum validation module (FR-OCR-08) shall have a false negative rate (checksum failure missed) of 0.0% — all checksum failures detected, with no exceptions. This is a hard accuracy requirement. The checksum algorithm is deterministic; any failure to detect a checksum error constitutes a code defect rather than an accuracy limitation.</w:t>
      </w:r>
    </w:p>
    <w:p>
      <w:pPr>
        <w:pStyle w:val="Heading3"/>
        <w:spacing w:after="120" w:before="240"/>
      </w:pPr>
      <w:r>
        <w:t xml:space="preserve">NFR-ACC-05 — Risk Score Calibration</w:t>
      </w:r>
    </w:p>
    <w:p>
      <w:pPr>
        <w:spacing w:after="140"/>
      </w:pPr>
      <w:r>
        <w:t xml:space="preserve">The Platt-scaled risk score shall be well-calibrated: on a held-out test set, the Brier score shall be ≤ 0.15, and the reliability diagram shall show ≤ 10% mean absolute calibration error across deciles. Calibration shall be re-evaluated after every model retraining cycle.</w:t>
      </w:r>
    </w:p>
    <w:p>
      <w:pPr>
        <w:pStyle w:val="Heading2"/>
        <w:spacing w:after="160" w:before="360"/>
      </w:pPr>
      <w:r>
        <w:t xml:space="preserve">4.5  Usability Requirements</w:t>
      </w:r>
    </w:p>
    <w:p>
      <w:pPr>
        <w:pStyle w:val="Heading3"/>
        <w:spacing w:after="120" w:before="240"/>
      </w:pPr>
      <w:r>
        <w:t xml:space="preserve">NFR-USE-01 — Officer Training Requirement</w:t>
      </w:r>
    </w:p>
    <w:p>
      <w:pPr>
        <w:spacing w:after="140"/>
      </w:pPr>
      <w:r>
        <w:t xml:space="preserve">The AIDSS officer interface shall be operable by a border security officer with no prior experience with the system after a 2-hour training session. This shall be validated by a structured user acceptance test with 5 officers who have received the training: task completion rate ≥ 90%, error rate on standard clearance decisions ≤ 5%, officer-reported confidence rating (Likert scale) average ≥ 4/5.</w:t>
      </w:r>
    </w:p>
    <w:p>
      <w:pPr>
        <w:pStyle w:val="Heading3"/>
        <w:spacing w:after="120" w:before="240"/>
      </w:pPr>
      <w:r>
        <w:t xml:space="preserve">NFR-USE-02 — Plain-Language Findings Readability</w:t>
      </w:r>
    </w:p>
    <w:p>
      <w:pPr>
        <w:spacing w:after="140"/>
      </w:pPr>
      <w:r>
        <w:t xml:space="preserve">Plain-language finding statements (FR-RSK-05) shall be written at a reading level equivalent to or below the Times of India newspaper (Flesch-Kincaid Grade Level ≤ 10 for English; equivalent standard for Hindi). Technical terms (e.g. ELA, MRZ) shall always be accompanied by a one-clause plain-English explanation on first use in any session.</w:t>
      </w:r>
    </w:p>
    <w:p>
      <w:pPr>
        <w:pStyle w:val="Heading3"/>
        <w:spacing w:after="120" w:before="240"/>
      </w:pPr>
      <w:r>
        <w:t xml:space="preserve">NFR-USE-03 — Multilingual Support</w:t>
      </w:r>
    </w:p>
    <w:p>
      <w:pPr>
        <w:spacing w:after="140"/>
      </w:pPr>
      <w:r>
        <w:t xml:space="preserve">The dashboard shall support English and Hindi for all officer-facing text at launch. The system architecture shall support addition of further languages (Bengali, Nepali) through addition of translation JSON files without code changes. The language toggle shall be available on every screen.</w:t>
      </w:r>
    </w:p>
    <w:p>
      <w:pPr>
        <w:pStyle w:val="Heading3"/>
        <w:spacing w:after="120" w:before="240"/>
      </w:pPr>
      <w:r>
        <w:t xml:space="preserve">NFR-USE-04 — Accessibility</w:t>
      </w:r>
    </w:p>
    <w:p>
      <w:pPr>
        <w:spacing w:after="140"/>
      </w:pPr>
      <w:r>
        <w:t xml:space="preserve">The officer dashboard shall meet WCAG 2.1 Level AA accessibility standards. All interactive elements shall be keyboard-navigable. Risk gauge and heatmap displays shall include text-based fallback descriptions for screen readers. Colour-coding shall always be accompanied by a text label (no information conveyed by colour alone).</w:t>
      </w:r>
    </w:p>
    <w:p>
      <w:pPr>
        <w:pStyle w:val="Heading2"/>
        <w:spacing w:after="160" w:before="360"/>
      </w:pPr>
      <w:r>
        <w:t xml:space="preserve">4.6  Maintainability Requirements</w:t>
      </w:r>
    </w:p>
    <w:p>
      <w:pPr>
        <w:pStyle w:val="Heading3"/>
        <w:spacing w:after="120" w:before="240"/>
      </w:pPr>
      <w:r>
        <w:t xml:space="preserve">NFR-MNT-01 — Model Version Pinning in Audit Trail</w:t>
      </w:r>
    </w:p>
    <w:p>
      <w:pPr>
        <w:spacing w:after="140"/>
      </w:pPr>
      <w:r>
        <w:t xml:space="preserve">Every audit record shall include: the version identifier of each AI model used (PaddleOCR version, InsightFace model name and hash, MVSS-Net checkpoint hash, Silent-Face model hash); the version of the validation rule configuration file; and the Platt scaling parameter version. This enables retrospective re-analysis of any past decision with the exact model configuration active at the time.</w:t>
      </w:r>
    </w:p>
    <w:p>
      <w:pPr>
        <w:pStyle w:val="Heading3"/>
        <w:spacing w:after="120" w:before="240"/>
      </w:pPr>
      <w:r>
        <w:t xml:space="preserve">NFR-MNT-02 — Rule Engine Hot-Reload</w:t>
      </w:r>
    </w:p>
    <w:p>
      <w:pPr>
        <w:spacing w:after="140"/>
      </w:pPr>
      <w:r>
        <w:t xml:space="preserve">The document validation rule engine (FR-VAL-01) shall support hot-reload of rule configuration files without service restart. A configuration file change (detected by file system watcher) shall trigger rule reload within 5 seconds. The reload shall be logged in the system event log with old and new version identifiers. No in-flight document analysis shall be disrupted during rule reload.</w:t>
      </w:r>
    </w:p>
    <w:p>
      <w:pPr>
        <w:pStyle w:val="Heading3"/>
        <w:spacing w:after="120" w:before="240"/>
      </w:pPr>
      <w:r>
        <w:t xml:space="preserve">NFR-MNT-03 — Model Retraining Pipeline</w:t>
      </w:r>
    </w:p>
    <w:p>
      <w:pPr>
        <w:spacing w:after="140"/>
      </w:pPr>
      <w:r>
        <w:t xml:space="preserve">The system shall include a documented model retraining pipeline that: (a) collects officer-confirmed false positives and false negatives from the audit trail into a labelled dataset; (b) retrains calibration parameters (Platt scaling) weekly on new labelled data; (c) supports periodic (quarterly) full model fine-tuning; (d) requires System Administrator approval before any retrained model is deployed; (e) records the retraining dataset version and evaluation metrics in the audit trail alongside the first document processed with the new model.</w:t>
      </w:r>
    </w:p>
    <w:p>
      <w:pPr>
        <w:pStyle w:val="Heading3"/>
        <w:spacing w:after="120" w:before="240"/>
      </w:pPr>
      <w:r>
        <w:t xml:space="preserve">NFR-MNT-04 — Dependency Version Pinning</w:t>
      </w:r>
    </w:p>
    <w:p>
      <w:pPr>
        <w:spacing w:after="140"/>
      </w:pPr>
      <w:r>
        <w:t xml:space="preserve">All software dependencies shall be version-pinned in the Docker image build files (requirements.txt for Python; package-lock.json for Node.js). No floating version specifiers (e.g. "paddleocr&gt;=2.7") shall be used in production Docker images. Dependency updates shall be a controlled, tested process requiring re-execution of the full test suite.</w:t>
      </w:r>
    </w:p>
    <w:p>
      <w:r>
        <w:br w:type="page"/>
      </w:r>
    </w:p>
    <w:p>
      <w:pPr>
        <w:pStyle w:val="Heading1"/>
        <w:spacing w:after="200" w:before="560"/>
      </w:pPr>
      <w:r>
        <w:t xml:space="preserve">5. External Interface Requirements</w:t>
      </w:r>
    </w:p>
    <w:p>
      <w:pPr>
        <w:pBdr>
          <w:bottom w:val="single" w:color="2E86AB" w:sz="8"/>
        </w:pBdr>
        <w:spacing w:after="200" w:before="160"/>
      </w:pPr>
    </w:p>
    <w:p>
      <w:pPr>
        <w:pStyle w:val="Heading2"/>
        <w:spacing w:after="160" w:before="360"/>
      </w:pPr>
      <w:r>
        <w:t xml:space="preserve">5.1  User Interfaces</w:t>
      </w:r>
    </w:p>
    <w:p>
      <w:pPr>
        <w:spacing w:after="140"/>
      </w:pPr>
      <w:r>
        <w:t xml:space="preserve">The primary user interface is a React 18 / TypeScript / Tailwind CSS single-page application served by Nginx. The interface is accessed via a web browser on the officer workstation — no installation on the client device is required. The UI is structured as a two-panel layout: the left panel presents the document and camera view; the right panel presents the risk score, findings, and officer action controls. Interface design prioritises clarity over density: a maximum of 7 information elements are shown simultaneously without scrolling on a 1080p display.</w:t>
      </w:r>
    </w:p>
    <w:p>
      <w:pPr>
        <w:pStyle w:val="Heading2"/>
        <w:spacing w:after="160" w:before="360"/>
      </w:pPr>
      <w:r>
        <w:t xml:space="preserve">5.2  Hardware Interfaces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2800"/>
      </w:tblGrid>
      <w:tr>
        <w:trPr>
          <w:tblHeader/>
        </w:trPr>
        <w:tc>
          <w:tcPr>
            <w:tcW w:type="dxa" w:w="2000"/>
            <w:shd w:color="1B2A4A" w:val="clear"/>
            <w:vAlign w:val="top"/>
          </w:tcPr>
          <w:p>
            <w:pPr>
              <w:spacing w:after="80" w:before="80"/>
              <w:ind w:left="100"/>
            </w:pPr>
            <w:r>
              <w:rPr>
                <w:b/>
                <w:bCs/>
                <w:color w:val="FFFFFF"/>
                <w:sz w:val="18"/>
                <w:szCs w:val="18"/>
              </w:rPr>
              <w:t xml:space="preserve">Hardware Component</w:t>
            </w:r>
          </w:p>
        </w:tc>
        <w:tc>
          <w:tcPr>
            <w:tcW w:type="dxa" w:w="1800"/>
            <w:shd w:color="1B2A4A" w:val="clear"/>
            <w:vAlign w:val="top"/>
          </w:tcPr>
          <w:p>
            <w:pPr>
              <w:spacing w:after="80" w:before="80"/>
              <w:ind w:left="100"/>
            </w:pPr>
            <w:r>
              <w:rPr>
                <w:b/>
                <w:bCs/>
                <w:color w:val="FFFFFF"/>
                <w:sz w:val="18"/>
                <w:szCs w:val="18"/>
              </w:rPr>
              <w:t xml:space="preserve">Interface Method</w:t>
            </w:r>
          </w:p>
        </w:tc>
        <w:tc>
          <w:tcPr>
            <w:tcW w:type="dxa" w:w="2400"/>
            <w:shd w:color="1B2A4A" w:val="clear"/>
            <w:vAlign w:val="top"/>
          </w:tcPr>
          <w:p>
            <w:pPr>
              <w:spacing w:after="80" w:before="80"/>
              <w:ind w:left="100"/>
            </w:pPr>
            <w:r>
              <w:rPr>
                <w:b/>
                <w:bCs/>
                <w:color w:val="FFFFFF"/>
                <w:sz w:val="18"/>
                <w:szCs w:val="18"/>
              </w:rPr>
              <w:t xml:space="preserve">Required Specification</w:t>
            </w:r>
          </w:p>
        </w:tc>
        <w:tc>
          <w:tcPr>
            <w:tcW w:type="dxa" w:w="2800"/>
            <w:shd w:color="1B2A4A" w:val="clear"/>
            <w:vAlign w:val="top"/>
          </w:tcPr>
          <w:p>
            <w:pPr>
              <w:spacing w:after="80" w:before="80"/>
              <w:ind w:left="100"/>
            </w:pPr>
            <w:r>
              <w:rPr>
                <w:b/>
                <w:bCs/>
                <w:color w:val="FFFFFF"/>
                <w:sz w:val="18"/>
                <w:szCs w:val="18"/>
              </w:rPr>
              <w:t xml:space="preserve">AIDSS Interaction</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Flatbed document scanner</w:t>
            </w:r>
          </w:p>
        </w:tc>
        <w:tc>
          <w:tcPr>
            <w:tcW w:type="dxa" w:w="1800"/>
            <w:shd w:color="F4F6F9" w:val="clear"/>
            <w:vAlign w:val="top"/>
          </w:tcPr>
          <w:p>
            <w:pPr>
              <w:spacing w:after="80" w:before="80"/>
              <w:ind w:left="100"/>
            </w:pPr>
            <w:r>
              <w:rPr>
                <w:b w:val="false"/>
                <w:bCs w:val="false"/>
                <w:color w:val="0D1B2A"/>
                <w:sz w:val="18"/>
                <w:szCs w:val="18"/>
              </w:rPr>
              <w:t xml:space="preserve">TWAIN/WIA USB interface; network scanner via WSD</w:t>
            </w:r>
          </w:p>
        </w:tc>
        <w:tc>
          <w:tcPr>
            <w:tcW w:type="dxa" w:w="2400"/>
            <w:shd w:color="F4F6F9" w:val="clear"/>
            <w:vAlign w:val="top"/>
          </w:tcPr>
          <w:p>
            <w:pPr>
              <w:spacing w:after="80" w:before="80"/>
              <w:ind w:left="100"/>
            </w:pPr>
            <w:r>
              <w:rPr>
                <w:b w:val="false"/>
                <w:bCs w:val="false"/>
                <w:color w:val="0D1B2A"/>
                <w:sz w:val="18"/>
                <w:szCs w:val="18"/>
              </w:rPr>
              <w:t xml:space="preserve">Minimum 600 DPI; A4/A5 scan area</w:t>
            </w:r>
          </w:p>
        </w:tc>
        <w:tc>
          <w:tcPr>
            <w:tcW w:type="dxa" w:w="2800"/>
            <w:shd w:color="F4F6F9" w:val="clear"/>
            <w:vAlign w:val="top"/>
          </w:tcPr>
          <w:p>
            <w:pPr>
              <w:spacing w:after="80" w:before="80"/>
              <w:ind w:left="100"/>
            </w:pPr>
            <w:r>
              <w:rPr>
                <w:b w:val="false"/>
                <w:bCs w:val="false"/>
                <w:color w:val="0D1B2A"/>
                <w:sz w:val="18"/>
                <w:szCs w:val="18"/>
              </w:rPr>
              <w:t xml:space="preserve">Scan trigger from dashboard; image delivered to FastAPI ingestion endpoint as JPEG or PNG</w:t>
            </w:r>
          </w:p>
        </w:tc>
      </w:tr>
      <w:tr>
        <w:trPr>
          <w:tblHeader w:val="false"/>
        </w:trPr>
        <w:tc>
          <w:tcPr>
            <w:tcW w:type="dxa" w:w="2000"/>
            <w:shd/>
            <w:vAlign w:val="top"/>
          </w:tcPr>
          <w:p>
            <w:pPr>
              <w:spacing w:after="80" w:before="80"/>
              <w:ind w:left="100"/>
            </w:pPr>
            <w:r>
              <w:rPr>
                <w:b w:val="false"/>
                <w:bCs w:val="false"/>
                <w:color w:val="0D1B2A"/>
                <w:sz w:val="18"/>
                <w:szCs w:val="18"/>
              </w:rPr>
              <w:t xml:space="preserve">Checkpoint camera (live face)</w:t>
            </w:r>
          </w:p>
        </w:tc>
        <w:tc>
          <w:tcPr>
            <w:tcW w:type="dxa" w:w="1800"/>
            <w:shd/>
            <w:vAlign w:val="top"/>
          </w:tcPr>
          <w:p>
            <w:pPr>
              <w:spacing w:after="80" w:before="80"/>
              <w:ind w:left="100"/>
            </w:pPr>
            <w:r>
              <w:rPr>
                <w:b w:val="false"/>
                <w:bCs w:val="false"/>
                <w:color w:val="0D1B2A"/>
                <w:sz w:val="18"/>
                <w:szCs w:val="18"/>
              </w:rPr>
              <w:t xml:space="preserve">USB Video Class (UVC) or RTSP IP stream</w:t>
            </w:r>
          </w:p>
        </w:tc>
        <w:tc>
          <w:tcPr>
            <w:tcW w:type="dxa" w:w="2400"/>
            <w:shd/>
            <w:vAlign w:val="top"/>
          </w:tcPr>
          <w:p>
            <w:pPr>
              <w:spacing w:after="80" w:before="80"/>
              <w:ind w:left="100"/>
            </w:pPr>
            <w:r>
              <w:rPr>
                <w:b w:val="false"/>
                <w:bCs w:val="false"/>
                <w:color w:val="0D1B2A"/>
                <w:sz w:val="18"/>
                <w:szCs w:val="18"/>
              </w:rPr>
              <w:t xml:space="preserve">Minimum 1080p, 30 fps; colour; integrated IR for low-light</w:t>
            </w:r>
          </w:p>
        </w:tc>
        <w:tc>
          <w:tcPr>
            <w:tcW w:type="dxa" w:w="2800"/>
            <w:shd/>
            <w:vAlign w:val="top"/>
          </w:tcPr>
          <w:p>
            <w:pPr>
              <w:spacing w:after="80" w:before="80"/>
              <w:ind w:left="100"/>
            </w:pPr>
            <w:r>
              <w:rPr>
                <w:b w:val="false"/>
                <w:bCs w:val="false"/>
                <w:color w:val="0D1B2A"/>
                <w:sz w:val="18"/>
                <w:szCs w:val="18"/>
              </w:rPr>
              <w:t xml:space="preserve">Camera feed displayed in dashboard; individual frames captured on officer command or automatic trigger</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GPU inference server</w:t>
            </w:r>
          </w:p>
        </w:tc>
        <w:tc>
          <w:tcPr>
            <w:tcW w:type="dxa" w:w="1800"/>
            <w:shd w:color="F4F6F9" w:val="clear"/>
            <w:vAlign w:val="top"/>
          </w:tcPr>
          <w:p>
            <w:pPr>
              <w:spacing w:after="80" w:before="80"/>
              <w:ind w:left="100"/>
            </w:pPr>
            <w:r>
              <w:rPr>
                <w:b w:val="false"/>
                <w:bCs w:val="false"/>
                <w:color w:val="0D1B2A"/>
                <w:sz w:val="18"/>
                <w:szCs w:val="18"/>
              </w:rPr>
              <w:t xml:space="preserve">Internal Docker network (same host or LAN)</w:t>
            </w:r>
          </w:p>
        </w:tc>
        <w:tc>
          <w:tcPr>
            <w:tcW w:type="dxa" w:w="2400"/>
            <w:shd w:color="F4F6F9" w:val="clear"/>
            <w:vAlign w:val="top"/>
          </w:tcPr>
          <w:p>
            <w:pPr>
              <w:spacing w:after="80" w:before="80"/>
              <w:ind w:left="100"/>
            </w:pPr>
            <w:r>
              <w:rPr>
                <w:b w:val="false"/>
                <w:bCs w:val="false"/>
                <w:color w:val="0D1B2A"/>
                <w:sz w:val="18"/>
                <w:szCs w:val="18"/>
              </w:rPr>
              <w:t xml:space="preserve">NVIDIA GPU, minimum 8 GB VRAM, CUDA 12.2 compatible</w:t>
            </w:r>
          </w:p>
        </w:tc>
        <w:tc>
          <w:tcPr>
            <w:tcW w:type="dxa" w:w="2800"/>
            <w:shd w:color="F4F6F9" w:val="clear"/>
            <w:vAlign w:val="top"/>
          </w:tcPr>
          <w:p>
            <w:pPr>
              <w:spacing w:after="80" w:before="80"/>
              <w:ind w:left="100"/>
            </w:pPr>
            <w:r>
              <w:rPr>
                <w:b w:val="false"/>
                <w:bCs w:val="false"/>
                <w:color w:val="0D1B2A"/>
                <w:sz w:val="18"/>
                <w:szCs w:val="18"/>
              </w:rPr>
              <w:t xml:space="preserve">MVSS-Net and ArcFace GPU inference jobs dispatched via FastAPI internal HTTP queue</w:t>
            </w:r>
          </w:p>
        </w:tc>
      </w:tr>
      <w:tr>
        <w:trPr>
          <w:tblHeader w:val="false"/>
        </w:trPr>
        <w:tc>
          <w:tcPr>
            <w:tcW w:type="dxa" w:w="2000"/>
            <w:shd/>
            <w:vAlign w:val="top"/>
          </w:tcPr>
          <w:p>
            <w:pPr>
              <w:spacing w:after="80" w:before="80"/>
              <w:ind w:left="100"/>
            </w:pPr>
            <w:r>
              <w:rPr>
                <w:b w:val="false"/>
                <w:bCs w:val="false"/>
                <w:color w:val="0D1B2A"/>
                <w:sz w:val="18"/>
                <w:szCs w:val="18"/>
              </w:rPr>
              <w:t xml:space="preserve">Officer workstation</w:t>
            </w:r>
          </w:p>
        </w:tc>
        <w:tc>
          <w:tcPr>
            <w:tcW w:type="dxa" w:w="1800"/>
            <w:shd/>
            <w:vAlign w:val="top"/>
          </w:tcPr>
          <w:p>
            <w:pPr>
              <w:spacing w:after="80" w:before="80"/>
              <w:ind w:left="100"/>
            </w:pPr>
            <w:r>
              <w:rPr>
                <w:b w:val="false"/>
                <w:bCs w:val="false"/>
                <w:color w:val="0D1B2A"/>
                <w:sz w:val="18"/>
                <w:szCs w:val="18"/>
              </w:rPr>
              <w:t xml:space="preserve">Ethernet LAN to Nginx server</w:t>
            </w:r>
          </w:p>
        </w:tc>
        <w:tc>
          <w:tcPr>
            <w:tcW w:type="dxa" w:w="2400"/>
            <w:shd/>
            <w:vAlign w:val="top"/>
          </w:tcPr>
          <w:p>
            <w:pPr>
              <w:spacing w:after="80" w:before="80"/>
              <w:ind w:left="100"/>
            </w:pPr>
            <w:r>
              <w:rPr>
                <w:b w:val="false"/>
                <w:bCs w:val="false"/>
                <w:color w:val="0D1B2A"/>
                <w:sz w:val="18"/>
                <w:szCs w:val="18"/>
              </w:rPr>
              <w:t xml:space="preserve">Any device running Chrome ≥ 120, Firefox ≥ 121, or Edge ≥ 120</w:t>
            </w:r>
          </w:p>
        </w:tc>
        <w:tc>
          <w:tcPr>
            <w:tcW w:type="dxa" w:w="2800"/>
            <w:shd/>
            <w:vAlign w:val="top"/>
          </w:tcPr>
          <w:p>
            <w:pPr>
              <w:spacing w:after="80" w:before="80"/>
              <w:ind w:left="100"/>
            </w:pPr>
            <w:r>
              <w:rPr>
                <w:b w:val="false"/>
                <w:bCs w:val="false"/>
                <w:color w:val="0D1B2A"/>
                <w:sz w:val="18"/>
                <w:szCs w:val="18"/>
              </w:rPr>
              <w:t xml:space="preserve">Browser-based UI only; no local software installation</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UPS (Uninterruptible Power Supply)</w:t>
            </w:r>
          </w:p>
        </w:tc>
        <w:tc>
          <w:tcPr>
            <w:tcW w:type="dxa" w:w="1800"/>
            <w:shd w:color="F4F6F9" w:val="clear"/>
            <w:vAlign w:val="top"/>
          </w:tcPr>
          <w:p>
            <w:pPr>
              <w:spacing w:after="80" w:before="80"/>
              <w:ind w:left="100"/>
            </w:pPr>
            <w:r>
              <w:rPr>
                <w:b w:val="false"/>
                <w:bCs w:val="false"/>
                <w:color w:val="0D1B2A"/>
                <w:sz w:val="18"/>
                <w:szCs w:val="18"/>
              </w:rPr>
              <w:t xml:space="preserve">System-level (no software interface)</w:t>
            </w:r>
          </w:p>
        </w:tc>
        <w:tc>
          <w:tcPr>
            <w:tcW w:type="dxa" w:w="2400"/>
            <w:shd w:color="F4F6F9" w:val="clear"/>
            <w:vAlign w:val="top"/>
          </w:tcPr>
          <w:p>
            <w:pPr>
              <w:spacing w:after="80" w:before="80"/>
              <w:ind w:left="100"/>
            </w:pPr>
            <w:r>
              <w:rPr>
                <w:b w:val="false"/>
                <w:bCs w:val="false"/>
                <w:color w:val="0D1B2A"/>
                <w:sz w:val="18"/>
                <w:szCs w:val="18"/>
              </w:rPr>
              <w:t xml:space="preserve">Minimum 30-minute runtime for checkpoint equipment</w:t>
            </w:r>
          </w:p>
        </w:tc>
        <w:tc>
          <w:tcPr>
            <w:tcW w:type="dxa" w:w="2800"/>
            <w:shd w:color="F4F6F9" w:val="clear"/>
            <w:vAlign w:val="top"/>
          </w:tcPr>
          <w:p>
            <w:pPr>
              <w:spacing w:after="80" w:before="80"/>
              <w:ind w:left="100"/>
            </w:pPr>
            <w:r>
              <w:rPr>
                <w:b w:val="false"/>
                <w:bCs w:val="false"/>
                <w:color w:val="0D1B2A"/>
                <w:sz w:val="18"/>
                <w:szCs w:val="18"/>
              </w:rPr>
              <w:t xml:space="preserve">Ensures data durability during power outage; no application-level interface required</w:t>
            </w:r>
          </w:p>
        </w:tc>
      </w:tr>
    </w:tbl>
    <w:p>
      <w:pPr>
        <w:pStyle w:val="Heading2"/>
        <w:spacing w:after="160" w:before="360"/>
      </w:pPr>
      <w:r>
        <w:t xml:space="preserve">5.3  Software Interfaces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3600"/>
      </w:tblGrid>
      <w:tr>
        <w:trPr>
          <w:tblHeader/>
        </w:trPr>
        <w:tc>
          <w:tcPr>
            <w:tcW w:type="dxa" w:w="2000"/>
            <w:shd w:color="1B2A4A" w:val="clear"/>
            <w:vAlign w:val="top"/>
          </w:tcPr>
          <w:p>
            <w:pPr>
              <w:spacing w:after="80" w:before="80"/>
              <w:ind w:left="100"/>
            </w:pPr>
            <w:r>
              <w:rPr>
                <w:b/>
                <w:bCs/>
                <w:color w:val="FFFFFF"/>
                <w:sz w:val="18"/>
                <w:szCs w:val="18"/>
              </w:rPr>
              <w:t xml:space="preserve">Software Component</w:t>
            </w:r>
          </w:p>
        </w:tc>
        <w:tc>
          <w:tcPr>
            <w:tcW w:type="dxa" w:w="1400"/>
            <w:shd w:color="1B2A4A" w:val="clear"/>
            <w:vAlign w:val="top"/>
          </w:tcPr>
          <w:p>
            <w:pPr>
              <w:spacing w:after="80" w:before="80"/>
              <w:ind w:left="100"/>
            </w:pPr>
            <w:r>
              <w:rPr>
                <w:b/>
                <w:bCs/>
                <w:color w:val="FFFFFF"/>
                <w:sz w:val="18"/>
                <w:szCs w:val="18"/>
              </w:rPr>
              <w:t xml:space="preserve">Version</w:t>
            </w:r>
          </w:p>
        </w:tc>
        <w:tc>
          <w:tcPr>
            <w:tcW w:type="dxa" w:w="2000"/>
            <w:shd w:color="1B2A4A" w:val="clear"/>
            <w:vAlign w:val="top"/>
          </w:tcPr>
          <w:p>
            <w:pPr>
              <w:spacing w:after="80" w:before="80"/>
              <w:ind w:left="100"/>
            </w:pPr>
            <w:r>
              <w:rPr>
                <w:b/>
                <w:bCs/>
                <w:color w:val="FFFFFF"/>
                <w:sz w:val="18"/>
                <w:szCs w:val="18"/>
              </w:rPr>
              <w:t xml:space="preserve">Interface Type</w:t>
            </w:r>
          </w:p>
        </w:tc>
        <w:tc>
          <w:tcPr>
            <w:tcW w:type="dxa" w:w="3600"/>
            <w:shd w:color="1B2A4A" w:val="clear"/>
            <w:vAlign w:val="top"/>
          </w:tcPr>
          <w:p>
            <w:pPr>
              <w:spacing w:after="80" w:before="80"/>
              <w:ind w:left="100"/>
            </w:pPr>
            <w:r>
              <w:rPr>
                <w:b/>
                <w:bCs/>
                <w:color w:val="FFFFFF"/>
                <w:sz w:val="18"/>
                <w:szCs w:val="18"/>
              </w:rPr>
              <w:t xml:space="preserve">AIDSS Usage</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PaddleOCR</w:t>
            </w:r>
          </w:p>
        </w:tc>
        <w:tc>
          <w:tcPr>
            <w:tcW w:type="dxa" w:w="1400"/>
            <w:shd w:color="F4F6F9" w:val="clear"/>
            <w:vAlign w:val="top"/>
          </w:tcPr>
          <w:p>
            <w:pPr>
              <w:spacing w:after="80" w:before="80"/>
              <w:ind w:left="100"/>
            </w:pPr>
            <w:r>
              <w:rPr>
                <w:b w:val="false"/>
                <w:bCs w:val="false"/>
                <w:color w:val="0D1B2A"/>
                <w:sz w:val="18"/>
                <w:szCs w:val="18"/>
              </w:rPr>
              <w:t xml:space="preserve">2.7.3</w:t>
            </w:r>
          </w:p>
        </w:tc>
        <w:tc>
          <w:tcPr>
            <w:tcW w:type="dxa" w:w="2000"/>
            <w:shd w:color="F4F6F9" w:val="clear"/>
            <w:vAlign w:val="top"/>
          </w:tcPr>
          <w:p>
            <w:pPr>
              <w:spacing w:after="80" w:before="80"/>
              <w:ind w:left="100"/>
            </w:pPr>
            <w:r>
              <w:rPr>
                <w:b w:val="false"/>
                <w:bCs w:val="false"/>
                <w:color w:val="0D1B2A"/>
                <w:sz w:val="18"/>
                <w:szCs w:val="18"/>
              </w:rPr>
              <w:t xml:space="preserve">Python library import</w:t>
            </w:r>
          </w:p>
        </w:tc>
        <w:tc>
          <w:tcPr>
            <w:tcW w:type="dxa" w:w="3600"/>
            <w:shd w:color="F4F6F9" w:val="clear"/>
            <w:vAlign w:val="top"/>
          </w:tcPr>
          <w:p>
            <w:pPr>
              <w:spacing w:after="80" w:before="80"/>
              <w:ind w:left="100"/>
            </w:pPr>
            <w:r>
              <w:rPr>
                <w:b w:val="false"/>
                <w:bCs w:val="false"/>
                <w:color w:val="0D1B2A"/>
                <w:sz w:val="18"/>
                <w:szCs w:val="18"/>
              </w:rPr>
              <w:t xml:space="preserve">Document text extraction; MRZ recognition</w:t>
            </w:r>
          </w:p>
        </w:tc>
      </w:tr>
      <w:tr>
        <w:trPr>
          <w:tblHeader w:val="false"/>
        </w:trPr>
        <w:tc>
          <w:tcPr>
            <w:tcW w:type="dxa" w:w="2000"/>
            <w:shd/>
            <w:vAlign w:val="top"/>
          </w:tcPr>
          <w:p>
            <w:pPr>
              <w:spacing w:after="80" w:before="80"/>
              <w:ind w:left="100"/>
            </w:pPr>
            <w:r>
              <w:rPr>
                <w:b w:val="false"/>
                <w:bCs w:val="false"/>
                <w:color w:val="0D1B2A"/>
                <w:sz w:val="18"/>
                <w:szCs w:val="18"/>
              </w:rPr>
              <w:t xml:space="preserve">PaddlePaddle</w:t>
            </w:r>
          </w:p>
        </w:tc>
        <w:tc>
          <w:tcPr>
            <w:tcW w:type="dxa" w:w="1400"/>
            <w:shd/>
            <w:vAlign w:val="top"/>
          </w:tcPr>
          <w:p>
            <w:pPr>
              <w:spacing w:after="80" w:before="80"/>
              <w:ind w:left="100"/>
            </w:pPr>
            <w:r>
              <w:rPr>
                <w:b w:val="false"/>
                <w:bCs w:val="false"/>
                <w:color w:val="0D1B2A"/>
                <w:sz w:val="18"/>
                <w:szCs w:val="18"/>
              </w:rPr>
              <w:t xml:space="preserve">2.6.1</w:t>
            </w:r>
          </w:p>
        </w:tc>
        <w:tc>
          <w:tcPr>
            <w:tcW w:type="dxa" w:w="2000"/>
            <w:shd/>
            <w:vAlign w:val="top"/>
          </w:tcPr>
          <w:p>
            <w:pPr>
              <w:spacing w:after="80" w:before="80"/>
              <w:ind w:left="100"/>
            </w:pPr>
            <w:r>
              <w:rPr>
                <w:b w:val="false"/>
                <w:bCs w:val="false"/>
                <w:color w:val="0D1B2A"/>
                <w:sz w:val="18"/>
                <w:szCs w:val="18"/>
              </w:rPr>
              <w:t xml:space="preserve">Python library (PaddleOCR runtime)</w:t>
            </w:r>
          </w:p>
        </w:tc>
        <w:tc>
          <w:tcPr>
            <w:tcW w:type="dxa" w:w="3600"/>
            <w:shd/>
            <w:vAlign w:val="top"/>
          </w:tcPr>
          <w:p>
            <w:pPr>
              <w:spacing w:after="80" w:before="80"/>
              <w:ind w:left="100"/>
            </w:pPr>
            <w:r>
              <w:rPr>
                <w:b w:val="false"/>
                <w:bCs w:val="false"/>
                <w:color w:val="0D1B2A"/>
                <w:sz w:val="18"/>
                <w:szCs w:val="18"/>
              </w:rPr>
              <w:t xml:space="preserve">Required inference runtime for PaddleOCR</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InsightFace</w:t>
            </w:r>
          </w:p>
        </w:tc>
        <w:tc>
          <w:tcPr>
            <w:tcW w:type="dxa" w:w="1400"/>
            <w:shd w:color="F4F6F9" w:val="clear"/>
            <w:vAlign w:val="top"/>
          </w:tcPr>
          <w:p>
            <w:pPr>
              <w:spacing w:after="80" w:before="80"/>
              <w:ind w:left="100"/>
            </w:pPr>
            <w:r>
              <w:rPr>
                <w:b w:val="false"/>
                <w:bCs w:val="false"/>
                <w:color w:val="0D1B2A"/>
                <w:sz w:val="18"/>
                <w:szCs w:val="18"/>
              </w:rPr>
              <w:t xml:space="preserve">0.7.3</w:t>
            </w:r>
          </w:p>
        </w:tc>
        <w:tc>
          <w:tcPr>
            <w:tcW w:type="dxa" w:w="2000"/>
            <w:shd w:color="F4F6F9" w:val="clear"/>
            <w:vAlign w:val="top"/>
          </w:tcPr>
          <w:p>
            <w:pPr>
              <w:spacing w:after="80" w:before="80"/>
              <w:ind w:left="100"/>
            </w:pPr>
            <w:r>
              <w:rPr>
                <w:b w:val="false"/>
                <w:bCs w:val="false"/>
                <w:color w:val="0D1B2A"/>
                <w:sz w:val="18"/>
                <w:szCs w:val="18"/>
              </w:rPr>
              <w:t xml:space="preserve">Python library import</w:t>
            </w:r>
          </w:p>
        </w:tc>
        <w:tc>
          <w:tcPr>
            <w:tcW w:type="dxa" w:w="3600"/>
            <w:shd w:color="F4F6F9" w:val="clear"/>
            <w:vAlign w:val="top"/>
          </w:tcPr>
          <w:p>
            <w:pPr>
              <w:spacing w:after="80" w:before="80"/>
              <w:ind w:left="100"/>
            </w:pPr>
            <w:r>
              <w:rPr>
                <w:b w:val="false"/>
                <w:bCs w:val="false"/>
                <w:color w:val="0D1B2A"/>
                <w:sz w:val="18"/>
                <w:szCs w:val="18"/>
              </w:rPr>
              <w:t xml:space="preserve">RetinaFace detection; ArcFace R100 embedding</w:t>
            </w:r>
          </w:p>
        </w:tc>
      </w:tr>
      <w:tr>
        <w:trPr>
          <w:tblHeader w:val="false"/>
        </w:trPr>
        <w:tc>
          <w:tcPr>
            <w:tcW w:type="dxa" w:w="2000"/>
            <w:shd/>
            <w:vAlign w:val="top"/>
          </w:tcPr>
          <w:p>
            <w:pPr>
              <w:spacing w:after="80" w:before="80"/>
              <w:ind w:left="100"/>
            </w:pPr>
            <w:r>
              <w:rPr>
                <w:b w:val="false"/>
                <w:bCs w:val="false"/>
                <w:color w:val="0D1B2A"/>
                <w:sz w:val="18"/>
                <w:szCs w:val="18"/>
              </w:rPr>
              <w:t xml:space="preserve">PyTorch</w:t>
            </w:r>
          </w:p>
        </w:tc>
        <w:tc>
          <w:tcPr>
            <w:tcW w:type="dxa" w:w="1400"/>
            <w:shd/>
            <w:vAlign w:val="top"/>
          </w:tcPr>
          <w:p>
            <w:pPr>
              <w:spacing w:after="80" w:before="80"/>
              <w:ind w:left="100"/>
            </w:pPr>
            <w:r>
              <w:rPr>
                <w:b w:val="false"/>
                <w:bCs w:val="false"/>
                <w:color w:val="0D1B2A"/>
                <w:sz w:val="18"/>
                <w:szCs w:val="18"/>
              </w:rPr>
              <w:t xml:space="preserve">2.2.1</w:t>
            </w:r>
          </w:p>
        </w:tc>
        <w:tc>
          <w:tcPr>
            <w:tcW w:type="dxa" w:w="2000"/>
            <w:shd/>
            <w:vAlign w:val="top"/>
          </w:tcPr>
          <w:p>
            <w:pPr>
              <w:spacing w:after="80" w:before="80"/>
              <w:ind w:left="100"/>
            </w:pPr>
            <w:r>
              <w:rPr>
                <w:b w:val="false"/>
                <w:bCs w:val="false"/>
                <w:color w:val="0D1B2A"/>
                <w:sz w:val="18"/>
                <w:szCs w:val="18"/>
              </w:rPr>
              <w:t xml:space="preserve">Python library import</w:t>
            </w:r>
          </w:p>
        </w:tc>
        <w:tc>
          <w:tcPr>
            <w:tcW w:type="dxa" w:w="3600"/>
            <w:shd/>
            <w:vAlign w:val="top"/>
          </w:tcPr>
          <w:p>
            <w:pPr>
              <w:spacing w:after="80" w:before="80"/>
              <w:ind w:left="100"/>
            </w:pPr>
            <w:r>
              <w:rPr>
                <w:b w:val="false"/>
                <w:bCs w:val="false"/>
                <w:color w:val="0D1B2A"/>
                <w:sz w:val="18"/>
                <w:szCs w:val="18"/>
              </w:rPr>
              <w:t xml:space="preserve">MVSS-Net inference; TrOCR handwriting</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ONNX Runtime</w:t>
            </w:r>
          </w:p>
        </w:tc>
        <w:tc>
          <w:tcPr>
            <w:tcW w:type="dxa" w:w="1400"/>
            <w:shd w:color="F4F6F9" w:val="clear"/>
            <w:vAlign w:val="top"/>
          </w:tcPr>
          <w:p>
            <w:pPr>
              <w:spacing w:after="80" w:before="80"/>
              <w:ind w:left="100"/>
            </w:pPr>
            <w:r>
              <w:rPr>
                <w:b w:val="false"/>
                <w:bCs w:val="false"/>
                <w:color w:val="0D1B2A"/>
                <w:sz w:val="18"/>
                <w:szCs w:val="18"/>
              </w:rPr>
              <w:t xml:space="preserve">1.17.1</w:t>
            </w:r>
          </w:p>
        </w:tc>
        <w:tc>
          <w:tcPr>
            <w:tcW w:type="dxa" w:w="2000"/>
            <w:shd w:color="F4F6F9" w:val="clear"/>
            <w:vAlign w:val="top"/>
          </w:tcPr>
          <w:p>
            <w:pPr>
              <w:spacing w:after="80" w:before="80"/>
              <w:ind w:left="100"/>
            </w:pPr>
            <w:r>
              <w:rPr>
                <w:b w:val="false"/>
                <w:bCs w:val="false"/>
                <w:color w:val="0D1B2A"/>
                <w:sz w:val="18"/>
                <w:szCs w:val="18"/>
              </w:rPr>
              <w:t xml:space="preserve">Python library import</w:t>
            </w:r>
          </w:p>
        </w:tc>
        <w:tc>
          <w:tcPr>
            <w:tcW w:type="dxa" w:w="3600"/>
            <w:shd w:color="F4F6F9" w:val="clear"/>
            <w:vAlign w:val="top"/>
          </w:tcPr>
          <w:p>
            <w:pPr>
              <w:spacing w:after="80" w:before="80"/>
              <w:ind w:left="100"/>
            </w:pPr>
            <w:r>
              <w:rPr>
                <w:b w:val="false"/>
                <w:bCs w:val="false"/>
                <w:color w:val="0D1B2A"/>
                <w:sz w:val="18"/>
                <w:szCs w:val="18"/>
              </w:rPr>
              <w:t xml:space="preserve">INT8 quantised ArcFace and liveness on CPU fallback</w:t>
            </w:r>
          </w:p>
        </w:tc>
      </w:tr>
      <w:tr>
        <w:trPr>
          <w:tblHeader w:val="false"/>
        </w:trPr>
        <w:tc>
          <w:tcPr>
            <w:tcW w:type="dxa" w:w="2000"/>
            <w:shd/>
            <w:vAlign w:val="top"/>
          </w:tcPr>
          <w:p>
            <w:pPr>
              <w:spacing w:after="80" w:before="80"/>
              <w:ind w:left="100"/>
            </w:pPr>
            <w:r>
              <w:rPr>
                <w:b w:val="false"/>
                <w:bCs w:val="false"/>
                <w:color w:val="0D1B2A"/>
                <w:sz w:val="18"/>
                <w:szCs w:val="18"/>
              </w:rPr>
              <w:t xml:space="preserve">OpenCV</w:t>
            </w:r>
          </w:p>
        </w:tc>
        <w:tc>
          <w:tcPr>
            <w:tcW w:type="dxa" w:w="1400"/>
            <w:shd/>
            <w:vAlign w:val="top"/>
          </w:tcPr>
          <w:p>
            <w:pPr>
              <w:spacing w:after="80" w:before="80"/>
              <w:ind w:left="100"/>
            </w:pPr>
            <w:r>
              <w:rPr>
                <w:b w:val="false"/>
                <w:bCs w:val="false"/>
                <w:color w:val="0D1B2A"/>
                <w:sz w:val="18"/>
                <w:szCs w:val="18"/>
              </w:rPr>
              <w:t xml:space="preserve">4.9.0</w:t>
            </w:r>
          </w:p>
        </w:tc>
        <w:tc>
          <w:tcPr>
            <w:tcW w:type="dxa" w:w="2000"/>
            <w:shd/>
            <w:vAlign w:val="top"/>
          </w:tcPr>
          <w:p>
            <w:pPr>
              <w:spacing w:after="80" w:before="80"/>
              <w:ind w:left="100"/>
            </w:pPr>
            <w:r>
              <w:rPr>
                <w:b w:val="false"/>
                <w:bCs w:val="false"/>
                <w:color w:val="0D1B2A"/>
                <w:sz w:val="18"/>
                <w:szCs w:val="18"/>
              </w:rPr>
              <w:t xml:space="preserve">Python library (cv2)</w:t>
            </w:r>
          </w:p>
        </w:tc>
        <w:tc>
          <w:tcPr>
            <w:tcW w:type="dxa" w:w="3600"/>
            <w:shd/>
            <w:vAlign w:val="top"/>
          </w:tcPr>
          <w:p>
            <w:pPr>
              <w:spacing w:after="80" w:before="80"/>
              <w:ind w:left="100"/>
            </w:pPr>
            <w:r>
              <w:rPr>
                <w:b w:val="false"/>
                <w:bCs w:val="false"/>
                <w:color w:val="0D1B2A"/>
                <w:sz w:val="18"/>
                <w:szCs w:val="18"/>
              </w:rPr>
              <w:t xml:space="preserve">Image preprocessing; CLAHE; deskew; DCT</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Pillow</w:t>
            </w:r>
          </w:p>
        </w:tc>
        <w:tc>
          <w:tcPr>
            <w:tcW w:type="dxa" w:w="1400"/>
            <w:shd w:color="F4F6F9" w:val="clear"/>
            <w:vAlign w:val="top"/>
          </w:tcPr>
          <w:p>
            <w:pPr>
              <w:spacing w:after="80" w:before="80"/>
              <w:ind w:left="100"/>
            </w:pPr>
            <w:r>
              <w:rPr>
                <w:b w:val="false"/>
                <w:bCs w:val="false"/>
                <w:color w:val="0D1B2A"/>
                <w:sz w:val="18"/>
                <w:szCs w:val="18"/>
              </w:rPr>
              <w:t xml:space="preserve">10.2.0</w:t>
            </w:r>
          </w:p>
        </w:tc>
        <w:tc>
          <w:tcPr>
            <w:tcW w:type="dxa" w:w="2000"/>
            <w:shd w:color="F4F6F9" w:val="clear"/>
            <w:vAlign w:val="top"/>
          </w:tcPr>
          <w:p>
            <w:pPr>
              <w:spacing w:after="80" w:before="80"/>
              <w:ind w:left="100"/>
            </w:pPr>
            <w:r>
              <w:rPr>
                <w:b w:val="false"/>
                <w:bCs w:val="false"/>
                <w:color w:val="0D1B2A"/>
                <w:sz w:val="18"/>
                <w:szCs w:val="18"/>
              </w:rPr>
              <w:t xml:space="preserve">Python library import</w:t>
            </w:r>
          </w:p>
        </w:tc>
        <w:tc>
          <w:tcPr>
            <w:tcW w:type="dxa" w:w="3600"/>
            <w:shd w:color="F4F6F9" w:val="clear"/>
            <w:vAlign w:val="top"/>
          </w:tcPr>
          <w:p>
            <w:pPr>
              <w:spacing w:after="80" w:before="80"/>
              <w:ind w:left="100"/>
            </w:pPr>
            <w:r>
              <w:rPr>
                <w:b w:val="false"/>
                <w:bCs w:val="false"/>
                <w:color w:val="0D1B2A"/>
                <w:sz w:val="18"/>
                <w:szCs w:val="18"/>
              </w:rPr>
              <w:t xml:space="preserve">ELA JPEG re-save and difference computation</w:t>
            </w:r>
          </w:p>
        </w:tc>
      </w:tr>
      <w:tr>
        <w:trPr>
          <w:tblHeader w:val="false"/>
        </w:trPr>
        <w:tc>
          <w:tcPr>
            <w:tcW w:type="dxa" w:w="2000"/>
            <w:shd/>
            <w:vAlign w:val="top"/>
          </w:tcPr>
          <w:p>
            <w:pPr>
              <w:spacing w:after="80" w:before="80"/>
              <w:ind w:left="100"/>
            </w:pPr>
            <w:r>
              <w:rPr>
                <w:b w:val="false"/>
                <w:bCs w:val="false"/>
                <w:color w:val="0D1B2A"/>
                <w:sz w:val="18"/>
                <w:szCs w:val="18"/>
              </w:rPr>
              <w:t xml:space="preserve">pyexiftool</w:t>
            </w:r>
          </w:p>
        </w:tc>
        <w:tc>
          <w:tcPr>
            <w:tcW w:type="dxa" w:w="1400"/>
            <w:shd/>
            <w:vAlign w:val="top"/>
          </w:tcPr>
          <w:p>
            <w:pPr>
              <w:spacing w:after="80" w:before="80"/>
              <w:ind w:left="100"/>
            </w:pPr>
            <w:r>
              <w:rPr>
                <w:b w:val="false"/>
                <w:bCs w:val="false"/>
                <w:color w:val="0D1B2A"/>
                <w:sz w:val="18"/>
                <w:szCs w:val="18"/>
              </w:rPr>
              <w:t xml:space="preserve">0.5.6</w:t>
            </w:r>
          </w:p>
        </w:tc>
        <w:tc>
          <w:tcPr>
            <w:tcW w:type="dxa" w:w="2000"/>
            <w:shd/>
            <w:vAlign w:val="top"/>
          </w:tcPr>
          <w:p>
            <w:pPr>
              <w:spacing w:after="80" w:before="80"/>
              <w:ind w:left="100"/>
            </w:pPr>
            <w:r>
              <w:rPr>
                <w:b w:val="false"/>
                <w:bCs w:val="false"/>
                <w:color w:val="0D1B2A"/>
                <w:sz w:val="18"/>
                <w:szCs w:val="18"/>
              </w:rPr>
              <w:t xml:space="preserve">Python library; wraps ExifTool 12.76 binary</w:t>
            </w:r>
          </w:p>
        </w:tc>
        <w:tc>
          <w:tcPr>
            <w:tcW w:type="dxa" w:w="3600"/>
            <w:shd/>
            <w:vAlign w:val="top"/>
          </w:tcPr>
          <w:p>
            <w:pPr>
              <w:spacing w:after="80" w:before="80"/>
              <w:ind w:left="100"/>
            </w:pPr>
            <w:r>
              <w:rPr>
                <w:b w:val="false"/>
                <w:bCs w:val="false"/>
                <w:color w:val="0D1B2A"/>
                <w:sz w:val="18"/>
                <w:szCs w:val="18"/>
              </w:rPr>
              <w:t xml:space="preserve">EXIF and metadata extraction</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FastAPI</w:t>
            </w:r>
          </w:p>
        </w:tc>
        <w:tc>
          <w:tcPr>
            <w:tcW w:type="dxa" w:w="1400"/>
            <w:shd w:color="F4F6F9" w:val="clear"/>
            <w:vAlign w:val="top"/>
          </w:tcPr>
          <w:p>
            <w:pPr>
              <w:spacing w:after="80" w:before="80"/>
              <w:ind w:left="100"/>
            </w:pPr>
            <w:r>
              <w:rPr>
                <w:b w:val="false"/>
                <w:bCs w:val="false"/>
                <w:color w:val="0D1B2A"/>
                <w:sz w:val="18"/>
                <w:szCs w:val="18"/>
              </w:rPr>
              <w:t xml:space="preserve">0.110.0</w:t>
            </w:r>
          </w:p>
        </w:tc>
        <w:tc>
          <w:tcPr>
            <w:tcW w:type="dxa" w:w="2000"/>
            <w:shd w:color="F4F6F9" w:val="clear"/>
            <w:vAlign w:val="top"/>
          </w:tcPr>
          <w:p>
            <w:pPr>
              <w:spacing w:after="80" w:before="80"/>
              <w:ind w:left="100"/>
            </w:pPr>
            <w:r>
              <w:rPr>
                <w:b w:val="false"/>
                <w:bCs w:val="false"/>
                <w:color w:val="0D1B2A"/>
                <w:sz w:val="18"/>
                <w:szCs w:val="18"/>
              </w:rPr>
              <w:t xml:space="preserve">Python web framework; Uvicorn ASGI server</w:t>
            </w:r>
          </w:p>
        </w:tc>
        <w:tc>
          <w:tcPr>
            <w:tcW w:type="dxa" w:w="3600"/>
            <w:shd w:color="F4F6F9" w:val="clear"/>
            <w:vAlign w:val="top"/>
          </w:tcPr>
          <w:p>
            <w:pPr>
              <w:spacing w:after="80" w:before="80"/>
              <w:ind w:left="100"/>
            </w:pPr>
            <w:r>
              <w:rPr>
                <w:b w:val="false"/>
                <w:bCs w:val="false"/>
                <w:color w:val="0D1B2A"/>
                <w:sz w:val="18"/>
                <w:szCs w:val="18"/>
              </w:rPr>
              <w:t xml:space="preserve">REST API; async pipeline orchestration; WebSocket for progress</w:t>
            </w:r>
          </w:p>
        </w:tc>
      </w:tr>
      <w:tr>
        <w:trPr>
          <w:tblHeader w:val="false"/>
        </w:trPr>
        <w:tc>
          <w:tcPr>
            <w:tcW w:type="dxa" w:w="2000"/>
            <w:shd/>
            <w:vAlign w:val="top"/>
          </w:tcPr>
          <w:p>
            <w:pPr>
              <w:spacing w:after="80" w:before="80"/>
              <w:ind w:left="100"/>
            </w:pPr>
            <w:r>
              <w:rPr>
                <w:b w:val="false"/>
                <w:bCs w:val="false"/>
                <w:color w:val="0D1B2A"/>
                <w:sz w:val="18"/>
                <w:szCs w:val="18"/>
              </w:rPr>
              <w:t xml:space="preserve">Redis</w:t>
            </w:r>
          </w:p>
        </w:tc>
        <w:tc>
          <w:tcPr>
            <w:tcW w:type="dxa" w:w="1400"/>
            <w:shd/>
            <w:vAlign w:val="top"/>
          </w:tcPr>
          <w:p>
            <w:pPr>
              <w:spacing w:after="80" w:before="80"/>
              <w:ind w:left="100"/>
            </w:pPr>
            <w:r>
              <w:rPr>
                <w:b w:val="false"/>
                <w:bCs w:val="false"/>
                <w:color w:val="0D1B2A"/>
                <w:sz w:val="18"/>
                <w:szCs w:val="18"/>
              </w:rPr>
              <w:t xml:space="preserve">7.2</w:t>
            </w:r>
          </w:p>
        </w:tc>
        <w:tc>
          <w:tcPr>
            <w:tcW w:type="dxa" w:w="2000"/>
            <w:shd/>
            <w:vAlign w:val="top"/>
          </w:tcPr>
          <w:p>
            <w:pPr>
              <w:spacing w:after="80" w:before="80"/>
              <w:ind w:left="100"/>
            </w:pPr>
            <w:r>
              <w:rPr>
                <w:b w:val="false"/>
                <w:bCs w:val="false"/>
                <w:color w:val="0D1B2A"/>
                <w:sz w:val="18"/>
                <w:szCs w:val="18"/>
              </w:rPr>
              <w:t xml:space="preserve">TCP socket; redis-py 5.0.3 client</w:t>
            </w:r>
          </w:p>
        </w:tc>
        <w:tc>
          <w:tcPr>
            <w:tcW w:type="dxa" w:w="3600"/>
            <w:shd/>
            <w:vAlign w:val="top"/>
          </w:tcPr>
          <w:p>
            <w:pPr>
              <w:spacing w:after="80" w:before="80"/>
              <w:ind w:left="100"/>
            </w:pPr>
            <w:r>
              <w:rPr>
                <w:b w:val="false"/>
                <w:bCs w:val="false"/>
                <w:color w:val="0D1B2A"/>
                <w:sz w:val="18"/>
                <w:szCs w:val="18"/>
              </w:rPr>
              <w:t xml:space="preserve">Watchlist cache; session data</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SQLite</w:t>
            </w:r>
          </w:p>
        </w:tc>
        <w:tc>
          <w:tcPr>
            <w:tcW w:type="dxa" w:w="1400"/>
            <w:shd w:color="F4F6F9" w:val="clear"/>
            <w:vAlign w:val="top"/>
          </w:tcPr>
          <w:p>
            <w:pPr>
              <w:spacing w:after="80" w:before="80"/>
              <w:ind w:left="100"/>
            </w:pPr>
            <w:r>
              <w:rPr>
                <w:b w:val="false"/>
                <w:bCs w:val="false"/>
                <w:color w:val="0D1B2A"/>
                <w:sz w:val="18"/>
                <w:szCs w:val="18"/>
              </w:rPr>
              <w:t xml:space="preserve">3.45</w:t>
            </w:r>
          </w:p>
        </w:tc>
        <w:tc>
          <w:tcPr>
            <w:tcW w:type="dxa" w:w="2000"/>
            <w:shd w:color="F4F6F9" w:val="clear"/>
            <w:vAlign w:val="top"/>
          </w:tcPr>
          <w:p>
            <w:pPr>
              <w:spacing w:after="80" w:before="80"/>
              <w:ind w:left="100"/>
            </w:pPr>
            <w:r>
              <w:rPr>
                <w:b w:val="false"/>
                <w:bCs w:val="false"/>
                <w:color w:val="0D1B2A"/>
                <w:sz w:val="18"/>
                <w:szCs w:val="18"/>
              </w:rPr>
              <w:t xml:space="preserve">Python sqlite3 library (built-in)</w:t>
            </w:r>
          </w:p>
        </w:tc>
        <w:tc>
          <w:tcPr>
            <w:tcW w:type="dxa" w:w="3600"/>
            <w:shd w:color="F4F6F9" w:val="clear"/>
            <w:vAlign w:val="top"/>
          </w:tcPr>
          <w:p>
            <w:pPr>
              <w:spacing w:after="80" w:before="80"/>
              <w:ind w:left="100"/>
            </w:pPr>
            <w:r>
              <w:rPr>
                <w:b w:val="false"/>
                <w:bCs w:val="false"/>
                <w:color w:val="0D1B2A"/>
                <w:sz w:val="18"/>
                <w:szCs w:val="18"/>
              </w:rPr>
              <w:t xml:space="preserve">Audit trail; watchlist fallback; calibration data</w:t>
            </w:r>
          </w:p>
        </w:tc>
      </w:tr>
      <w:tr>
        <w:trPr>
          <w:tblHeader w:val="false"/>
        </w:trPr>
        <w:tc>
          <w:tcPr>
            <w:tcW w:type="dxa" w:w="2000"/>
            <w:shd/>
            <w:vAlign w:val="top"/>
          </w:tcPr>
          <w:p>
            <w:pPr>
              <w:spacing w:after="80" w:before="80"/>
              <w:ind w:left="100"/>
            </w:pPr>
            <w:r>
              <w:rPr>
                <w:b w:val="false"/>
                <w:bCs w:val="false"/>
                <w:color w:val="0D1B2A"/>
                <w:sz w:val="18"/>
                <w:szCs w:val="18"/>
              </w:rPr>
              <w:t xml:space="preserve">FAISS</w:t>
            </w:r>
          </w:p>
        </w:tc>
        <w:tc>
          <w:tcPr>
            <w:tcW w:type="dxa" w:w="1400"/>
            <w:shd/>
            <w:vAlign w:val="top"/>
          </w:tcPr>
          <w:p>
            <w:pPr>
              <w:spacing w:after="80" w:before="80"/>
              <w:ind w:left="100"/>
            </w:pPr>
            <w:r>
              <w:rPr>
                <w:b w:val="false"/>
                <w:bCs w:val="false"/>
                <w:color w:val="0D1B2A"/>
                <w:sz w:val="18"/>
                <w:szCs w:val="18"/>
              </w:rPr>
              <w:t xml:space="preserve">1.8.0</w:t>
            </w:r>
          </w:p>
        </w:tc>
        <w:tc>
          <w:tcPr>
            <w:tcW w:type="dxa" w:w="2000"/>
            <w:shd/>
            <w:vAlign w:val="top"/>
          </w:tcPr>
          <w:p>
            <w:pPr>
              <w:spacing w:after="80" w:before="80"/>
              <w:ind w:left="100"/>
            </w:pPr>
            <w:r>
              <w:rPr>
                <w:b w:val="false"/>
                <w:bCs w:val="false"/>
                <w:color w:val="0D1B2A"/>
                <w:sz w:val="18"/>
                <w:szCs w:val="18"/>
              </w:rPr>
              <w:t xml:space="preserve">Python library import (faiss-cpu or faiss-gpu)</w:t>
            </w:r>
          </w:p>
        </w:tc>
        <w:tc>
          <w:tcPr>
            <w:tcW w:type="dxa" w:w="3600"/>
            <w:shd/>
            <w:vAlign w:val="top"/>
          </w:tcPr>
          <w:p>
            <w:pPr>
              <w:spacing w:after="80" w:before="80"/>
              <w:ind w:left="100"/>
            </w:pPr>
            <w:r>
              <w:rPr>
                <w:b w:val="false"/>
                <w:bCs w:val="false"/>
                <w:color w:val="0D1B2A"/>
                <w:sz w:val="18"/>
                <w:szCs w:val="18"/>
              </w:rPr>
              <w:t xml:space="preserve">Face embedding approximate nearest-neighbour watchlist search</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scikit-learn</w:t>
            </w:r>
          </w:p>
        </w:tc>
        <w:tc>
          <w:tcPr>
            <w:tcW w:type="dxa" w:w="1400"/>
            <w:shd w:color="F4F6F9" w:val="clear"/>
            <w:vAlign w:val="top"/>
          </w:tcPr>
          <w:p>
            <w:pPr>
              <w:spacing w:after="80" w:before="80"/>
              <w:ind w:left="100"/>
            </w:pPr>
            <w:r>
              <w:rPr>
                <w:b w:val="false"/>
                <w:bCs w:val="false"/>
                <w:color w:val="0D1B2A"/>
                <w:sz w:val="18"/>
                <w:szCs w:val="18"/>
              </w:rPr>
              <w:t xml:space="preserve">1.4.1</w:t>
            </w:r>
          </w:p>
        </w:tc>
        <w:tc>
          <w:tcPr>
            <w:tcW w:type="dxa" w:w="2000"/>
            <w:shd w:color="F4F6F9" w:val="clear"/>
            <w:vAlign w:val="top"/>
          </w:tcPr>
          <w:p>
            <w:pPr>
              <w:spacing w:after="80" w:before="80"/>
              <w:ind w:left="100"/>
            </w:pPr>
            <w:r>
              <w:rPr>
                <w:b w:val="false"/>
                <w:bCs w:val="false"/>
                <w:color w:val="0D1B2A"/>
                <w:sz w:val="18"/>
                <w:szCs w:val="18"/>
              </w:rPr>
              <w:t xml:space="preserve">Python library import</w:t>
            </w:r>
          </w:p>
        </w:tc>
        <w:tc>
          <w:tcPr>
            <w:tcW w:type="dxa" w:w="3600"/>
            <w:shd w:color="F4F6F9" w:val="clear"/>
            <w:vAlign w:val="top"/>
          </w:tcPr>
          <w:p>
            <w:pPr>
              <w:spacing w:after="80" w:before="80"/>
              <w:ind w:left="100"/>
            </w:pPr>
            <w:r>
              <w:rPr>
                <w:b w:val="false"/>
                <w:bCs w:val="false"/>
                <w:color w:val="0D1B2A"/>
                <w:sz w:val="18"/>
                <w:szCs w:val="18"/>
              </w:rPr>
              <w:t xml:space="preserve">Platt scaling; isotonic regression; calibration metrics</w:t>
            </w:r>
          </w:p>
        </w:tc>
      </w:tr>
      <w:tr>
        <w:trPr>
          <w:tblHeader w:val="false"/>
        </w:trPr>
        <w:tc>
          <w:tcPr>
            <w:tcW w:type="dxa" w:w="2000"/>
            <w:shd/>
            <w:vAlign w:val="top"/>
          </w:tcPr>
          <w:p>
            <w:pPr>
              <w:spacing w:after="80" w:before="80"/>
              <w:ind w:left="100"/>
            </w:pPr>
            <w:r>
              <w:rPr>
                <w:b w:val="false"/>
                <w:bCs w:val="false"/>
                <w:color w:val="0D1B2A"/>
                <w:sz w:val="18"/>
                <w:szCs w:val="18"/>
              </w:rPr>
              <w:t xml:space="preserve">NetworkX</w:t>
            </w:r>
          </w:p>
        </w:tc>
        <w:tc>
          <w:tcPr>
            <w:tcW w:type="dxa" w:w="1400"/>
            <w:shd/>
            <w:vAlign w:val="top"/>
          </w:tcPr>
          <w:p>
            <w:pPr>
              <w:spacing w:after="80" w:before="80"/>
              <w:ind w:left="100"/>
            </w:pPr>
            <w:r>
              <w:rPr>
                <w:b w:val="false"/>
                <w:bCs w:val="false"/>
                <w:color w:val="0D1B2A"/>
                <w:sz w:val="18"/>
                <w:szCs w:val="18"/>
              </w:rPr>
              <w:t xml:space="preserve">3.3</w:t>
            </w:r>
          </w:p>
        </w:tc>
        <w:tc>
          <w:tcPr>
            <w:tcW w:type="dxa" w:w="2000"/>
            <w:shd/>
            <w:vAlign w:val="top"/>
          </w:tcPr>
          <w:p>
            <w:pPr>
              <w:spacing w:after="80" w:before="80"/>
              <w:ind w:left="100"/>
            </w:pPr>
            <w:r>
              <w:rPr>
                <w:b w:val="false"/>
                <w:bCs w:val="false"/>
                <w:color w:val="0D1B2A"/>
                <w:sz w:val="18"/>
                <w:szCs w:val="18"/>
              </w:rPr>
              <w:t xml:space="preserve">Python library import</w:t>
            </w:r>
          </w:p>
        </w:tc>
        <w:tc>
          <w:tcPr>
            <w:tcW w:type="dxa" w:w="3600"/>
            <w:shd/>
            <w:vAlign w:val="top"/>
          </w:tcPr>
          <w:p>
            <w:pPr>
              <w:spacing w:after="80" w:before="80"/>
              <w:ind w:left="100"/>
            </w:pPr>
            <w:r>
              <w:rPr>
                <w:b w:val="false"/>
                <w:bCs w:val="false"/>
                <w:color w:val="0D1B2A"/>
                <w:sz w:val="18"/>
                <w:szCs w:val="18"/>
              </w:rPr>
              <w:t xml:space="preserve">Cross-document identity graph analysis</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Docker</w:t>
            </w:r>
          </w:p>
        </w:tc>
        <w:tc>
          <w:tcPr>
            <w:tcW w:type="dxa" w:w="1400"/>
            <w:shd w:color="F4F6F9" w:val="clear"/>
            <w:vAlign w:val="top"/>
          </w:tcPr>
          <w:p>
            <w:pPr>
              <w:spacing w:after="80" w:before="80"/>
              <w:ind w:left="100"/>
            </w:pPr>
            <w:r>
              <w:rPr>
                <w:b w:val="false"/>
                <w:bCs w:val="false"/>
                <w:color w:val="0D1B2A"/>
                <w:sz w:val="18"/>
                <w:szCs w:val="18"/>
              </w:rPr>
              <w:t xml:space="preserve">25.0.5</w:t>
            </w:r>
          </w:p>
        </w:tc>
        <w:tc>
          <w:tcPr>
            <w:tcW w:type="dxa" w:w="2000"/>
            <w:shd w:color="F4F6F9" w:val="clear"/>
            <w:vAlign w:val="top"/>
          </w:tcPr>
          <w:p>
            <w:pPr>
              <w:spacing w:after="80" w:before="80"/>
              <w:ind w:left="100"/>
            </w:pPr>
            <w:r>
              <w:rPr>
                <w:b w:val="false"/>
                <w:bCs w:val="false"/>
                <w:color w:val="0D1B2A"/>
                <w:sz w:val="18"/>
                <w:szCs w:val="18"/>
              </w:rPr>
              <w:t xml:space="preserve">Container runtime</w:t>
            </w:r>
          </w:p>
        </w:tc>
        <w:tc>
          <w:tcPr>
            <w:tcW w:type="dxa" w:w="3600"/>
            <w:shd w:color="F4F6F9" w:val="clear"/>
            <w:vAlign w:val="top"/>
          </w:tcPr>
          <w:p>
            <w:pPr>
              <w:spacing w:after="80" w:before="80"/>
              <w:ind w:left="100"/>
            </w:pPr>
            <w:r>
              <w:rPr>
                <w:b w:val="false"/>
                <w:bCs w:val="false"/>
                <w:color w:val="0D1B2A"/>
                <w:sz w:val="18"/>
                <w:szCs w:val="18"/>
              </w:rPr>
              <w:t xml:space="preserve">Application deployment; service isolation</w:t>
            </w:r>
          </w:p>
        </w:tc>
      </w:tr>
      <w:tr>
        <w:trPr>
          <w:tblHeader w:val="false"/>
        </w:trPr>
        <w:tc>
          <w:tcPr>
            <w:tcW w:type="dxa" w:w="2000"/>
            <w:shd/>
            <w:vAlign w:val="top"/>
          </w:tcPr>
          <w:p>
            <w:pPr>
              <w:spacing w:after="80" w:before="80"/>
              <w:ind w:left="100"/>
            </w:pPr>
            <w:r>
              <w:rPr>
                <w:b w:val="false"/>
                <w:bCs w:val="false"/>
                <w:color w:val="0D1B2A"/>
                <w:sz w:val="18"/>
                <w:szCs w:val="18"/>
              </w:rPr>
              <w:t xml:space="preserve">Nginx</w:t>
            </w:r>
          </w:p>
        </w:tc>
        <w:tc>
          <w:tcPr>
            <w:tcW w:type="dxa" w:w="1400"/>
            <w:shd/>
            <w:vAlign w:val="top"/>
          </w:tcPr>
          <w:p>
            <w:pPr>
              <w:spacing w:after="80" w:before="80"/>
              <w:ind w:left="100"/>
            </w:pPr>
            <w:r>
              <w:rPr>
                <w:b w:val="false"/>
                <w:bCs w:val="false"/>
                <w:color w:val="0D1B2A"/>
                <w:sz w:val="18"/>
                <w:szCs w:val="18"/>
              </w:rPr>
              <w:t xml:space="preserve">1.26</w:t>
            </w:r>
          </w:p>
        </w:tc>
        <w:tc>
          <w:tcPr>
            <w:tcW w:type="dxa" w:w="2000"/>
            <w:shd/>
            <w:vAlign w:val="top"/>
          </w:tcPr>
          <w:p>
            <w:pPr>
              <w:spacing w:after="80" w:before="80"/>
              <w:ind w:left="100"/>
            </w:pPr>
            <w:r>
              <w:rPr>
                <w:b w:val="false"/>
                <w:bCs w:val="false"/>
                <w:color w:val="0D1B2A"/>
                <w:sz w:val="18"/>
                <w:szCs w:val="18"/>
              </w:rPr>
              <w:t xml:space="preserve">Reverse proxy; TLS termination</w:t>
            </w:r>
          </w:p>
        </w:tc>
        <w:tc>
          <w:tcPr>
            <w:tcW w:type="dxa" w:w="3600"/>
            <w:shd/>
            <w:vAlign w:val="top"/>
          </w:tcPr>
          <w:p>
            <w:pPr>
              <w:spacing w:after="80" w:before="80"/>
              <w:ind w:left="100"/>
            </w:pPr>
            <w:r>
              <w:rPr>
                <w:b w:val="false"/>
                <w:bCs w:val="false"/>
                <w:color w:val="0D1B2A"/>
                <w:sz w:val="18"/>
                <w:szCs w:val="18"/>
              </w:rPr>
              <w:t xml:space="preserve">HTTPS/WSS; static frontend file serving</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React</w:t>
            </w:r>
          </w:p>
        </w:tc>
        <w:tc>
          <w:tcPr>
            <w:tcW w:type="dxa" w:w="1400"/>
            <w:shd w:color="F4F6F9" w:val="clear"/>
            <w:vAlign w:val="top"/>
          </w:tcPr>
          <w:p>
            <w:pPr>
              <w:spacing w:after="80" w:before="80"/>
              <w:ind w:left="100"/>
            </w:pPr>
            <w:r>
              <w:rPr>
                <w:b w:val="false"/>
                <w:bCs w:val="false"/>
                <w:color w:val="0D1B2A"/>
                <w:sz w:val="18"/>
                <w:szCs w:val="18"/>
              </w:rPr>
              <w:t xml:space="preserve">18.3.1</w:t>
            </w:r>
          </w:p>
        </w:tc>
        <w:tc>
          <w:tcPr>
            <w:tcW w:type="dxa" w:w="2000"/>
            <w:shd w:color="F4F6F9" w:val="clear"/>
            <w:vAlign w:val="top"/>
          </w:tcPr>
          <w:p>
            <w:pPr>
              <w:spacing w:after="80" w:before="80"/>
              <w:ind w:left="100"/>
            </w:pPr>
            <w:r>
              <w:rPr>
                <w:b w:val="false"/>
                <w:bCs w:val="false"/>
                <w:color w:val="0D1B2A"/>
                <w:sz w:val="18"/>
                <w:szCs w:val="18"/>
              </w:rPr>
              <w:t xml:space="preserve">JavaScript frontend framework</w:t>
            </w:r>
          </w:p>
        </w:tc>
        <w:tc>
          <w:tcPr>
            <w:tcW w:type="dxa" w:w="3600"/>
            <w:shd w:color="F4F6F9" w:val="clear"/>
            <w:vAlign w:val="top"/>
          </w:tcPr>
          <w:p>
            <w:pPr>
              <w:spacing w:after="80" w:before="80"/>
              <w:ind w:left="100"/>
            </w:pPr>
            <w:r>
              <w:rPr>
                <w:b w:val="false"/>
                <w:bCs w:val="false"/>
                <w:color w:val="0D1B2A"/>
                <w:sz w:val="18"/>
                <w:szCs w:val="18"/>
              </w:rPr>
              <w:t xml:space="preserve">Officer dashboard SPA</w:t>
            </w:r>
          </w:p>
        </w:tc>
      </w:tr>
      <w:tr>
        <w:trPr>
          <w:tblHeader w:val="false"/>
        </w:trPr>
        <w:tc>
          <w:tcPr>
            <w:tcW w:type="dxa" w:w="2000"/>
            <w:shd/>
            <w:vAlign w:val="top"/>
          </w:tcPr>
          <w:p>
            <w:pPr>
              <w:spacing w:after="80" w:before="80"/>
              <w:ind w:left="100"/>
            </w:pPr>
            <w:r>
              <w:rPr>
                <w:b w:val="false"/>
                <w:bCs w:val="false"/>
                <w:color w:val="0D1B2A"/>
                <w:sz w:val="18"/>
                <w:szCs w:val="18"/>
              </w:rPr>
              <w:t xml:space="preserve">TypeScript</w:t>
            </w:r>
          </w:p>
        </w:tc>
        <w:tc>
          <w:tcPr>
            <w:tcW w:type="dxa" w:w="1400"/>
            <w:shd/>
            <w:vAlign w:val="top"/>
          </w:tcPr>
          <w:p>
            <w:pPr>
              <w:spacing w:after="80" w:before="80"/>
              <w:ind w:left="100"/>
            </w:pPr>
            <w:r>
              <w:rPr>
                <w:b w:val="false"/>
                <w:bCs w:val="false"/>
                <w:color w:val="0D1B2A"/>
                <w:sz w:val="18"/>
                <w:szCs w:val="18"/>
              </w:rPr>
              <w:t xml:space="preserve">5.4.5</w:t>
            </w:r>
          </w:p>
        </w:tc>
        <w:tc>
          <w:tcPr>
            <w:tcW w:type="dxa" w:w="2000"/>
            <w:shd/>
            <w:vAlign w:val="top"/>
          </w:tcPr>
          <w:p>
            <w:pPr>
              <w:spacing w:after="80" w:before="80"/>
              <w:ind w:left="100"/>
            </w:pPr>
            <w:r>
              <w:rPr>
                <w:b w:val="false"/>
                <w:bCs w:val="false"/>
                <w:color w:val="0D1B2A"/>
                <w:sz w:val="18"/>
                <w:szCs w:val="18"/>
              </w:rPr>
              <w:t xml:space="preserve">JavaScript superset (compile-time)</w:t>
            </w:r>
          </w:p>
        </w:tc>
        <w:tc>
          <w:tcPr>
            <w:tcW w:type="dxa" w:w="3600"/>
            <w:shd/>
            <w:vAlign w:val="top"/>
          </w:tcPr>
          <w:p>
            <w:pPr>
              <w:spacing w:after="80" w:before="80"/>
              <w:ind w:left="100"/>
            </w:pPr>
            <w:r>
              <w:rPr>
                <w:b w:val="false"/>
                <w:bCs w:val="false"/>
                <w:color w:val="0D1B2A"/>
                <w:sz w:val="18"/>
                <w:szCs w:val="18"/>
              </w:rPr>
              <w:t xml:space="preserve">Frontend type safety</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Tailwind CSS</w:t>
            </w:r>
          </w:p>
        </w:tc>
        <w:tc>
          <w:tcPr>
            <w:tcW w:type="dxa" w:w="1400"/>
            <w:shd w:color="F4F6F9" w:val="clear"/>
            <w:vAlign w:val="top"/>
          </w:tcPr>
          <w:p>
            <w:pPr>
              <w:spacing w:after="80" w:before="80"/>
              <w:ind w:left="100"/>
            </w:pPr>
            <w:r>
              <w:rPr>
                <w:b w:val="false"/>
                <w:bCs w:val="false"/>
                <w:color w:val="0D1B2A"/>
                <w:sz w:val="18"/>
                <w:szCs w:val="18"/>
              </w:rPr>
              <w:t xml:space="preserve">3.4</w:t>
            </w:r>
          </w:p>
        </w:tc>
        <w:tc>
          <w:tcPr>
            <w:tcW w:type="dxa" w:w="2000"/>
            <w:shd w:color="F4F6F9" w:val="clear"/>
            <w:vAlign w:val="top"/>
          </w:tcPr>
          <w:p>
            <w:pPr>
              <w:spacing w:after="80" w:before="80"/>
              <w:ind w:left="100"/>
            </w:pPr>
            <w:r>
              <w:rPr>
                <w:b w:val="false"/>
                <w:bCs w:val="false"/>
                <w:color w:val="0D1B2A"/>
                <w:sz w:val="18"/>
                <w:szCs w:val="18"/>
              </w:rPr>
              <w:t xml:space="preserve">CSS utility framework</w:t>
            </w:r>
          </w:p>
        </w:tc>
        <w:tc>
          <w:tcPr>
            <w:tcW w:type="dxa" w:w="3600"/>
            <w:shd w:color="F4F6F9" w:val="clear"/>
            <w:vAlign w:val="top"/>
          </w:tcPr>
          <w:p>
            <w:pPr>
              <w:spacing w:after="80" w:before="80"/>
              <w:ind w:left="100"/>
            </w:pPr>
            <w:r>
              <w:rPr>
                <w:b w:val="false"/>
                <w:bCs w:val="false"/>
                <w:color w:val="0D1B2A"/>
                <w:sz w:val="18"/>
                <w:szCs w:val="18"/>
              </w:rPr>
              <w:t xml:space="preserve">Dashboard styling</w:t>
            </w:r>
          </w:p>
        </w:tc>
      </w:tr>
      <w:tr>
        <w:trPr>
          <w:tblHeader w:val="false"/>
        </w:trPr>
        <w:tc>
          <w:tcPr>
            <w:tcW w:type="dxa" w:w="2000"/>
            <w:shd/>
            <w:vAlign w:val="top"/>
          </w:tcPr>
          <w:p>
            <w:pPr>
              <w:spacing w:after="80" w:before="80"/>
              <w:ind w:left="100"/>
            </w:pPr>
            <w:r>
              <w:rPr>
                <w:b w:val="false"/>
                <w:bCs w:val="false"/>
                <w:color w:val="0D1B2A"/>
                <w:sz w:val="18"/>
                <w:szCs w:val="18"/>
              </w:rPr>
              <w:t xml:space="preserve">Recharts</w:t>
            </w:r>
          </w:p>
        </w:tc>
        <w:tc>
          <w:tcPr>
            <w:tcW w:type="dxa" w:w="1400"/>
            <w:shd/>
            <w:vAlign w:val="top"/>
          </w:tcPr>
          <w:p>
            <w:pPr>
              <w:spacing w:after="80" w:before="80"/>
              <w:ind w:left="100"/>
            </w:pPr>
            <w:r>
              <w:rPr>
                <w:b w:val="false"/>
                <w:bCs w:val="false"/>
                <w:color w:val="0D1B2A"/>
                <w:sz w:val="18"/>
                <w:szCs w:val="18"/>
              </w:rPr>
              <w:t xml:space="preserve">2.12</w:t>
            </w:r>
          </w:p>
        </w:tc>
        <w:tc>
          <w:tcPr>
            <w:tcW w:type="dxa" w:w="2000"/>
            <w:shd/>
            <w:vAlign w:val="top"/>
          </w:tcPr>
          <w:p>
            <w:pPr>
              <w:spacing w:after="80" w:before="80"/>
              <w:ind w:left="100"/>
            </w:pPr>
            <w:r>
              <w:rPr>
                <w:b w:val="false"/>
                <w:bCs w:val="false"/>
                <w:color w:val="0D1B2A"/>
                <w:sz w:val="18"/>
                <w:szCs w:val="18"/>
              </w:rPr>
              <w:t xml:space="preserve">React charting library</w:t>
            </w:r>
          </w:p>
        </w:tc>
        <w:tc>
          <w:tcPr>
            <w:tcW w:type="dxa" w:w="3600"/>
            <w:shd/>
            <w:vAlign w:val="top"/>
          </w:tcPr>
          <w:p>
            <w:pPr>
              <w:spacing w:after="80" w:before="80"/>
              <w:ind w:left="100"/>
            </w:pPr>
            <w:r>
              <w:rPr>
                <w:b w:val="false"/>
                <w:bCs w:val="false"/>
                <w:color w:val="0D1B2A"/>
                <w:sz w:val="18"/>
                <w:szCs w:val="18"/>
              </w:rPr>
              <w:t xml:space="preserve">Risk gauge; SHAP attribution chart</w:t>
            </w:r>
          </w:p>
        </w:tc>
      </w:tr>
    </w:tbl>
    <w:p>
      <w:pPr>
        <w:pStyle w:val="Heading2"/>
        <w:spacing w:after="160" w:before="360"/>
      </w:pPr>
      <w:r>
        <w:t xml:space="preserve">5.4  Communication Interfaces</w:t>
      </w:r>
    </w:p>
    <w:p>
      <w:pPr>
        <w:pStyle w:val="Heading3"/>
        <w:spacing w:after="120" w:before="240"/>
      </w:pPr>
      <w:r>
        <w:t xml:space="preserve">5.4.1  Internal Communication (Within Checkpoint)</w:t>
      </w:r>
    </w:p>
    <w:p>
      <w:pPr>
        <w:pStyle w:val="ListParagraph"/>
        <w:numPr>
          <w:ilvl w:val="0"/>
          <w:numId w:val="1"/>
        </w:numPr>
        <w:spacing w:after="80"/>
        <w:ind w:left="720" w:hanging="360"/>
      </w:pPr>
      <w:r>
        <w:t xml:space="preserve">Officer workstation to Nginx: HTTPS (TLS 1.3) on port 443; WebSocket Secure (WSS) on port 443 for real-time progress updates.</w:t>
      </w:r>
    </w:p>
    <w:p>
      <w:pPr>
        <w:pStyle w:val="ListParagraph"/>
        <w:numPr>
          <w:ilvl w:val="0"/>
          <w:numId w:val="1"/>
        </w:numPr>
        <w:spacing w:after="80"/>
        <w:ind w:left="720" w:hanging="360"/>
      </w:pPr>
      <w:r>
        <w:t xml:space="preserve">Nginx to FastAPI: HTTP/1.1 reverse proxy on internal Docker network (port 8000).</w:t>
      </w:r>
    </w:p>
    <w:p>
      <w:pPr>
        <w:pStyle w:val="ListParagraph"/>
        <w:numPr>
          <w:ilvl w:val="0"/>
          <w:numId w:val="1"/>
        </w:numPr>
        <w:spacing w:after="80"/>
        <w:ind w:left="720" w:hanging="360"/>
      </w:pPr>
      <w:r>
        <w:t xml:space="preserve">FastAPI to Redis: TCP on Docker internal network (port 6379); redis-py connection pool.</w:t>
      </w:r>
    </w:p>
    <w:p>
      <w:pPr>
        <w:pStyle w:val="ListParagraph"/>
        <w:numPr>
          <w:ilvl w:val="0"/>
          <w:numId w:val="1"/>
        </w:numPr>
        <w:spacing w:after="80"/>
        <w:ind w:left="720" w:hanging="360"/>
      </w:pPr>
      <w:r>
        <w:t xml:space="preserve">FastAPI to SQLite: File-system access within the same Docker container; WAL mode; no network.</w:t>
      </w:r>
    </w:p>
    <w:p>
      <w:pPr>
        <w:pStyle w:val="ListParagraph"/>
        <w:numPr>
          <w:ilvl w:val="0"/>
          <w:numId w:val="1"/>
        </w:numPr>
        <w:spacing w:after="80"/>
        <w:ind w:left="720" w:hanging="360"/>
      </w:pPr>
      <w:r>
        <w:t xml:space="preserve">FastAPI to GPU inference server: Internal HTTP/REST (if separate container) or direct Python call (if same container).</w:t>
      </w:r>
    </w:p>
    <w:p>
      <w:pPr>
        <w:pStyle w:val="Heading3"/>
        <w:spacing w:after="120" w:before="240"/>
      </w:pPr>
      <w:r>
        <w:t xml:space="preserve">5.4.2  External Communication (Checkpoint to Central Command)</w:t>
      </w:r>
    </w:p>
    <w:p>
      <w:pPr>
        <w:pStyle w:val="ListParagraph"/>
        <w:numPr>
          <w:ilvl w:val="0"/>
          <w:numId w:val="1"/>
        </w:numPr>
        <w:spacing w:after="80"/>
        <w:ind w:left="720" w:hanging="360"/>
      </w:pPr>
      <w:r>
        <w:t xml:space="preserve">Protocol: HTTPS, TLS 1.3, mutual certificate authentication (mTLS).</w:t>
      </w:r>
    </w:p>
    <w:p>
      <w:pPr>
        <w:pStyle w:val="ListParagraph"/>
        <w:numPr>
          <w:ilvl w:val="0"/>
          <w:numId w:val="1"/>
        </w:numPr>
        <w:spacing w:after="80"/>
        <w:ind w:left="720" w:hanging="360"/>
      </w:pPr>
      <w:r>
        <w:t xml:space="preserve">Authentication: Checkpoint node presents a unique X.509 certificate issued by the SSB internal Certificate Authority.</w:t>
      </w:r>
    </w:p>
    <w:p>
      <w:pPr>
        <w:pStyle w:val="ListParagraph"/>
        <w:numPr>
          <w:ilvl w:val="0"/>
          <w:numId w:val="1"/>
        </w:numPr>
        <w:spacing w:after="80"/>
        <w:ind w:left="720" w:hanging="360"/>
      </w:pPr>
      <w:r>
        <w:t xml:space="preserve">Payload: AES-256-GCM encrypted, HMAC-SHA256 signed JSON delta package.</w:t>
      </w:r>
    </w:p>
    <w:p>
      <w:pPr>
        <w:pStyle w:val="ListParagraph"/>
        <w:numPr>
          <w:ilvl w:val="0"/>
          <w:numId w:val="1"/>
        </w:numPr>
        <w:spacing w:after="80"/>
        <w:ind w:left="720" w:hanging="360"/>
      </w:pPr>
      <w:r>
        <w:t xml:space="preserve">Direction: Central Command pushes delta packages to checkpoint on schedule; checkpoint pulls audit log aggregation on schedule.</w:t>
      </w:r>
    </w:p>
    <w:p>
      <w:pPr>
        <w:pStyle w:val="ListParagraph"/>
        <w:numPr>
          <w:ilvl w:val="0"/>
          <w:numId w:val="1"/>
        </w:numPr>
        <w:spacing w:after="80"/>
        <w:ind w:left="720" w:hanging="360"/>
      </w:pPr>
      <w:r>
        <w:t xml:space="preserve">Failure handling: All external communication failures are logged locally. No live operation depends on the external connection being available.</w:t>
      </w:r>
    </w:p>
    <w:p>
      <w:r>
        <w:br w:type="page"/>
      </w:r>
    </w:p>
    <w:p>
      <w:pPr>
        <w:pStyle w:val="Heading1"/>
        <w:spacing w:after="200" w:before="560"/>
      </w:pPr>
      <w:r>
        <w:t xml:space="preserve">6. System Constraints and Limitations</w:t>
      </w:r>
    </w:p>
    <w:p>
      <w:pPr>
        <w:pBdr>
          <w:bottom w:val="single" w:color="2E86AB" w:sz="8"/>
        </w:pBdr>
        <w:spacing w:after="200" w:before="160"/>
      </w:pPr>
    </w:p>
    <w:p>
      <w:pPr>
        <w:pStyle w:val="Heading2"/>
        <w:spacing w:after="160" w:before="360"/>
      </w:pPr>
      <w:r>
        <w:t xml:space="preserve">6.1  What the System Explicitly Does Not Do</w:t>
      </w:r>
    </w:p>
    <w:p>
      <w:pPr>
        <w:pStyle w:val="ListParagraph"/>
        <w:numPr>
          <w:ilvl w:val="0"/>
          <w:numId w:val="1"/>
        </w:numPr>
        <w:spacing w:after="80"/>
        <w:ind w:left="720" w:hanging="360"/>
      </w:pPr>
      <w:r>
        <w:t xml:space="preserve">The AIDSS does not make legal determinations. It is a decision-support tool. Authority to detain, refuse entry, or take enforcement action rests solely with the designated SSB officer. No system output shall be used as a standalone basis for legal action.</w:t>
      </w:r>
    </w:p>
    <w:p>
      <w:pPr>
        <w:pStyle w:val="ListParagraph"/>
        <w:numPr>
          <w:ilvl w:val="0"/>
          <w:numId w:val="1"/>
        </w:numPr>
        <w:spacing w:after="80"/>
        <w:ind w:left="720" w:hanging="360"/>
      </w:pPr>
      <w:r>
        <w:t xml:space="preserve">The AIDSS does not verify the authenticity of document security features that require physical examination: UV-fluorescent inks, tactile relief printing, holograms, and RFID/NFC chip cryptographic verification. These features require physical specialist equipment and are beyond the scope of image-based analysis.</w:t>
      </w:r>
    </w:p>
    <w:p>
      <w:pPr>
        <w:pStyle w:val="ListParagraph"/>
        <w:numPr>
          <w:ilvl w:val="0"/>
          <w:numId w:val="1"/>
        </w:numPr>
        <w:spacing w:after="80"/>
        <w:ind w:left="720" w:hanging="360"/>
      </w:pPr>
      <w:r>
        <w:t xml:space="preserve">The AIDSS does not perform population-scale identity deduplication (1:N search across all persons who have ever crossed the border) in v1.0. Watchlist matching is 1:N against the watchlist only. Population-scale AFIS-style search is a post-prototype roadmap item.</w:t>
      </w:r>
    </w:p>
    <w:p>
      <w:pPr>
        <w:pStyle w:val="ListParagraph"/>
        <w:numPr>
          <w:ilvl w:val="0"/>
          <w:numId w:val="1"/>
        </w:numPr>
        <w:spacing w:after="80"/>
        <w:ind w:left="720" w:hanging="360"/>
      </w:pPr>
      <w:r>
        <w:t xml:space="preserve">The AIDSS does not integrate with any external government database in v1.0 (NATGRID, CCTNS, MEA passport database, Interpol I-24/7). Watchlist data is synchronised from Central Command only.</w:t>
      </w:r>
    </w:p>
    <w:p>
      <w:pPr>
        <w:pStyle w:val="ListParagraph"/>
        <w:numPr>
          <w:ilvl w:val="0"/>
          <w:numId w:val="1"/>
        </w:numPr>
        <w:spacing w:after="80"/>
        <w:ind w:left="720" w:hanging="360"/>
      </w:pPr>
      <w:r>
        <w:t xml:space="preserve">The AIDSS does not support document types from all countries of the world in v1.0. Supported VIZ extraction templates are: India (all document types), Nepal, Bhutan, Bangladesh, and Myanmar. MRZ parsing supports all ICAO 9303 compliant documents globally.</w:t>
      </w:r>
    </w:p>
    <w:p>
      <w:pPr>
        <w:pStyle w:val="Heading2"/>
        <w:spacing w:after="160" w:before="360"/>
      </w:pPr>
      <w:r>
        <w:t xml:space="preserve">6.2  Legal Disclaimer</w:t>
      </w:r>
    </w:p>
    <w:p>
      <w:pPr>
        <w:spacing w:after="140"/>
      </w:pPr>
      <w:r>
        <w:rPr>
          <w:b/>
          <w:bCs/>
          <w:color w:val="0D1B2A"/>
        </w:rPr>
        <w:t xml:space="preserve">IMPORTANT — TO BE INCLUDED IN OFFICER TRAINING AND SYSTEM DOCUMENTATION:</w:t>
      </w:r>
      <w:r>
        <w:t xml:space="preserve"> The output of the AIDSS, including the risk score, risk band, and all finding statements, constitutes automated decision support generated by artificial intelligence systems. These outputs are probabilistic in nature and are subject to error. The system has a known false positive rate (genuine documents incorrectly flagged) and a known false negative rate (fraudulent documents not detected). No automated determination from this system shall constitute a final legal determination regarding an individual's identity, document authenticity, or admissibility for border crossing. All final decisions are the responsibility of the authorised SSB officer.</w:t>
      </w:r>
    </w:p>
    <w:p>
      <w:pPr>
        <w:pStyle w:val="Heading2"/>
        <w:spacing w:after="160" w:before="360"/>
      </w:pPr>
      <w:r>
        <w:t xml:space="preserve">6.3  Known Limitations of AI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color="1B2A4A" w:val="clear"/>
            <w:vAlign w:val="top"/>
          </w:tcPr>
          <w:p>
            <w:pPr>
              <w:spacing w:after="80" w:before="80"/>
              <w:ind w:left="100"/>
            </w:pPr>
            <w:r>
              <w:rPr>
                <w:b/>
                <w:bCs/>
                <w:color w:val="FFFFFF"/>
                <w:sz w:val="18"/>
                <w:szCs w:val="18"/>
              </w:rPr>
              <w:t xml:space="preserve">Module</w:t>
            </w:r>
          </w:p>
        </w:tc>
        <w:tc>
          <w:tcPr>
            <w:tcW w:type="dxa" w:w="3200"/>
            <w:shd w:color="1B2A4A" w:val="clear"/>
            <w:vAlign w:val="top"/>
          </w:tcPr>
          <w:p>
            <w:pPr>
              <w:spacing w:after="80" w:before="80"/>
              <w:ind w:left="100"/>
            </w:pPr>
            <w:r>
              <w:rPr>
                <w:b/>
                <w:bCs/>
                <w:color w:val="FFFFFF"/>
                <w:sz w:val="18"/>
                <w:szCs w:val="18"/>
              </w:rPr>
              <w:t xml:space="preserve">Known Limitation</w:t>
            </w:r>
          </w:p>
        </w:tc>
        <w:tc>
          <w:tcPr>
            <w:tcW w:type="dxa" w:w="3600"/>
            <w:shd w:color="1B2A4A" w:val="clear"/>
            <w:vAlign w:val="top"/>
          </w:tcPr>
          <w:p>
            <w:pPr>
              <w:spacing w:after="80" w:before="80"/>
              <w:ind w:left="100"/>
            </w:pPr>
            <w:r>
              <w:rPr>
                <w:b/>
                <w:bCs/>
                <w:color w:val="FFFFFF"/>
                <w:sz w:val="18"/>
                <w:szCs w:val="18"/>
              </w:rPr>
              <w:t xml:space="preserve">Mitigation in System</w:t>
            </w:r>
          </w:p>
        </w:tc>
      </w:tr>
      <w:tr>
        <w:trPr>
          <w:tblHeader w:val="false"/>
        </w:trPr>
        <w:tc>
          <w:tcPr>
            <w:tcW w:type="dxa" w:w="2200"/>
            <w:shd w:color="F4F6F9" w:val="clear"/>
            <w:vAlign w:val="top"/>
          </w:tcPr>
          <w:p>
            <w:pPr>
              <w:spacing w:after="80" w:before="80"/>
              <w:ind w:left="100"/>
            </w:pPr>
            <w:r>
              <w:rPr>
                <w:b w:val="false"/>
                <w:bCs w:val="false"/>
                <w:color w:val="0D1B2A"/>
                <w:sz w:val="18"/>
                <w:szCs w:val="18"/>
              </w:rPr>
              <w:t xml:space="preserve">OCR (PaddleOCR)</w:t>
            </w:r>
          </w:p>
        </w:tc>
        <w:tc>
          <w:tcPr>
            <w:tcW w:type="dxa" w:w="3200"/>
            <w:shd w:color="F4F6F9" w:val="clear"/>
            <w:vAlign w:val="top"/>
          </w:tcPr>
          <w:p>
            <w:pPr>
              <w:spacing w:after="80" w:before="80"/>
              <w:ind w:left="100"/>
            </w:pPr>
            <w:r>
              <w:rPr>
                <w:b w:val="false"/>
                <w:bCs w:val="false"/>
                <w:color w:val="0D1B2A"/>
                <w:sz w:val="18"/>
                <w:szCs w:val="18"/>
              </w:rPr>
              <w:t xml:space="preserve">CER increases significantly on documents with extreme degradation (water damage, torn edges, severe smearing). Handwriting recognition (TrOCR) accuracy is substantially lower than for printed text.</w:t>
            </w:r>
          </w:p>
        </w:tc>
        <w:tc>
          <w:tcPr>
            <w:tcW w:type="dxa" w:w="3600"/>
            <w:shd w:color="F4F6F9" w:val="clear"/>
            <w:vAlign w:val="top"/>
          </w:tcPr>
          <w:p>
            <w:pPr>
              <w:spacing w:after="80" w:before="80"/>
              <w:ind w:left="100"/>
            </w:pPr>
            <w:r>
              <w:rPr>
                <w:b w:val="false"/>
                <w:bCs w:val="false"/>
                <w:color w:val="0D1B2A"/>
                <w:sz w:val="18"/>
                <w:szCs w:val="18"/>
              </w:rPr>
              <w:t xml:space="preserve">Low-confidence fields are flagged individually; officer is prompted to manually verify. Handwritten fields carry explicit lower confidence baseline.</w:t>
            </w:r>
          </w:p>
        </w:tc>
      </w:tr>
      <w:tr>
        <w:trPr>
          <w:tblHeader w:val="false"/>
        </w:trPr>
        <w:tc>
          <w:tcPr>
            <w:tcW w:type="dxa" w:w="2200"/>
            <w:shd/>
            <w:vAlign w:val="top"/>
          </w:tcPr>
          <w:p>
            <w:pPr>
              <w:spacing w:after="80" w:before="80"/>
              <w:ind w:left="100"/>
            </w:pPr>
            <w:r>
              <w:rPr>
                <w:b w:val="false"/>
                <w:bCs w:val="false"/>
                <w:color w:val="0D1B2A"/>
                <w:sz w:val="18"/>
                <w:szCs w:val="18"/>
              </w:rPr>
              <w:t xml:space="preserve">MRZ Parsing</w:t>
            </w:r>
          </w:p>
        </w:tc>
        <w:tc>
          <w:tcPr>
            <w:tcW w:type="dxa" w:w="3200"/>
            <w:shd/>
            <w:vAlign w:val="top"/>
          </w:tcPr>
          <w:p>
            <w:pPr>
              <w:spacing w:after="80" w:before="80"/>
              <w:ind w:left="100"/>
            </w:pPr>
            <w:r>
              <w:rPr>
                <w:b w:val="false"/>
                <w:bCs w:val="false"/>
                <w:color w:val="0D1B2A"/>
                <w:sz w:val="18"/>
                <w:szCs w:val="18"/>
              </w:rPr>
              <w:t xml:space="preserve">Physical MRZ damage (torn, folded, ink-stained) may prevent reliable character recognition. The system cannot detect forgeries where both VIZ and MRZ are consistently altered (MRZ was reprinted to match altered VIZ).</w:t>
            </w:r>
          </w:p>
        </w:tc>
        <w:tc>
          <w:tcPr>
            <w:tcW w:type="dxa" w:w="3600"/>
            <w:shd/>
            <w:vAlign w:val="top"/>
          </w:tcPr>
          <w:p>
            <w:pPr>
              <w:spacing w:after="80" w:before="80"/>
              <w:ind w:left="100"/>
            </w:pPr>
            <w:r>
              <w:rPr>
                <w:b w:val="false"/>
                <w:bCs w:val="false"/>
                <w:color w:val="0D1B2A"/>
                <w:sz w:val="18"/>
                <w:szCs w:val="18"/>
              </w:rPr>
              <w:t xml:space="preserve">MRZ damage is flagged as a low-confidence condition. Cross-referencing with other biometric and forensic signals reduces but does not eliminate the reprinted-MRZ attack vector.</w:t>
            </w:r>
          </w:p>
        </w:tc>
      </w:tr>
      <w:tr>
        <w:trPr>
          <w:tblHeader w:val="false"/>
        </w:trPr>
        <w:tc>
          <w:tcPr>
            <w:tcW w:type="dxa" w:w="2200"/>
            <w:shd w:color="F4F6F9" w:val="clear"/>
            <w:vAlign w:val="top"/>
          </w:tcPr>
          <w:p>
            <w:pPr>
              <w:spacing w:after="80" w:before="80"/>
              <w:ind w:left="100"/>
            </w:pPr>
            <w:r>
              <w:rPr>
                <w:b w:val="false"/>
                <w:bCs w:val="false"/>
                <w:color w:val="0D1B2A"/>
                <w:sz w:val="18"/>
                <w:szCs w:val="18"/>
              </w:rPr>
              <w:t xml:space="preserve">ELA Tampering</w:t>
            </w:r>
          </w:p>
        </w:tc>
        <w:tc>
          <w:tcPr>
            <w:tcW w:type="dxa" w:w="3200"/>
            <w:shd w:color="F4F6F9" w:val="clear"/>
            <w:vAlign w:val="top"/>
          </w:tcPr>
          <w:p>
            <w:pPr>
              <w:spacing w:after="80" w:before="80"/>
              <w:ind w:left="100"/>
            </w:pPr>
            <w:r>
              <w:rPr>
                <w:b w:val="false"/>
                <w:bCs w:val="false"/>
                <w:color w:val="0D1B2A"/>
                <w:sz w:val="18"/>
                <w:szCs w:val="18"/>
              </w:rPr>
              <w:t xml:space="preserve">ELA is ineffective on lossless (PNG/TIFF) images. Sophisticated forgers who re-save the entire document at uniform JPEG quality before submission will produce low ELA scores on all regions, defeating this method.</w:t>
            </w:r>
          </w:p>
        </w:tc>
        <w:tc>
          <w:tcPr>
            <w:tcW w:type="dxa" w:w="3600"/>
            <w:shd w:color="F4F6F9" w:val="clear"/>
            <w:vAlign w:val="top"/>
          </w:tcPr>
          <w:p>
            <w:pPr>
              <w:spacing w:after="80" w:before="80"/>
              <w:ind w:left="100"/>
            </w:pPr>
            <w:r>
              <w:rPr>
                <w:b w:val="false"/>
                <w:bCs w:val="false"/>
                <w:color w:val="0D1B2A"/>
                <w:sz w:val="18"/>
                <w:szCs w:val="18"/>
              </w:rPr>
              <w:t xml:space="preserve">Four additional tampering methods compensate. PNG images generate ELA UNKNOWN mass (not GENUINE mass). Uniform-recompression attacks are detectable by MVSS-Net noise analysis.</w:t>
            </w:r>
          </w:p>
        </w:tc>
      </w:tr>
      <w:tr>
        <w:trPr>
          <w:tblHeader w:val="false"/>
        </w:trPr>
        <w:tc>
          <w:tcPr>
            <w:tcW w:type="dxa" w:w="2200"/>
            <w:shd/>
            <w:vAlign w:val="top"/>
          </w:tcPr>
          <w:p>
            <w:pPr>
              <w:spacing w:after="80" w:before="80"/>
              <w:ind w:left="100"/>
            </w:pPr>
            <w:r>
              <w:rPr>
                <w:b w:val="false"/>
                <w:bCs w:val="false"/>
                <w:color w:val="0D1B2A"/>
                <w:sz w:val="18"/>
                <w:szCs w:val="18"/>
              </w:rPr>
              <w:t xml:space="preserve">MVSS-Net</w:t>
            </w:r>
          </w:p>
        </w:tc>
        <w:tc>
          <w:tcPr>
            <w:tcW w:type="dxa" w:w="3200"/>
            <w:shd/>
            <w:vAlign w:val="top"/>
          </w:tcPr>
          <w:p>
            <w:pPr>
              <w:spacing w:after="80" w:before="80"/>
              <w:ind w:left="100"/>
            </w:pPr>
            <w:r>
              <w:rPr>
                <w:b w:val="false"/>
                <w:bCs w:val="false"/>
                <w:color w:val="0D1B2A"/>
                <w:sz w:val="18"/>
                <w:szCs w:val="18"/>
              </w:rPr>
              <w:t xml:space="preserve">MVSS-Net was trained predominantly on natural scene images. Performance on documents (which have highly structured, uniform content) may differ from published benchmark figures. Physical forgeries (no digital manipulation) are outside its effective detection range.</w:t>
            </w:r>
          </w:p>
        </w:tc>
        <w:tc>
          <w:tcPr>
            <w:tcW w:type="dxa" w:w="3600"/>
            <w:shd/>
            <w:vAlign w:val="top"/>
          </w:tcPr>
          <w:p>
            <w:pPr>
              <w:spacing w:after="80" w:before="80"/>
              <w:ind w:left="100"/>
            </w:pPr>
            <w:r>
              <w:rPr>
                <w:b w:val="false"/>
                <w:bCs w:val="false"/>
                <w:color w:val="0D1B2A"/>
                <w:sz w:val="18"/>
                <w:szCs w:val="18"/>
              </w:rPr>
              <w:t xml:space="preserve">Illumination consistency and EXIF analysis complement for physical forgeries. MVSS-Net performance is re-evaluated quarterly on checkpoint-specific test data.</w:t>
            </w:r>
          </w:p>
        </w:tc>
      </w:tr>
      <w:tr>
        <w:trPr>
          <w:tblHeader w:val="false"/>
        </w:trPr>
        <w:tc>
          <w:tcPr>
            <w:tcW w:type="dxa" w:w="2200"/>
            <w:shd w:color="F4F6F9" w:val="clear"/>
            <w:vAlign w:val="top"/>
          </w:tcPr>
          <w:p>
            <w:pPr>
              <w:spacing w:after="80" w:before="80"/>
              <w:ind w:left="100"/>
            </w:pPr>
            <w:r>
              <w:rPr>
                <w:b w:val="false"/>
                <w:bCs w:val="false"/>
                <w:color w:val="0D1B2A"/>
                <w:sz w:val="18"/>
                <w:szCs w:val="18"/>
              </w:rPr>
              <w:t xml:space="preserve">ArcFace Face Verification</w:t>
            </w:r>
          </w:p>
        </w:tc>
        <w:tc>
          <w:tcPr>
            <w:tcW w:type="dxa" w:w="3200"/>
            <w:shd w:color="F4F6F9" w:val="clear"/>
            <w:vAlign w:val="top"/>
          </w:tcPr>
          <w:p>
            <w:pPr>
              <w:spacing w:after="80" w:before="80"/>
              <w:ind w:left="100"/>
            </w:pPr>
            <w:r>
              <w:rPr>
                <w:b w:val="false"/>
                <w:bCs w:val="false"/>
                <w:color w:val="0D1B2A"/>
                <w:sz w:val="18"/>
                <w:szCs w:val="18"/>
              </w:rPr>
              <w:t xml:space="preserve">Identical twins produce near-zero cosine distance and cannot be discriminated by face embedding alone. Heavy makeup, prosthetics, or significant aging (&gt;15 years since document photo) reduce similarity. Partial occlusion (medical mask) degrades performance.</w:t>
            </w:r>
          </w:p>
        </w:tc>
        <w:tc>
          <w:tcPr>
            <w:tcW w:type="dxa" w:w="3600"/>
            <w:shd w:color="F4F6F9" w:val="clear"/>
            <w:vAlign w:val="top"/>
          </w:tcPr>
          <w:p>
            <w:pPr>
              <w:spacing w:after="80" w:before="80"/>
              <w:ind w:left="100"/>
            </w:pPr>
            <w:r>
              <w:rPr>
                <w:b w:val="false"/>
                <w:bCs w:val="false"/>
                <w:color w:val="0D1B2A"/>
                <w:sz w:val="18"/>
                <w:szCs w:val="18"/>
              </w:rPr>
              <w:t xml:space="preserve">UNCERTAIN band prompts secondary verification. Officers are trained that twin disambiguation requires additional document evidence. Liveness detection prevents prosthetic spoofing.</w:t>
            </w:r>
          </w:p>
        </w:tc>
      </w:tr>
      <w:tr>
        <w:trPr>
          <w:tblHeader w:val="false"/>
        </w:trPr>
        <w:tc>
          <w:tcPr>
            <w:tcW w:type="dxa" w:w="2200"/>
            <w:shd/>
            <w:vAlign w:val="top"/>
          </w:tcPr>
          <w:p>
            <w:pPr>
              <w:spacing w:after="80" w:before="80"/>
              <w:ind w:left="100"/>
            </w:pPr>
            <w:r>
              <w:rPr>
                <w:b w:val="false"/>
                <w:bCs w:val="false"/>
                <w:color w:val="0D1B2A"/>
                <w:sz w:val="18"/>
                <w:szCs w:val="18"/>
              </w:rPr>
              <w:t xml:space="preserve">Liveness (Silent-Face)</w:t>
            </w:r>
          </w:p>
        </w:tc>
        <w:tc>
          <w:tcPr>
            <w:tcW w:type="dxa" w:w="3200"/>
            <w:shd/>
            <w:vAlign w:val="top"/>
          </w:tcPr>
          <w:p>
            <w:pPr>
              <w:spacing w:after="80" w:before="80"/>
              <w:ind w:left="100"/>
            </w:pPr>
            <w:r>
              <w:rPr>
                <w:b w:val="false"/>
                <w:bCs w:val="false"/>
                <w:color w:val="0D1B2A"/>
                <w:sz w:val="18"/>
                <w:szCs w:val="18"/>
              </w:rPr>
              <w:t xml:space="preserve">High-quality 3D-printed masks not in training data may defeat the liveness detector. Detection accuracy may degrade in extreme lighting conditions (very bright backlight, near-total darkness).</w:t>
            </w:r>
          </w:p>
        </w:tc>
        <w:tc>
          <w:tcPr>
            <w:tcW w:type="dxa" w:w="3600"/>
            <w:shd/>
            <w:vAlign w:val="top"/>
          </w:tcPr>
          <w:p>
            <w:pPr>
              <w:spacing w:after="80" w:before="80"/>
              <w:ind w:left="100"/>
            </w:pPr>
            <w:r>
              <w:rPr>
                <w:b w:val="false"/>
                <w:bCs w:val="false"/>
                <w:color w:val="0D1B2A"/>
                <w:sz w:val="18"/>
                <w:szCs w:val="18"/>
              </w:rPr>
              <w:t xml:space="preserve">CHALLENGE_REQUIRED prompts for randomised movement; 3D masks cannot respond to arbitrary movement challenges. Camera placement guidelines specify minimum ambient lighting requirements.</w:t>
            </w:r>
          </w:p>
        </w:tc>
      </w:tr>
      <w:tr>
        <w:trPr>
          <w:tblHeader w:val="false"/>
        </w:trPr>
        <w:tc>
          <w:tcPr>
            <w:tcW w:type="dxa" w:w="2200"/>
            <w:shd w:color="F4F6F9" w:val="clear"/>
            <w:vAlign w:val="top"/>
          </w:tcPr>
          <w:p>
            <w:pPr>
              <w:spacing w:after="80" w:before="80"/>
              <w:ind w:left="100"/>
            </w:pPr>
            <w:r>
              <w:rPr>
                <w:b w:val="false"/>
                <w:bCs w:val="false"/>
                <w:color w:val="0D1B2A"/>
                <w:sz w:val="18"/>
                <w:szCs w:val="18"/>
              </w:rPr>
              <w:t xml:space="preserve">Risk Scoring (DS Fusion)</w:t>
            </w:r>
          </w:p>
        </w:tc>
        <w:tc>
          <w:tcPr>
            <w:tcW w:type="dxa" w:w="3200"/>
            <w:shd w:color="F4F6F9" w:val="clear"/>
            <w:vAlign w:val="top"/>
          </w:tcPr>
          <w:p>
            <w:pPr>
              <w:spacing w:after="80" w:before="80"/>
              <w:ind w:left="100"/>
            </w:pPr>
            <w:r>
              <w:rPr>
                <w:b w:val="false"/>
                <w:bCs w:val="false"/>
                <w:color w:val="0D1B2A"/>
                <w:sz w:val="18"/>
                <w:szCs w:val="18"/>
              </w:rPr>
              <w:t xml:space="preserve">Dempster-Shafer fusion can produce counter-intuitive results when evidence is highly conflicting (K factor near 1.0). The fallback to simple mean in this case is less theoretically principled.</w:t>
            </w:r>
          </w:p>
        </w:tc>
        <w:tc>
          <w:tcPr>
            <w:tcW w:type="dxa" w:w="3600"/>
            <w:shd w:color="F4F6F9" w:val="clear"/>
            <w:vAlign w:val="top"/>
          </w:tcPr>
          <w:p>
            <w:pPr>
              <w:spacing w:after="80" w:before="80"/>
              <w:ind w:left="100"/>
            </w:pPr>
            <w:r>
              <w:rPr>
                <w:b w:val="false"/>
                <w:bCs w:val="false"/>
                <w:color w:val="0D1B2A"/>
                <w:sz w:val="18"/>
                <w:szCs w:val="18"/>
              </w:rPr>
              <w:t xml:space="preserve">FUSION_CONFLICT_WARNING is logged and displayed; officer is explicitly informed of reduced confidence in the risk score. Conflicting evidence is itself informative (both strong forgery and authenticity signals → secondary check).</w:t>
            </w:r>
          </w:p>
        </w:tc>
      </w:tr>
    </w:tbl>
    <w:p>
      <w:pPr>
        <w:pStyle w:val="Heading2"/>
        <w:spacing w:after="160" w:before="360"/>
      </w:pPr>
      <w:r>
        <w:t xml:space="preserve">6.4  Data Privacy Constraints</w:t>
      </w:r>
    </w:p>
    <w:p>
      <w:pPr>
        <w:pStyle w:val="ListParagraph"/>
        <w:numPr>
          <w:ilvl w:val="0"/>
          <w:numId w:val="1"/>
        </w:numPr>
        <w:spacing w:after="80"/>
        <w:ind w:left="720" w:hanging="360"/>
      </w:pPr>
      <w:r>
        <w:t xml:space="preserve">Document photographs and face images captured during border screening shall be retained in the audit trail for the retention period (Section NFR-MNT-04) in encrypted form. They shall not be used for any purpose other than audit investigation and system calibration.</w:t>
      </w:r>
    </w:p>
    <w:p>
      <w:pPr>
        <w:pStyle w:val="ListParagraph"/>
        <w:numPr>
          <w:ilvl w:val="0"/>
          <w:numId w:val="1"/>
        </w:numPr>
        <w:spacing w:after="80"/>
        <w:ind w:left="720" w:hanging="360"/>
      </w:pPr>
      <w:r>
        <w:t xml:space="preserve">Face embeddings extracted from live captures shall not be retained after session completion unless added to the watchlist by an authorised administrator with documented justification.</w:t>
      </w:r>
    </w:p>
    <w:p>
      <w:pPr>
        <w:pStyle w:val="ListParagraph"/>
        <w:numPr>
          <w:ilvl w:val="0"/>
          <w:numId w:val="1"/>
        </w:numPr>
        <w:spacing w:after="80"/>
        <w:ind w:left="720" w:hanging="360"/>
      </w:pPr>
      <w:r>
        <w:t xml:space="preserve">Watchlist entries, including hashed identifiers, shall not be disclosed to any external party without written authorisation from SSB Command.</w:t>
      </w:r>
    </w:p>
    <w:p>
      <w:pPr>
        <w:pStyle w:val="ListParagraph"/>
        <w:numPr>
          <w:ilvl w:val="0"/>
          <w:numId w:val="1"/>
        </w:numPr>
        <w:spacing w:after="80"/>
        <w:ind w:left="720" w:hanging="360"/>
      </w:pPr>
      <w:r>
        <w:t xml:space="preserve">The system complies with the Government of India's Personal Data Protection framework and the Information Technology (Amendment) Act 2008 as applicable to government systems handling sensitive personal data.</w:t>
      </w:r>
    </w:p>
    <w:p>
      <w:r>
        <w:br w:type="page"/>
      </w:r>
    </w:p>
    <w:p>
      <w:pPr>
        <w:pStyle w:val="Heading1"/>
        <w:spacing w:after="200" w:before="560"/>
      </w:pPr>
      <w:r>
        <w:t xml:space="preserve">Appendix A — Requirement Traceability Matrix (RTM)</w:t>
      </w:r>
    </w:p>
    <w:p>
      <w:pPr>
        <w:pBdr>
          <w:bottom w:val="single" w:color="2E86AB" w:sz="8"/>
        </w:pBdr>
        <w:spacing w:after="200" w:before="160"/>
      </w:pPr>
    </w:p>
    <w:p>
      <w:pPr>
        <w:spacing w:after="140"/>
      </w:pPr>
      <w:r>
        <w:t xml:space="preserve">This matrix maps each functional requirement to the corresponding implementing component in the Software Design Document (SDD-SSB-DOCSCREEN-v1.0) and the test case document (TCD-SSB-DOCSCREEN-v1.0).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1400"/>
        <w:gridCol w:w="1200"/>
      </w:tblGrid>
      <w:tr>
        <w:trPr>
          <w:tblHeader/>
        </w:trPr>
        <w:tc>
          <w:tcPr>
            <w:tcW w:type="dxa" w:w="1400"/>
            <w:shd w:color="1B2A4A" w:val="clear"/>
            <w:vAlign w:val="top"/>
          </w:tcPr>
          <w:p>
            <w:pPr>
              <w:spacing w:after="80" w:before="80"/>
              <w:ind w:left="100"/>
            </w:pPr>
            <w:r>
              <w:rPr>
                <w:b/>
                <w:bCs/>
                <w:color w:val="FFFFFF"/>
                <w:sz w:val="18"/>
                <w:szCs w:val="18"/>
              </w:rPr>
              <w:t xml:space="preserve">Req. ID</w:t>
            </w:r>
          </w:p>
        </w:tc>
        <w:tc>
          <w:tcPr>
            <w:tcW w:type="dxa" w:w="2400"/>
            <w:shd w:color="1B2A4A" w:val="clear"/>
            <w:vAlign w:val="top"/>
          </w:tcPr>
          <w:p>
            <w:pPr>
              <w:spacing w:after="80" w:before="80"/>
              <w:ind w:left="100"/>
            </w:pPr>
            <w:r>
              <w:rPr>
                <w:b/>
                <w:bCs/>
                <w:color w:val="FFFFFF"/>
                <w:sz w:val="18"/>
                <w:szCs w:val="18"/>
              </w:rPr>
              <w:t xml:space="preserve">Title (Abbreviated)</w:t>
            </w:r>
          </w:p>
        </w:tc>
        <w:tc>
          <w:tcPr>
            <w:tcW w:type="dxa" w:w="2600"/>
            <w:shd w:color="1B2A4A" w:val="clear"/>
            <w:vAlign w:val="top"/>
          </w:tcPr>
          <w:p>
            <w:pPr>
              <w:spacing w:after="80" w:before="80"/>
              <w:ind w:left="100"/>
            </w:pPr>
            <w:r>
              <w:rPr>
                <w:b/>
                <w:bCs/>
                <w:color w:val="FFFFFF"/>
                <w:sz w:val="18"/>
                <w:szCs w:val="18"/>
              </w:rPr>
              <w:t xml:space="preserve">SDD Component</w:t>
            </w:r>
          </w:p>
        </w:tc>
        <w:tc>
          <w:tcPr>
            <w:tcW w:type="dxa" w:w="1400"/>
            <w:shd w:color="1B2A4A" w:val="clear"/>
            <w:vAlign w:val="top"/>
          </w:tcPr>
          <w:p>
            <w:pPr>
              <w:spacing w:after="80" w:before="80"/>
              <w:ind w:left="100"/>
            </w:pPr>
            <w:r>
              <w:rPr>
                <w:b/>
                <w:bCs/>
                <w:color w:val="FFFFFF"/>
                <w:sz w:val="18"/>
                <w:szCs w:val="18"/>
              </w:rPr>
              <w:t xml:space="preserve">Test Suite</w:t>
            </w:r>
          </w:p>
        </w:tc>
        <w:tc>
          <w:tcPr>
            <w:tcW w:type="dxa" w:w="1200"/>
            <w:shd w:color="1B2A4A" w:val="clear"/>
            <w:vAlign w:val="top"/>
          </w:tcPr>
          <w:p>
            <w:pPr>
              <w:spacing w:after="80" w:before="80"/>
              <w:ind w:left="100"/>
            </w:pPr>
            <w:r>
              <w:rPr>
                <w:b/>
                <w:bCs/>
                <w:color w:val="FFFFFF"/>
                <w:sz w:val="18"/>
                <w:szCs w:val="18"/>
              </w:rPr>
              <w:t xml:space="preserve">Priority</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FR-OCR-01</w:t>
            </w:r>
          </w:p>
        </w:tc>
        <w:tc>
          <w:tcPr>
            <w:tcW w:type="dxa" w:w="2400"/>
            <w:shd w:color="F4F6F9" w:val="clear"/>
            <w:vAlign w:val="top"/>
          </w:tcPr>
          <w:p>
            <w:pPr>
              <w:spacing w:after="80" w:before="80"/>
              <w:ind w:left="100"/>
            </w:pPr>
            <w:r>
              <w:rPr>
                <w:b w:val="false"/>
                <w:bCs w:val="false"/>
                <w:color w:val="0D1B2A"/>
                <w:sz w:val="18"/>
                <w:szCs w:val="18"/>
              </w:rPr>
              <w:t xml:space="preserve">Document Type Classification</w:t>
            </w:r>
          </w:p>
        </w:tc>
        <w:tc>
          <w:tcPr>
            <w:tcW w:type="dxa" w:w="2600"/>
            <w:shd w:color="F4F6F9" w:val="clear"/>
            <w:vAlign w:val="top"/>
          </w:tcPr>
          <w:p>
            <w:pPr>
              <w:spacing w:after="80" w:before="80"/>
              <w:ind w:left="100"/>
            </w:pPr>
            <w:r>
              <w:rPr>
                <w:b w:val="false"/>
                <w:bCs w:val="false"/>
                <w:color w:val="0D1B2A"/>
                <w:sz w:val="18"/>
                <w:szCs w:val="18"/>
              </w:rPr>
              <w:t xml:space="preserve">ingestion.classifier (MobileNetV3 ONNX)</w:t>
            </w:r>
          </w:p>
        </w:tc>
        <w:tc>
          <w:tcPr>
            <w:tcW w:type="dxa" w:w="1400"/>
            <w:shd w:color="F4F6F9" w:val="clear"/>
            <w:vAlign w:val="top"/>
          </w:tcPr>
          <w:p>
            <w:pPr>
              <w:spacing w:after="80" w:before="80"/>
              <w:ind w:left="100"/>
            </w:pPr>
            <w:r>
              <w:rPr>
                <w:b w:val="false"/>
                <w:bCs w:val="false"/>
                <w:color w:val="0D1B2A"/>
                <w:sz w:val="18"/>
                <w:szCs w:val="18"/>
              </w:rPr>
              <w:t xml:space="preserve">TC-OCR-01</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FR-OCR-02</w:t>
            </w:r>
          </w:p>
        </w:tc>
        <w:tc>
          <w:tcPr>
            <w:tcW w:type="dxa" w:w="2400"/>
            <w:shd/>
            <w:vAlign w:val="top"/>
          </w:tcPr>
          <w:p>
            <w:pPr>
              <w:spacing w:after="80" w:before="80"/>
              <w:ind w:left="100"/>
            </w:pPr>
            <w:r>
              <w:rPr>
                <w:b w:val="false"/>
                <w:bCs w:val="false"/>
                <w:color w:val="0D1B2A"/>
                <w:sz w:val="18"/>
                <w:szCs w:val="18"/>
              </w:rPr>
              <w:t xml:space="preserve">Passport VIZ Extraction</w:t>
            </w:r>
          </w:p>
        </w:tc>
        <w:tc>
          <w:tcPr>
            <w:tcW w:type="dxa" w:w="2600"/>
            <w:shd/>
            <w:vAlign w:val="top"/>
          </w:tcPr>
          <w:p>
            <w:pPr>
              <w:spacing w:after="80" w:before="80"/>
              <w:ind w:left="100"/>
            </w:pPr>
            <w:r>
              <w:rPr>
                <w:b w:val="false"/>
                <w:bCs w:val="false"/>
                <w:color w:val="0D1B2A"/>
                <w:sz w:val="18"/>
                <w:szCs w:val="18"/>
              </w:rPr>
              <w:t xml:space="preserve">ocr.paddleocr_pipeline</w:t>
            </w:r>
          </w:p>
        </w:tc>
        <w:tc>
          <w:tcPr>
            <w:tcW w:type="dxa" w:w="1400"/>
            <w:shd/>
            <w:vAlign w:val="top"/>
          </w:tcPr>
          <w:p>
            <w:pPr>
              <w:spacing w:after="80" w:before="80"/>
              <w:ind w:left="100"/>
            </w:pPr>
            <w:r>
              <w:rPr>
                <w:b w:val="false"/>
                <w:bCs w:val="false"/>
                <w:color w:val="0D1B2A"/>
                <w:sz w:val="18"/>
                <w:szCs w:val="18"/>
              </w:rPr>
              <w:t xml:space="preserve">TC-OCR-02</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FR-OCR-03</w:t>
            </w:r>
          </w:p>
        </w:tc>
        <w:tc>
          <w:tcPr>
            <w:tcW w:type="dxa" w:w="2400"/>
            <w:shd w:color="F4F6F9" w:val="clear"/>
            <w:vAlign w:val="top"/>
          </w:tcPr>
          <w:p>
            <w:pPr>
              <w:spacing w:after="80" w:before="80"/>
              <w:ind w:left="100"/>
            </w:pPr>
            <w:r>
              <w:rPr>
                <w:b w:val="false"/>
                <w:bCs w:val="false"/>
                <w:color w:val="0D1B2A"/>
                <w:sz w:val="18"/>
                <w:szCs w:val="18"/>
              </w:rPr>
              <w:t xml:space="preserve">Visa Data Extraction</w:t>
            </w:r>
          </w:p>
        </w:tc>
        <w:tc>
          <w:tcPr>
            <w:tcW w:type="dxa" w:w="2600"/>
            <w:shd w:color="F4F6F9" w:val="clear"/>
            <w:vAlign w:val="top"/>
          </w:tcPr>
          <w:p>
            <w:pPr>
              <w:spacing w:after="80" w:before="80"/>
              <w:ind w:left="100"/>
            </w:pPr>
            <w:r>
              <w:rPr>
                <w:b w:val="false"/>
                <w:bCs w:val="false"/>
                <w:color w:val="0D1B2A"/>
                <w:sz w:val="18"/>
                <w:szCs w:val="18"/>
              </w:rPr>
              <w:t xml:space="preserve">ocr.paddleocr_pipeline</w:t>
            </w:r>
          </w:p>
        </w:tc>
        <w:tc>
          <w:tcPr>
            <w:tcW w:type="dxa" w:w="1400"/>
            <w:shd w:color="F4F6F9" w:val="clear"/>
            <w:vAlign w:val="top"/>
          </w:tcPr>
          <w:p>
            <w:pPr>
              <w:spacing w:after="80" w:before="80"/>
              <w:ind w:left="100"/>
            </w:pPr>
            <w:r>
              <w:rPr>
                <w:b w:val="false"/>
                <w:bCs w:val="false"/>
                <w:color w:val="0D1B2A"/>
                <w:sz w:val="18"/>
                <w:szCs w:val="18"/>
              </w:rPr>
              <w:t xml:space="preserve">TC-OCR-03</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FR-OCR-04</w:t>
            </w:r>
          </w:p>
        </w:tc>
        <w:tc>
          <w:tcPr>
            <w:tcW w:type="dxa" w:w="2400"/>
            <w:shd/>
            <w:vAlign w:val="top"/>
          </w:tcPr>
          <w:p>
            <w:pPr>
              <w:spacing w:after="80" w:before="80"/>
              <w:ind w:left="100"/>
            </w:pPr>
            <w:r>
              <w:rPr>
                <w:b w:val="false"/>
                <w:bCs w:val="false"/>
                <w:color w:val="0D1B2A"/>
                <w:sz w:val="18"/>
                <w:szCs w:val="18"/>
              </w:rPr>
              <w:t xml:space="preserve">National ID Extraction</w:t>
            </w:r>
          </w:p>
        </w:tc>
        <w:tc>
          <w:tcPr>
            <w:tcW w:type="dxa" w:w="2600"/>
            <w:shd/>
            <w:vAlign w:val="top"/>
          </w:tcPr>
          <w:p>
            <w:pPr>
              <w:spacing w:after="80" w:before="80"/>
              <w:ind w:left="100"/>
            </w:pPr>
            <w:r>
              <w:rPr>
                <w:b w:val="false"/>
                <w:bCs w:val="false"/>
                <w:color w:val="0D1B2A"/>
                <w:sz w:val="18"/>
                <w:szCs w:val="18"/>
              </w:rPr>
              <w:t xml:space="preserve">ocr.paddleocr_pipeline + verhoeff</w:t>
            </w:r>
          </w:p>
        </w:tc>
        <w:tc>
          <w:tcPr>
            <w:tcW w:type="dxa" w:w="1400"/>
            <w:shd/>
            <w:vAlign w:val="top"/>
          </w:tcPr>
          <w:p>
            <w:pPr>
              <w:spacing w:after="80" w:before="80"/>
              <w:ind w:left="100"/>
            </w:pPr>
            <w:r>
              <w:rPr>
                <w:b w:val="false"/>
                <w:bCs w:val="false"/>
                <w:color w:val="0D1B2A"/>
                <w:sz w:val="18"/>
                <w:szCs w:val="18"/>
              </w:rPr>
              <w:t xml:space="preserve">TC-OCR-04</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FR-OCR-05</w:t>
            </w:r>
          </w:p>
        </w:tc>
        <w:tc>
          <w:tcPr>
            <w:tcW w:type="dxa" w:w="2400"/>
            <w:shd w:color="F4F6F9" w:val="clear"/>
            <w:vAlign w:val="top"/>
          </w:tcPr>
          <w:p>
            <w:pPr>
              <w:spacing w:after="80" w:before="80"/>
              <w:ind w:left="100"/>
            </w:pPr>
            <w:r>
              <w:rPr>
                <w:b w:val="false"/>
                <w:bCs w:val="false"/>
                <w:color w:val="0D1B2A"/>
                <w:sz w:val="18"/>
                <w:szCs w:val="18"/>
              </w:rPr>
              <w:t xml:space="preserve">Driving Licence / Permit Extraction</w:t>
            </w:r>
          </w:p>
        </w:tc>
        <w:tc>
          <w:tcPr>
            <w:tcW w:type="dxa" w:w="2600"/>
            <w:shd w:color="F4F6F9" w:val="clear"/>
            <w:vAlign w:val="top"/>
          </w:tcPr>
          <w:p>
            <w:pPr>
              <w:spacing w:after="80" w:before="80"/>
              <w:ind w:left="100"/>
            </w:pPr>
            <w:r>
              <w:rPr>
                <w:b w:val="false"/>
                <w:bCs w:val="false"/>
                <w:color w:val="0D1B2A"/>
                <w:sz w:val="18"/>
                <w:szCs w:val="18"/>
              </w:rPr>
              <w:t xml:space="preserve">ocr.paddleocr_pipeline (multilang)</w:t>
            </w:r>
          </w:p>
        </w:tc>
        <w:tc>
          <w:tcPr>
            <w:tcW w:type="dxa" w:w="1400"/>
            <w:shd w:color="F4F6F9" w:val="clear"/>
            <w:vAlign w:val="top"/>
          </w:tcPr>
          <w:p>
            <w:pPr>
              <w:spacing w:after="80" w:before="80"/>
              <w:ind w:left="100"/>
            </w:pPr>
            <w:r>
              <w:rPr>
                <w:b w:val="false"/>
                <w:bCs w:val="false"/>
                <w:color w:val="0D1B2A"/>
                <w:sz w:val="18"/>
                <w:szCs w:val="18"/>
              </w:rPr>
              <w:t xml:space="preserve">TC-OCR-05</w:t>
            </w:r>
          </w:p>
        </w:tc>
        <w:tc>
          <w:tcPr>
            <w:tcW w:type="dxa" w:w="1200"/>
            <w:shd w:color="F4F6F9" w:val="clear"/>
            <w:vAlign w:val="top"/>
          </w:tcPr>
          <w:p>
            <w:pPr>
              <w:spacing w:after="80" w:before="80"/>
              <w:ind w:left="100"/>
            </w:pPr>
            <w:r>
              <w:rPr>
                <w:b w:val="false"/>
                <w:bCs w:val="false"/>
                <w:color w:val="0D1B2A"/>
                <w:sz w:val="18"/>
                <w:szCs w:val="18"/>
              </w:rPr>
              <w:t xml:space="preserve">Should Have</w:t>
            </w:r>
          </w:p>
        </w:tc>
      </w:tr>
      <w:tr>
        <w:trPr>
          <w:tblHeader w:val="false"/>
        </w:trPr>
        <w:tc>
          <w:tcPr>
            <w:tcW w:type="dxa" w:w="1400"/>
            <w:shd/>
            <w:vAlign w:val="top"/>
          </w:tcPr>
          <w:p>
            <w:pPr>
              <w:spacing w:after="80" w:before="80"/>
              <w:ind w:left="100"/>
            </w:pPr>
            <w:r>
              <w:rPr>
                <w:b w:val="false"/>
                <w:bCs w:val="false"/>
                <w:color w:val="0D1B2A"/>
                <w:sz w:val="18"/>
                <w:szCs w:val="18"/>
              </w:rPr>
              <w:t xml:space="preserve">FR-OCR-06</w:t>
            </w:r>
          </w:p>
        </w:tc>
        <w:tc>
          <w:tcPr>
            <w:tcW w:type="dxa" w:w="2400"/>
            <w:shd/>
            <w:vAlign w:val="top"/>
          </w:tcPr>
          <w:p>
            <w:pPr>
              <w:spacing w:after="80" w:before="80"/>
              <w:ind w:left="100"/>
            </w:pPr>
            <w:r>
              <w:rPr>
                <w:b w:val="false"/>
                <w:bCs w:val="false"/>
                <w:color w:val="0D1B2A"/>
                <w:sz w:val="18"/>
                <w:szCs w:val="18"/>
              </w:rPr>
              <w:t xml:space="preserve">MRZ Zone Detection</w:t>
            </w:r>
          </w:p>
        </w:tc>
        <w:tc>
          <w:tcPr>
            <w:tcW w:type="dxa" w:w="2600"/>
            <w:shd/>
            <w:vAlign w:val="top"/>
          </w:tcPr>
          <w:p>
            <w:pPr>
              <w:spacing w:after="80" w:before="80"/>
              <w:ind w:left="100"/>
            </w:pPr>
            <w:r>
              <w:rPr>
                <w:b w:val="false"/>
                <w:bCs w:val="false"/>
                <w:color w:val="0D1B2A"/>
                <w:sz w:val="18"/>
                <w:szCs w:val="18"/>
              </w:rPr>
              <w:t xml:space="preserve">ocr.mrz_detector</w:t>
            </w:r>
          </w:p>
        </w:tc>
        <w:tc>
          <w:tcPr>
            <w:tcW w:type="dxa" w:w="1400"/>
            <w:shd/>
            <w:vAlign w:val="top"/>
          </w:tcPr>
          <w:p>
            <w:pPr>
              <w:spacing w:after="80" w:before="80"/>
              <w:ind w:left="100"/>
            </w:pPr>
            <w:r>
              <w:rPr>
                <w:b w:val="false"/>
                <w:bCs w:val="false"/>
                <w:color w:val="0D1B2A"/>
                <w:sz w:val="18"/>
                <w:szCs w:val="18"/>
              </w:rPr>
              <w:t xml:space="preserve">TC-OCR-06</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FR-OCR-07</w:t>
            </w:r>
          </w:p>
        </w:tc>
        <w:tc>
          <w:tcPr>
            <w:tcW w:type="dxa" w:w="2400"/>
            <w:shd w:color="F4F6F9" w:val="clear"/>
            <w:vAlign w:val="top"/>
          </w:tcPr>
          <w:p>
            <w:pPr>
              <w:spacing w:after="80" w:before="80"/>
              <w:ind w:left="100"/>
            </w:pPr>
            <w:r>
              <w:rPr>
                <w:b w:val="false"/>
                <w:bCs w:val="false"/>
                <w:color w:val="0D1B2A"/>
                <w:sz w:val="18"/>
                <w:szCs w:val="18"/>
              </w:rPr>
              <w:t xml:space="preserve">MRZ Parsing TD1/TD2/TD3</w:t>
            </w:r>
          </w:p>
        </w:tc>
        <w:tc>
          <w:tcPr>
            <w:tcW w:type="dxa" w:w="2600"/>
            <w:shd w:color="F4F6F9" w:val="clear"/>
            <w:vAlign w:val="top"/>
          </w:tcPr>
          <w:p>
            <w:pPr>
              <w:spacing w:after="80" w:before="80"/>
              <w:ind w:left="100"/>
            </w:pPr>
            <w:r>
              <w:rPr>
                <w:b w:val="false"/>
                <w:bCs w:val="false"/>
                <w:color w:val="0D1B2A"/>
                <w:sz w:val="18"/>
                <w:szCs w:val="18"/>
              </w:rPr>
              <w:t xml:space="preserve">ocr.mrz_parser</w:t>
            </w:r>
          </w:p>
        </w:tc>
        <w:tc>
          <w:tcPr>
            <w:tcW w:type="dxa" w:w="1400"/>
            <w:shd w:color="F4F6F9" w:val="clear"/>
            <w:vAlign w:val="top"/>
          </w:tcPr>
          <w:p>
            <w:pPr>
              <w:spacing w:after="80" w:before="80"/>
              <w:ind w:left="100"/>
            </w:pPr>
            <w:r>
              <w:rPr>
                <w:b w:val="false"/>
                <w:bCs w:val="false"/>
                <w:color w:val="0D1B2A"/>
                <w:sz w:val="18"/>
                <w:szCs w:val="18"/>
              </w:rPr>
              <w:t xml:space="preserve">TC-OCR-07</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FR-OCR-08</w:t>
            </w:r>
          </w:p>
        </w:tc>
        <w:tc>
          <w:tcPr>
            <w:tcW w:type="dxa" w:w="2400"/>
            <w:shd/>
            <w:vAlign w:val="top"/>
          </w:tcPr>
          <w:p>
            <w:pPr>
              <w:spacing w:after="80" w:before="80"/>
              <w:ind w:left="100"/>
            </w:pPr>
            <w:r>
              <w:rPr>
                <w:b w:val="false"/>
                <w:bCs w:val="false"/>
                <w:color w:val="0D1B2A"/>
                <w:sz w:val="18"/>
                <w:szCs w:val="18"/>
              </w:rPr>
              <w:t xml:space="preserve">MRZ Checksum Validation</w:t>
            </w:r>
          </w:p>
        </w:tc>
        <w:tc>
          <w:tcPr>
            <w:tcW w:type="dxa" w:w="2600"/>
            <w:shd/>
            <w:vAlign w:val="top"/>
          </w:tcPr>
          <w:p>
            <w:pPr>
              <w:spacing w:after="80" w:before="80"/>
              <w:ind w:left="100"/>
            </w:pPr>
            <w:r>
              <w:rPr>
                <w:b w:val="false"/>
                <w:bCs w:val="false"/>
                <w:color w:val="0D1B2A"/>
                <w:sz w:val="18"/>
                <w:szCs w:val="18"/>
              </w:rPr>
              <w:t xml:space="preserve">ocr.mrz_validator (custom)</w:t>
            </w:r>
          </w:p>
        </w:tc>
        <w:tc>
          <w:tcPr>
            <w:tcW w:type="dxa" w:w="1400"/>
            <w:shd/>
            <w:vAlign w:val="top"/>
          </w:tcPr>
          <w:p>
            <w:pPr>
              <w:spacing w:after="80" w:before="80"/>
              <w:ind w:left="100"/>
            </w:pPr>
            <w:r>
              <w:rPr>
                <w:b w:val="false"/>
                <w:bCs w:val="false"/>
                <w:color w:val="0D1B2A"/>
                <w:sz w:val="18"/>
                <w:szCs w:val="18"/>
              </w:rPr>
              <w:t xml:space="preserve">TC-OCR-08</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FR-OCR-09</w:t>
            </w:r>
          </w:p>
        </w:tc>
        <w:tc>
          <w:tcPr>
            <w:tcW w:type="dxa" w:w="2400"/>
            <w:shd w:color="F4F6F9" w:val="clear"/>
            <w:vAlign w:val="top"/>
          </w:tcPr>
          <w:p>
            <w:pPr>
              <w:spacing w:after="80" w:before="80"/>
              <w:ind w:left="100"/>
            </w:pPr>
            <w:r>
              <w:rPr>
                <w:b w:val="false"/>
                <w:bCs w:val="false"/>
                <w:color w:val="0D1B2A"/>
                <w:sz w:val="18"/>
                <w:szCs w:val="18"/>
              </w:rPr>
              <w:t xml:space="preserve">VIZ–MRZ Cross-Validation</w:t>
            </w:r>
          </w:p>
        </w:tc>
        <w:tc>
          <w:tcPr>
            <w:tcW w:type="dxa" w:w="2600"/>
            <w:shd w:color="F4F6F9" w:val="clear"/>
            <w:vAlign w:val="top"/>
          </w:tcPr>
          <w:p>
            <w:pPr>
              <w:spacing w:after="80" w:before="80"/>
              <w:ind w:left="100"/>
            </w:pPr>
            <w:r>
              <w:rPr>
                <w:b w:val="false"/>
                <w:bCs w:val="false"/>
                <w:color w:val="0D1B2A"/>
                <w:sz w:val="18"/>
                <w:szCs w:val="18"/>
              </w:rPr>
              <w:t xml:space="preserve">validation.cross_validator</w:t>
            </w:r>
          </w:p>
        </w:tc>
        <w:tc>
          <w:tcPr>
            <w:tcW w:type="dxa" w:w="1400"/>
            <w:shd w:color="F4F6F9" w:val="clear"/>
            <w:vAlign w:val="top"/>
          </w:tcPr>
          <w:p>
            <w:pPr>
              <w:spacing w:after="80" w:before="80"/>
              <w:ind w:left="100"/>
            </w:pPr>
            <w:r>
              <w:rPr>
                <w:b w:val="false"/>
                <w:bCs w:val="false"/>
                <w:color w:val="0D1B2A"/>
                <w:sz w:val="18"/>
                <w:szCs w:val="18"/>
              </w:rPr>
              <w:t xml:space="preserve">TC-OCR-09</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FR-OCR-10</w:t>
            </w:r>
          </w:p>
        </w:tc>
        <w:tc>
          <w:tcPr>
            <w:tcW w:type="dxa" w:w="2400"/>
            <w:shd/>
            <w:vAlign w:val="top"/>
          </w:tcPr>
          <w:p>
            <w:pPr>
              <w:spacing w:after="80" w:before="80"/>
              <w:ind w:left="100"/>
            </w:pPr>
            <w:r>
              <w:rPr>
                <w:b w:val="false"/>
                <w:bCs w:val="false"/>
                <w:color w:val="0D1B2A"/>
                <w:sz w:val="18"/>
                <w:szCs w:val="18"/>
              </w:rPr>
              <w:t xml:space="preserve">Handwriting Recognition</w:t>
            </w:r>
          </w:p>
        </w:tc>
        <w:tc>
          <w:tcPr>
            <w:tcW w:type="dxa" w:w="2600"/>
            <w:shd/>
            <w:vAlign w:val="top"/>
          </w:tcPr>
          <w:p>
            <w:pPr>
              <w:spacing w:after="80" w:before="80"/>
              <w:ind w:left="100"/>
            </w:pPr>
            <w:r>
              <w:rPr>
                <w:b w:val="false"/>
                <w:bCs w:val="false"/>
                <w:color w:val="0D1B2A"/>
                <w:sz w:val="18"/>
                <w:szCs w:val="18"/>
              </w:rPr>
              <w:t xml:space="preserve">ocr.trocr_pipeline</w:t>
            </w:r>
          </w:p>
        </w:tc>
        <w:tc>
          <w:tcPr>
            <w:tcW w:type="dxa" w:w="1400"/>
            <w:shd/>
            <w:vAlign w:val="top"/>
          </w:tcPr>
          <w:p>
            <w:pPr>
              <w:spacing w:after="80" w:before="80"/>
              <w:ind w:left="100"/>
            </w:pPr>
            <w:r>
              <w:rPr>
                <w:b w:val="false"/>
                <w:bCs w:val="false"/>
                <w:color w:val="0D1B2A"/>
                <w:sz w:val="18"/>
                <w:szCs w:val="18"/>
              </w:rPr>
              <w:t xml:space="preserve">TC-OCR-10</w:t>
            </w:r>
          </w:p>
        </w:tc>
        <w:tc>
          <w:tcPr>
            <w:tcW w:type="dxa" w:w="1200"/>
            <w:shd/>
            <w:vAlign w:val="top"/>
          </w:tcPr>
          <w:p>
            <w:pPr>
              <w:spacing w:after="80" w:before="80"/>
              <w:ind w:left="100"/>
            </w:pPr>
            <w:r>
              <w:rPr>
                <w:b w:val="false"/>
                <w:bCs w:val="false"/>
                <w:color w:val="0D1B2A"/>
                <w:sz w:val="18"/>
                <w:szCs w:val="18"/>
              </w:rPr>
              <w:t xml:space="preserve">Should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FR-VAL-01</w:t>
            </w:r>
          </w:p>
        </w:tc>
        <w:tc>
          <w:tcPr>
            <w:tcW w:type="dxa" w:w="2400"/>
            <w:shd w:color="F4F6F9" w:val="clear"/>
            <w:vAlign w:val="top"/>
          </w:tcPr>
          <w:p>
            <w:pPr>
              <w:spacing w:after="80" w:before="80"/>
              <w:ind w:left="100"/>
            </w:pPr>
            <w:r>
              <w:rPr>
                <w:b w:val="false"/>
                <w:bCs w:val="false"/>
                <w:color w:val="0D1B2A"/>
                <w:sz w:val="18"/>
                <w:szCs w:val="18"/>
              </w:rPr>
              <w:t xml:space="preserve">Field Format Validation</w:t>
            </w:r>
          </w:p>
        </w:tc>
        <w:tc>
          <w:tcPr>
            <w:tcW w:type="dxa" w:w="2600"/>
            <w:shd w:color="F4F6F9" w:val="clear"/>
            <w:vAlign w:val="top"/>
          </w:tcPr>
          <w:p>
            <w:pPr>
              <w:spacing w:after="80" w:before="80"/>
              <w:ind w:left="100"/>
            </w:pPr>
            <w:r>
              <w:rPr>
                <w:b w:val="false"/>
                <w:bCs w:val="false"/>
                <w:color w:val="0D1B2A"/>
                <w:sz w:val="18"/>
                <w:szCs w:val="18"/>
              </w:rPr>
              <w:t xml:space="preserve">validation.rule_engine</w:t>
            </w:r>
          </w:p>
        </w:tc>
        <w:tc>
          <w:tcPr>
            <w:tcW w:type="dxa" w:w="1400"/>
            <w:shd w:color="F4F6F9" w:val="clear"/>
            <w:vAlign w:val="top"/>
          </w:tcPr>
          <w:p>
            <w:pPr>
              <w:spacing w:after="80" w:before="80"/>
              <w:ind w:left="100"/>
            </w:pPr>
            <w:r>
              <w:rPr>
                <w:b w:val="false"/>
                <w:bCs w:val="false"/>
                <w:color w:val="0D1B2A"/>
                <w:sz w:val="18"/>
                <w:szCs w:val="18"/>
              </w:rPr>
              <w:t xml:space="preserve">TC-VAL-01</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FR-VAL-02</w:t>
            </w:r>
          </w:p>
        </w:tc>
        <w:tc>
          <w:tcPr>
            <w:tcW w:type="dxa" w:w="2400"/>
            <w:shd/>
            <w:vAlign w:val="top"/>
          </w:tcPr>
          <w:p>
            <w:pPr>
              <w:spacing w:after="80" w:before="80"/>
              <w:ind w:left="100"/>
            </w:pPr>
            <w:r>
              <w:rPr>
                <w:b w:val="false"/>
                <w:bCs w:val="false"/>
                <w:color w:val="0D1B2A"/>
                <w:sz w:val="18"/>
                <w:szCs w:val="18"/>
              </w:rPr>
              <w:t xml:space="preserve">Expiry Status Check</w:t>
            </w:r>
          </w:p>
        </w:tc>
        <w:tc>
          <w:tcPr>
            <w:tcW w:type="dxa" w:w="2600"/>
            <w:shd/>
            <w:vAlign w:val="top"/>
          </w:tcPr>
          <w:p>
            <w:pPr>
              <w:spacing w:after="80" w:before="80"/>
              <w:ind w:left="100"/>
            </w:pPr>
            <w:r>
              <w:rPr>
                <w:b w:val="false"/>
                <w:bCs w:val="false"/>
                <w:color w:val="0D1B2A"/>
                <w:sz w:val="18"/>
                <w:szCs w:val="18"/>
              </w:rPr>
              <w:t xml:space="preserve">validation.expiry_checker</w:t>
            </w:r>
          </w:p>
        </w:tc>
        <w:tc>
          <w:tcPr>
            <w:tcW w:type="dxa" w:w="1400"/>
            <w:shd/>
            <w:vAlign w:val="top"/>
          </w:tcPr>
          <w:p>
            <w:pPr>
              <w:spacing w:after="80" w:before="80"/>
              <w:ind w:left="100"/>
            </w:pPr>
            <w:r>
              <w:rPr>
                <w:b w:val="false"/>
                <w:bCs w:val="false"/>
                <w:color w:val="0D1B2A"/>
                <w:sz w:val="18"/>
                <w:szCs w:val="18"/>
              </w:rPr>
              <w:t xml:space="preserve">TC-VAL-02</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FR-VAL-03</w:t>
            </w:r>
          </w:p>
        </w:tc>
        <w:tc>
          <w:tcPr>
            <w:tcW w:type="dxa" w:w="2400"/>
            <w:shd w:color="F4F6F9" w:val="clear"/>
            <w:vAlign w:val="top"/>
          </w:tcPr>
          <w:p>
            <w:pPr>
              <w:spacing w:after="80" w:before="80"/>
              <w:ind w:left="100"/>
            </w:pPr>
            <w:r>
              <w:rPr>
                <w:b w:val="false"/>
                <w:bCs w:val="false"/>
                <w:color w:val="0D1B2A"/>
                <w:sz w:val="18"/>
                <w:szCs w:val="18"/>
              </w:rPr>
              <w:t xml:space="preserve">Nationality Code Validation</w:t>
            </w:r>
          </w:p>
        </w:tc>
        <w:tc>
          <w:tcPr>
            <w:tcW w:type="dxa" w:w="2600"/>
            <w:shd w:color="F4F6F9" w:val="clear"/>
            <w:vAlign w:val="top"/>
          </w:tcPr>
          <w:p>
            <w:pPr>
              <w:spacing w:after="80" w:before="80"/>
              <w:ind w:left="100"/>
            </w:pPr>
            <w:r>
              <w:rPr>
                <w:b w:val="false"/>
                <w:bCs w:val="false"/>
                <w:color w:val="0D1B2A"/>
                <w:sz w:val="18"/>
                <w:szCs w:val="18"/>
              </w:rPr>
              <w:t xml:space="preserve">validation.iso_lookup</w:t>
            </w:r>
          </w:p>
        </w:tc>
        <w:tc>
          <w:tcPr>
            <w:tcW w:type="dxa" w:w="1400"/>
            <w:shd w:color="F4F6F9" w:val="clear"/>
            <w:vAlign w:val="top"/>
          </w:tcPr>
          <w:p>
            <w:pPr>
              <w:spacing w:after="80" w:before="80"/>
              <w:ind w:left="100"/>
            </w:pPr>
            <w:r>
              <w:rPr>
                <w:b w:val="false"/>
                <w:bCs w:val="false"/>
                <w:color w:val="0D1B2A"/>
                <w:sz w:val="18"/>
                <w:szCs w:val="18"/>
              </w:rPr>
              <w:t xml:space="preserve">TC-VAL-03</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FR-VAL-04</w:t>
            </w:r>
          </w:p>
        </w:tc>
        <w:tc>
          <w:tcPr>
            <w:tcW w:type="dxa" w:w="2400"/>
            <w:shd/>
            <w:vAlign w:val="top"/>
          </w:tcPr>
          <w:p>
            <w:pPr>
              <w:spacing w:after="80" w:before="80"/>
              <w:ind w:left="100"/>
            </w:pPr>
            <w:r>
              <w:rPr>
                <w:b w:val="false"/>
                <w:bCs w:val="false"/>
                <w:color w:val="0D1B2A"/>
                <w:sz w:val="18"/>
                <w:szCs w:val="18"/>
              </w:rPr>
              <w:t xml:space="preserve">Inter-Field Coherence</w:t>
            </w:r>
          </w:p>
        </w:tc>
        <w:tc>
          <w:tcPr>
            <w:tcW w:type="dxa" w:w="2600"/>
            <w:shd/>
            <w:vAlign w:val="top"/>
          </w:tcPr>
          <w:p>
            <w:pPr>
              <w:spacing w:after="80" w:before="80"/>
              <w:ind w:left="100"/>
            </w:pPr>
            <w:r>
              <w:rPr>
                <w:b w:val="false"/>
                <w:bCs w:val="false"/>
                <w:color w:val="0D1B2A"/>
                <w:sz w:val="18"/>
                <w:szCs w:val="18"/>
              </w:rPr>
              <w:t xml:space="preserve">validation.coherence_checker</w:t>
            </w:r>
          </w:p>
        </w:tc>
        <w:tc>
          <w:tcPr>
            <w:tcW w:type="dxa" w:w="1400"/>
            <w:shd/>
            <w:vAlign w:val="top"/>
          </w:tcPr>
          <w:p>
            <w:pPr>
              <w:spacing w:after="80" w:before="80"/>
              <w:ind w:left="100"/>
            </w:pPr>
            <w:r>
              <w:rPr>
                <w:b w:val="false"/>
                <w:bCs w:val="false"/>
                <w:color w:val="0D1B2A"/>
                <w:sz w:val="18"/>
                <w:szCs w:val="18"/>
              </w:rPr>
              <w:t xml:space="preserve">TC-VAL-04</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FR-VAL-05</w:t>
            </w:r>
          </w:p>
        </w:tc>
        <w:tc>
          <w:tcPr>
            <w:tcW w:type="dxa" w:w="2400"/>
            <w:shd w:color="F4F6F9" w:val="clear"/>
            <w:vAlign w:val="top"/>
          </w:tcPr>
          <w:p>
            <w:pPr>
              <w:spacing w:after="80" w:before="80"/>
              <w:ind w:left="100"/>
            </w:pPr>
            <w:r>
              <w:rPr>
                <w:b w:val="false"/>
                <w:bCs w:val="false"/>
                <w:color w:val="0D1B2A"/>
                <w:sz w:val="18"/>
                <w:szCs w:val="18"/>
              </w:rPr>
              <w:t xml:space="preserve">Blacklist/Watchlist Lookup</w:t>
            </w:r>
          </w:p>
        </w:tc>
        <w:tc>
          <w:tcPr>
            <w:tcW w:type="dxa" w:w="2600"/>
            <w:shd w:color="F4F6F9" w:val="clear"/>
            <w:vAlign w:val="top"/>
          </w:tcPr>
          <w:p>
            <w:pPr>
              <w:spacing w:after="80" w:before="80"/>
              <w:ind w:left="100"/>
            </w:pPr>
            <w:r>
              <w:rPr>
                <w:b w:val="false"/>
                <w:bCs w:val="false"/>
                <w:color w:val="0D1B2A"/>
                <w:sz w:val="18"/>
                <w:szCs w:val="18"/>
              </w:rPr>
              <w:t xml:space="preserve">watchlist.lookup_service (Redis+FAISS)</w:t>
            </w:r>
          </w:p>
        </w:tc>
        <w:tc>
          <w:tcPr>
            <w:tcW w:type="dxa" w:w="1400"/>
            <w:shd w:color="F4F6F9" w:val="clear"/>
            <w:vAlign w:val="top"/>
          </w:tcPr>
          <w:p>
            <w:pPr>
              <w:spacing w:after="80" w:before="80"/>
              <w:ind w:left="100"/>
            </w:pPr>
            <w:r>
              <w:rPr>
                <w:b w:val="false"/>
                <w:bCs w:val="false"/>
                <w:color w:val="0D1B2A"/>
                <w:sz w:val="18"/>
                <w:szCs w:val="18"/>
              </w:rPr>
              <w:t xml:space="preserve">TC-VAL-05</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FR-VAL-06</w:t>
            </w:r>
          </w:p>
        </w:tc>
        <w:tc>
          <w:tcPr>
            <w:tcW w:type="dxa" w:w="2400"/>
            <w:shd/>
            <w:vAlign w:val="top"/>
          </w:tcPr>
          <w:p>
            <w:pPr>
              <w:spacing w:after="80" w:before="80"/>
              <w:ind w:left="100"/>
            </w:pPr>
            <w:r>
              <w:rPr>
                <w:b w:val="false"/>
                <w:bCs w:val="false"/>
                <w:color w:val="0D1B2A"/>
                <w:sz w:val="18"/>
                <w:szCs w:val="18"/>
              </w:rPr>
              <w:t xml:space="preserve">Validation DS Mass Output</w:t>
            </w:r>
          </w:p>
        </w:tc>
        <w:tc>
          <w:tcPr>
            <w:tcW w:type="dxa" w:w="2600"/>
            <w:shd/>
            <w:vAlign w:val="top"/>
          </w:tcPr>
          <w:p>
            <w:pPr>
              <w:spacing w:after="80" w:before="80"/>
              <w:ind w:left="100"/>
            </w:pPr>
            <w:r>
              <w:rPr>
                <w:b w:val="false"/>
                <w:bCs w:val="false"/>
                <w:color w:val="0D1B2A"/>
                <w:sz w:val="18"/>
                <w:szCs w:val="18"/>
              </w:rPr>
              <w:t xml:space="preserve">risk.ds_builder.validation</w:t>
            </w:r>
          </w:p>
        </w:tc>
        <w:tc>
          <w:tcPr>
            <w:tcW w:type="dxa" w:w="1400"/>
            <w:shd/>
            <w:vAlign w:val="top"/>
          </w:tcPr>
          <w:p>
            <w:pPr>
              <w:spacing w:after="80" w:before="80"/>
              <w:ind w:left="100"/>
            </w:pPr>
            <w:r>
              <w:rPr>
                <w:b w:val="false"/>
                <w:bCs w:val="false"/>
                <w:color w:val="0D1B2A"/>
                <w:sz w:val="18"/>
                <w:szCs w:val="18"/>
              </w:rPr>
              <w:t xml:space="preserve">TC-VAL-06</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FR-TAM-01</w:t>
            </w:r>
          </w:p>
        </w:tc>
        <w:tc>
          <w:tcPr>
            <w:tcW w:type="dxa" w:w="2400"/>
            <w:shd w:color="F4F6F9" w:val="clear"/>
            <w:vAlign w:val="top"/>
          </w:tcPr>
          <w:p>
            <w:pPr>
              <w:spacing w:after="80" w:before="80"/>
              <w:ind w:left="100"/>
            </w:pPr>
            <w:r>
              <w:rPr>
                <w:b w:val="false"/>
                <w:bCs w:val="false"/>
                <w:color w:val="0D1B2A"/>
                <w:sz w:val="18"/>
                <w:szCs w:val="18"/>
              </w:rPr>
              <w:t xml:space="preserve">ELA Tampering Detection</w:t>
            </w:r>
          </w:p>
        </w:tc>
        <w:tc>
          <w:tcPr>
            <w:tcW w:type="dxa" w:w="2600"/>
            <w:shd w:color="F4F6F9" w:val="clear"/>
            <w:vAlign w:val="top"/>
          </w:tcPr>
          <w:p>
            <w:pPr>
              <w:spacing w:after="80" w:before="80"/>
              <w:ind w:left="100"/>
            </w:pPr>
            <w:r>
              <w:rPr>
                <w:b w:val="false"/>
                <w:bCs w:val="false"/>
                <w:color w:val="0D1B2A"/>
                <w:sz w:val="18"/>
                <w:szCs w:val="18"/>
              </w:rPr>
              <w:t xml:space="preserve">tampering.ela_detector</w:t>
            </w:r>
          </w:p>
        </w:tc>
        <w:tc>
          <w:tcPr>
            <w:tcW w:type="dxa" w:w="1400"/>
            <w:shd w:color="F4F6F9" w:val="clear"/>
            <w:vAlign w:val="top"/>
          </w:tcPr>
          <w:p>
            <w:pPr>
              <w:spacing w:after="80" w:before="80"/>
              <w:ind w:left="100"/>
            </w:pPr>
            <w:r>
              <w:rPr>
                <w:b w:val="false"/>
                <w:bCs w:val="false"/>
                <w:color w:val="0D1B2A"/>
                <w:sz w:val="18"/>
                <w:szCs w:val="18"/>
              </w:rPr>
              <w:t xml:space="preserve">TC-TAM-01</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FR-TAM-02</w:t>
            </w:r>
          </w:p>
        </w:tc>
        <w:tc>
          <w:tcPr>
            <w:tcW w:type="dxa" w:w="2400"/>
            <w:shd/>
            <w:vAlign w:val="top"/>
          </w:tcPr>
          <w:p>
            <w:pPr>
              <w:spacing w:after="80" w:before="80"/>
              <w:ind w:left="100"/>
            </w:pPr>
            <w:r>
              <w:rPr>
                <w:b w:val="false"/>
                <w:bCs w:val="false"/>
                <w:color w:val="0D1B2A"/>
                <w:sz w:val="18"/>
                <w:szCs w:val="18"/>
              </w:rPr>
              <w:t xml:space="preserve">Copy-Move Detection (DCT)</w:t>
            </w:r>
          </w:p>
        </w:tc>
        <w:tc>
          <w:tcPr>
            <w:tcW w:type="dxa" w:w="2600"/>
            <w:shd/>
            <w:vAlign w:val="top"/>
          </w:tcPr>
          <w:p>
            <w:pPr>
              <w:spacing w:after="80" w:before="80"/>
              <w:ind w:left="100"/>
            </w:pPr>
            <w:r>
              <w:rPr>
                <w:b w:val="false"/>
                <w:bCs w:val="false"/>
                <w:color w:val="0D1B2A"/>
                <w:sz w:val="18"/>
                <w:szCs w:val="18"/>
              </w:rPr>
              <w:t xml:space="preserve">tampering.copy_move_detector</w:t>
            </w:r>
          </w:p>
        </w:tc>
        <w:tc>
          <w:tcPr>
            <w:tcW w:type="dxa" w:w="1400"/>
            <w:shd/>
            <w:vAlign w:val="top"/>
          </w:tcPr>
          <w:p>
            <w:pPr>
              <w:spacing w:after="80" w:before="80"/>
              <w:ind w:left="100"/>
            </w:pPr>
            <w:r>
              <w:rPr>
                <w:b w:val="false"/>
                <w:bCs w:val="false"/>
                <w:color w:val="0D1B2A"/>
                <w:sz w:val="18"/>
                <w:szCs w:val="18"/>
              </w:rPr>
              <w:t xml:space="preserve">TC-TAM-02</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FR-TAM-03</w:t>
            </w:r>
          </w:p>
        </w:tc>
        <w:tc>
          <w:tcPr>
            <w:tcW w:type="dxa" w:w="2400"/>
            <w:shd w:color="F4F6F9" w:val="clear"/>
            <w:vAlign w:val="top"/>
          </w:tcPr>
          <w:p>
            <w:pPr>
              <w:spacing w:after="80" w:before="80"/>
              <w:ind w:left="100"/>
            </w:pPr>
            <w:r>
              <w:rPr>
                <w:b w:val="false"/>
                <w:bCs w:val="false"/>
                <w:color w:val="0D1B2A"/>
                <w:sz w:val="18"/>
                <w:szCs w:val="18"/>
              </w:rPr>
              <w:t xml:space="preserve">MVSS-Net Deep Forgery</w:t>
            </w:r>
          </w:p>
        </w:tc>
        <w:tc>
          <w:tcPr>
            <w:tcW w:type="dxa" w:w="2600"/>
            <w:shd w:color="F4F6F9" w:val="clear"/>
            <w:vAlign w:val="top"/>
          </w:tcPr>
          <w:p>
            <w:pPr>
              <w:spacing w:after="80" w:before="80"/>
              <w:ind w:left="100"/>
            </w:pPr>
            <w:r>
              <w:rPr>
                <w:b w:val="false"/>
                <w:bCs w:val="false"/>
                <w:color w:val="0D1B2A"/>
                <w:sz w:val="18"/>
                <w:szCs w:val="18"/>
              </w:rPr>
              <w:t xml:space="preserve">tampering.mvss_net_inference</w:t>
            </w:r>
          </w:p>
        </w:tc>
        <w:tc>
          <w:tcPr>
            <w:tcW w:type="dxa" w:w="1400"/>
            <w:shd w:color="F4F6F9" w:val="clear"/>
            <w:vAlign w:val="top"/>
          </w:tcPr>
          <w:p>
            <w:pPr>
              <w:spacing w:after="80" w:before="80"/>
              <w:ind w:left="100"/>
            </w:pPr>
            <w:r>
              <w:rPr>
                <w:b w:val="false"/>
                <w:bCs w:val="false"/>
                <w:color w:val="0D1B2A"/>
                <w:sz w:val="18"/>
                <w:szCs w:val="18"/>
              </w:rPr>
              <w:t xml:space="preserve">TC-TAM-03</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FR-TAM-04</w:t>
            </w:r>
          </w:p>
        </w:tc>
        <w:tc>
          <w:tcPr>
            <w:tcW w:type="dxa" w:w="2400"/>
            <w:shd/>
            <w:vAlign w:val="top"/>
          </w:tcPr>
          <w:p>
            <w:pPr>
              <w:spacing w:after="80" w:before="80"/>
              <w:ind w:left="100"/>
            </w:pPr>
            <w:r>
              <w:rPr>
                <w:b w:val="false"/>
                <w:bCs w:val="false"/>
                <w:color w:val="0D1B2A"/>
                <w:sz w:val="18"/>
                <w:szCs w:val="18"/>
              </w:rPr>
              <w:t xml:space="preserve">EXIF Metadata Forensics</w:t>
            </w:r>
          </w:p>
        </w:tc>
        <w:tc>
          <w:tcPr>
            <w:tcW w:type="dxa" w:w="2600"/>
            <w:shd/>
            <w:vAlign w:val="top"/>
          </w:tcPr>
          <w:p>
            <w:pPr>
              <w:spacing w:after="80" w:before="80"/>
              <w:ind w:left="100"/>
            </w:pPr>
            <w:r>
              <w:rPr>
                <w:b w:val="false"/>
                <w:bCs w:val="false"/>
                <w:color w:val="0D1B2A"/>
                <w:sz w:val="18"/>
                <w:szCs w:val="18"/>
              </w:rPr>
              <w:t xml:space="preserve">tampering.metadata_forensics</w:t>
            </w:r>
          </w:p>
        </w:tc>
        <w:tc>
          <w:tcPr>
            <w:tcW w:type="dxa" w:w="1400"/>
            <w:shd/>
            <w:vAlign w:val="top"/>
          </w:tcPr>
          <w:p>
            <w:pPr>
              <w:spacing w:after="80" w:before="80"/>
              <w:ind w:left="100"/>
            </w:pPr>
            <w:r>
              <w:rPr>
                <w:b w:val="false"/>
                <w:bCs w:val="false"/>
                <w:color w:val="0D1B2A"/>
                <w:sz w:val="18"/>
                <w:szCs w:val="18"/>
              </w:rPr>
              <w:t xml:space="preserve">TC-TAM-04</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FR-TAM-05</w:t>
            </w:r>
          </w:p>
        </w:tc>
        <w:tc>
          <w:tcPr>
            <w:tcW w:type="dxa" w:w="2400"/>
            <w:shd w:color="F4F6F9" w:val="clear"/>
            <w:vAlign w:val="top"/>
          </w:tcPr>
          <w:p>
            <w:pPr>
              <w:spacing w:after="80" w:before="80"/>
              <w:ind w:left="100"/>
            </w:pPr>
            <w:r>
              <w:rPr>
                <w:b w:val="false"/>
                <w:bCs w:val="false"/>
                <w:color w:val="0D1B2A"/>
                <w:sz w:val="18"/>
                <w:szCs w:val="18"/>
              </w:rPr>
              <w:t xml:space="preserve">Illumination Consistency</w:t>
            </w:r>
          </w:p>
        </w:tc>
        <w:tc>
          <w:tcPr>
            <w:tcW w:type="dxa" w:w="2600"/>
            <w:shd w:color="F4F6F9" w:val="clear"/>
            <w:vAlign w:val="top"/>
          </w:tcPr>
          <w:p>
            <w:pPr>
              <w:spacing w:after="80" w:before="80"/>
              <w:ind w:left="100"/>
            </w:pPr>
            <w:r>
              <w:rPr>
                <w:b w:val="false"/>
                <w:bCs w:val="false"/>
                <w:color w:val="0D1B2A"/>
                <w:sz w:val="18"/>
                <w:szCs w:val="18"/>
              </w:rPr>
              <w:t xml:space="preserve">tampering.illumination_analyser</w:t>
            </w:r>
          </w:p>
        </w:tc>
        <w:tc>
          <w:tcPr>
            <w:tcW w:type="dxa" w:w="1400"/>
            <w:shd w:color="F4F6F9" w:val="clear"/>
            <w:vAlign w:val="top"/>
          </w:tcPr>
          <w:p>
            <w:pPr>
              <w:spacing w:after="80" w:before="80"/>
              <w:ind w:left="100"/>
            </w:pPr>
            <w:r>
              <w:rPr>
                <w:b w:val="false"/>
                <w:bCs w:val="false"/>
                <w:color w:val="0D1B2A"/>
                <w:sz w:val="18"/>
                <w:szCs w:val="18"/>
              </w:rPr>
              <w:t xml:space="preserve">TC-TAM-05</w:t>
            </w:r>
          </w:p>
        </w:tc>
        <w:tc>
          <w:tcPr>
            <w:tcW w:type="dxa" w:w="1200"/>
            <w:shd w:color="F4F6F9" w:val="clear"/>
            <w:vAlign w:val="top"/>
          </w:tcPr>
          <w:p>
            <w:pPr>
              <w:spacing w:after="80" w:before="80"/>
              <w:ind w:left="100"/>
            </w:pPr>
            <w:r>
              <w:rPr>
                <w:b w:val="false"/>
                <w:bCs w:val="false"/>
                <w:color w:val="0D1B2A"/>
                <w:sz w:val="18"/>
                <w:szCs w:val="18"/>
              </w:rPr>
              <w:t xml:space="preserve">Should Have</w:t>
            </w:r>
          </w:p>
        </w:tc>
      </w:tr>
      <w:tr>
        <w:trPr>
          <w:tblHeader w:val="false"/>
        </w:trPr>
        <w:tc>
          <w:tcPr>
            <w:tcW w:type="dxa" w:w="1400"/>
            <w:shd/>
            <w:vAlign w:val="top"/>
          </w:tcPr>
          <w:p>
            <w:pPr>
              <w:spacing w:after="80" w:before="80"/>
              <w:ind w:left="100"/>
            </w:pPr>
            <w:r>
              <w:rPr>
                <w:b w:val="false"/>
                <w:bCs w:val="false"/>
                <w:color w:val="0D1B2A"/>
                <w:sz w:val="18"/>
                <w:szCs w:val="18"/>
              </w:rPr>
              <w:t xml:space="preserve">FR-TAM-06</w:t>
            </w:r>
          </w:p>
        </w:tc>
        <w:tc>
          <w:tcPr>
            <w:tcW w:type="dxa" w:w="2400"/>
            <w:shd/>
            <w:vAlign w:val="top"/>
          </w:tcPr>
          <w:p>
            <w:pPr>
              <w:spacing w:after="80" w:before="80"/>
              <w:ind w:left="100"/>
            </w:pPr>
            <w:r>
              <w:rPr>
                <w:b w:val="false"/>
                <w:bCs w:val="false"/>
                <w:color w:val="0D1B2A"/>
                <w:sz w:val="18"/>
                <w:szCs w:val="18"/>
              </w:rPr>
              <w:t xml:space="preserve">Composite DS Fusion (Tampering)</w:t>
            </w:r>
          </w:p>
        </w:tc>
        <w:tc>
          <w:tcPr>
            <w:tcW w:type="dxa" w:w="2600"/>
            <w:shd/>
            <w:vAlign w:val="top"/>
          </w:tcPr>
          <w:p>
            <w:pPr>
              <w:spacing w:after="80" w:before="80"/>
              <w:ind w:left="100"/>
            </w:pPr>
            <w:r>
              <w:rPr>
                <w:b w:val="false"/>
                <w:bCs w:val="false"/>
                <w:color w:val="0D1B2A"/>
                <w:sz w:val="18"/>
                <w:szCs w:val="18"/>
              </w:rPr>
              <w:t xml:space="preserve">risk.ds_fusion.tampering</w:t>
            </w:r>
          </w:p>
        </w:tc>
        <w:tc>
          <w:tcPr>
            <w:tcW w:type="dxa" w:w="1400"/>
            <w:shd/>
            <w:vAlign w:val="top"/>
          </w:tcPr>
          <w:p>
            <w:pPr>
              <w:spacing w:after="80" w:before="80"/>
              <w:ind w:left="100"/>
            </w:pPr>
            <w:r>
              <w:rPr>
                <w:b w:val="false"/>
                <w:bCs w:val="false"/>
                <w:color w:val="0D1B2A"/>
                <w:sz w:val="18"/>
                <w:szCs w:val="18"/>
              </w:rPr>
              <w:t xml:space="preserve">TC-TAM-06</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FR-TAM-07</w:t>
            </w:r>
          </w:p>
        </w:tc>
        <w:tc>
          <w:tcPr>
            <w:tcW w:type="dxa" w:w="2400"/>
            <w:shd w:color="F4F6F9" w:val="clear"/>
            <w:vAlign w:val="top"/>
          </w:tcPr>
          <w:p>
            <w:pPr>
              <w:spacing w:after="80" w:before="80"/>
              <w:ind w:left="100"/>
            </w:pPr>
            <w:r>
              <w:rPr>
                <w:b w:val="false"/>
                <w:bCs w:val="false"/>
                <w:color w:val="0D1B2A"/>
                <w:sz w:val="18"/>
                <w:szCs w:val="18"/>
              </w:rPr>
              <w:t xml:space="preserve">PNG / Lossless Handling</w:t>
            </w:r>
          </w:p>
        </w:tc>
        <w:tc>
          <w:tcPr>
            <w:tcW w:type="dxa" w:w="2600"/>
            <w:shd w:color="F4F6F9" w:val="clear"/>
            <w:vAlign w:val="top"/>
          </w:tcPr>
          <w:p>
            <w:pPr>
              <w:spacing w:after="80" w:before="80"/>
              <w:ind w:left="100"/>
            </w:pPr>
            <w:r>
              <w:rPr>
                <w:b w:val="false"/>
                <w:bCs w:val="false"/>
                <w:color w:val="0D1B2A"/>
                <w:sz w:val="18"/>
                <w:szCs w:val="18"/>
              </w:rPr>
              <w:t xml:space="preserve">tampering.format_router</w:t>
            </w:r>
          </w:p>
        </w:tc>
        <w:tc>
          <w:tcPr>
            <w:tcW w:type="dxa" w:w="1400"/>
            <w:shd w:color="F4F6F9" w:val="clear"/>
            <w:vAlign w:val="top"/>
          </w:tcPr>
          <w:p>
            <w:pPr>
              <w:spacing w:after="80" w:before="80"/>
              <w:ind w:left="100"/>
            </w:pPr>
            <w:r>
              <w:rPr>
                <w:b w:val="false"/>
                <w:bCs w:val="false"/>
                <w:color w:val="0D1B2A"/>
                <w:sz w:val="18"/>
                <w:szCs w:val="18"/>
              </w:rPr>
              <w:t xml:space="preserve">TC-TAM-07</w:t>
            </w:r>
          </w:p>
        </w:tc>
        <w:tc>
          <w:tcPr>
            <w:tcW w:type="dxa" w:w="1200"/>
            <w:shd w:color="F4F6F9" w:val="clear"/>
            <w:vAlign w:val="top"/>
          </w:tcPr>
          <w:p>
            <w:pPr>
              <w:spacing w:after="80" w:before="80"/>
              <w:ind w:left="100"/>
            </w:pPr>
            <w:r>
              <w:rPr>
                <w:b w:val="false"/>
                <w:bCs w:val="false"/>
                <w:color w:val="0D1B2A"/>
                <w:sz w:val="18"/>
                <w:szCs w:val="18"/>
              </w:rPr>
              <w:t xml:space="preserve">Should Have</w:t>
            </w:r>
          </w:p>
        </w:tc>
      </w:tr>
      <w:tr>
        <w:trPr>
          <w:tblHeader w:val="false"/>
        </w:trPr>
        <w:tc>
          <w:tcPr>
            <w:tcW w:type="dxa" w:w="1400"/>
            <w:shd/>
            <w:vAlign w:val="top"/>
          </w:tcPr>
          <w:p>
            <w:pPr>
              <w:spacing w:after="80" w:before="80"/>
              <w:ind w:left="100"/>
            </w:pPr>
            <w:r>
              <w:rPr>
                <w:b w:val="false"/>
                <w:bCs w:val="false"/>
                <w:color w:val="0D1B2A"/>
                <w:sz w:val="18"/>
                <w:szCs w:val="18"/>
              </w:rPr>
              <w:t xml:space="preserve">FR-FAC-01</w:t>
            </w:r>
          </w:p>
        </w:tc>
        <w:tc>
          <w:tcPr>
            <w:tcW w:type="dxa" w:w="2400"/>
            <w:shd/>
            <w:vAlign w:val="top"/>
          </w:tcPr>
          <w:p>
            <w:pPr>
              <w:spacing w:after="80" w:before="80"/>
              <w:ind w:left="100"/>
            </w:pPr>
            <w:r>
              <w:rPr>
                <w:b w:val="false"/>
                <w:bCs w:val="false"/>
                <w:color w:val="0D1B2A"/>
                <w:sz w:val="18"/>
                <w:szCs w:val="18"/>
              </w:rPr>
              <w:t xml:space="preserve">Face Detection (Document)</w:t>
            </w:r>
          </w:p>
        </w:tc>
        <w:tc>
          <w:tcPr>
            <w:tcW w:type="dxa" w:w="2600"/>
            <w:shd/>
            <w:vAlign w:val="top"/>
          </w:tcPr>
          <w:p>
            <w:pPr>
              <w:spacing w:after="80" w:before="80"/>
              <w:ind w:left="100"/>
            </w:pPr>
            <w:r>
              <w:rPr>
                <w:b w:val="false"/>
                <w:bCs w:val="false"/>
                <w:color w:val="0D1B2A"/>
                <w:sz w:val="18"/>
                <w:szCs w:val="18"/>
              </w:rPr>
              <w:t xml:space="preserve">face.retinaface_detector</w:t>
            </w:r>
          </w:p>
        </w:tc>
        <w:tc>
          <w:tcPr>
            <w:tcW w:type="dxa" w:w="1400"/>
            <w:shd/>
            <w:vAlign w:val="top"/>
          </w:tcPr>
          <w:p>
            <w:pPr>
              <w:spacing w:after="80" w:before="80"/>
              <w:ind w:left="100"/>
            </w:pPr>
            <w:r>
              <w:rPr>
                <w:b w:val="false"/>
                <w:bCs w:val="false"/>
                <w:color w:val="0D1B2A"/>
                <w:sz w:val="18"/>
                <w:szCs w:val="18"/>
              </w:rPr>
              <w:t xml:space="preserve">TC-FAC-01</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FR-FAC-02</w:t>
            </w:r>
          </w:p>
        </w:tc>
        <w:tc>
          <w:tcPr>
            <w:tcW w:type="dxa" w:w="2400"/>
            <w:shd w:color="F4F6F9" w:val="clear"/>
            <w:vAlign w:val="top"/>
          </w:tcPr>
          <w:p>
            <w:pPr>
              <w:spacing w:after="80" w:before="80"/>
              <w:ind w:left="100"/>
            </w:pPr>
            <w:r>
              <w:rPr>
                <w:b w:val="false"/>
                <w:bCs w:val="false"/>
                <w:color w:val="0D1B2A"/>
                <w:sz w:val="18"/>
                <w:szCs w:val="18"/>
              </w:rPr>
              <w:t xml:space="preserve">Live Face Capture</w:t>
            </w:r>
          </w:p>
        </w:tc>
        <w:tc>
          <w:tcPr>
            <w:tcW w:type="dxa" w:w="2600"/>
            <w:shd w:color="F4F6F9" w:val="clear"/>
            <w:vAlign w:val="top"/>
          </w:tcPr>
          <w:p>
            <w:pPr>
              <w:spacing w:after="80" w:before="80"/>
              <w:ind w:left="100"/>
            </w:pPr>
            <w:r>
              <w:rPr>
                <w:b w:val="false"/>
                <w:bCs w:val="false"/>
                <w:color w:val="0D1B2A"/>
                <w:sz w:val="18"/>
                <w:szCs w:val="18"/>
              </w:rPr>
              <w:t xml:space="preserve">face.camera_capture</w:t>
            </w:r>
          </w:p>
        </w:tc>
        <w:tc>
          <w:tcPr>
            <w:tcW w:type="dxa" w:w="1400"/>
            <w:shd w:color="F4F6F9" w:val="clear"/>
            <w:vAlign w:val="top"/>
          </w:tcPr>
          <w:p>
            <w:pPr>
              <w:spacing w:after="80" w:before="80"/>
              <w:ind w:left="100"/>
            </w:pPr>
            <w:r>
              <w:rPr>
                <w:b w:val="false"/>
                <w:bCs w:val="false"/>
                <w:color w:val="0D1B2A"/>
                <w:sz w:val="18"/>
                <w:szCs w:val="18"/>
              </w:rPr>
              <w:t xml:space="preserve">TC-FAC-02</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FR-FAC-03</w:t>
            </w:r>
          </w:p>
        </w:tc>
        <w:tc>
          <w:tcPr>
            <w:tcW w:type="dxa" w:w="2400"/>
            <w:shd/>
            <w:vAlign w:val="top"/>
          </w:tcPr>
          <w:p>
            <w:pPr>
              <w:spacing w:after="80" w:before="80"/>
              <w:ind w:left="100"/>
            </w:pPr>
            <w:r>
              <w:rPr>
                <w:b w:val="false"/>
                <w:bCs w:val="false"/>
                <w:color w:val="0D1B2A"/>
                <w:sz w:val="18"/>
                <w:szCs w:val="18"/>
              </w:rPr>
              <w:t xml:space="preserve">Face Alignment</w:t>
            </w:r>
          </w:p>
        </w:tc>
        <w:tc>
          <w:tcPr>
            <w:tcW w:type="dxa" w:w="2600"/>
            <w:shd/>
            <w:vAlign w:val="top"/>
          </w:tcPr>
          <w:p>
            <w:pPr>
              <w:spacing w:after="80" w:before="80"/>
              <w:ind w:left="100"/>
            </w:pPr>
            <w:r>
              <w:rPr>
                <w:b w:val="false"/>
                <w:bCs w:val="false"/>
                <w:color w:val="0D1B2A"/>
                <w:sz w:val="18"/>
                <w:szCs w:val="18"/>
              </w:rPr>
              <w:t xml:space="preserve">face.align_normalise</w:t>
            </w:r>
          </w:p>
        </w:tc>
        <w:tc>
          <w:tcPr>
            <w:tcW w:type="dxa" w:w="1400"/>
            <w:shd/>
            <w:vAlign w:val="top"/>
          </w:tcPr>
          <w:p>
            <w:pPr>
              <w:spacing w:after="80" w:before="80"/>
              <w:ind w:left="100"/>
            </w:pPr>
            <w:r>
              <w:rPr>
                <w:b w:val="false"/>
                <w:bCs w:val="false"/>
                <w:color w:val="0D1B2A"/>
                <w:sz w:val="18"/>
                <w:szCs w:val="18"/>
              </w:rPr>
              <w:t xml:space="preserve">TC-FAC-03</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FR-FAC-04</w:t>
            </w:r>
          </w:p>
        </w:tc>
        <w:tc>
          <w:tcPr>
            <w:tcW w:type="dxa" w:w="2400"/>
            <w:shd w:color="F4F6F9" w:val="clear"/>
            <w:vAlign w:val="top"/>
          </w:tcPr>
          <w:p>
            <w:pPr>
              <w:spacing w:after="80" w:before="80"/>
              <w:ind w:left="100"/>
            </w:pPr>
            <w:r>
              <w:rPr>
                <w:b w:val="false"/>
                <w:bCs w:val="false"/>
                <w:color w:val="0D1B2A"/>
                <w:sz w:val="18"/>
                <w:szCs w:val="18"/>
              </w:rPr>
              <w:t xml:space="preserve">ArcFace Embedding</w:t>
            </w:r>
          </w:p>
        </w:tc>
        <w:tc>
          <w:tcPr>
            <w:tcW w:type="dxa" w:w="2600"/>
            <w:shd w:color="F4F6F9" w:val="clear"/>
            <w:vAlign w:val="top"/>
          </w:tcPr>
          <w:p>
            <w:pPr>
              <w:spacing w:after="80" w:before="80"/>
              <w:ind w:left="100"/>
            </w:pPr>
            <w:r>
              <w:rPr>
                <w:b w:val="false"/>
                <w:bCs w:val="false"/>
                <w:color w:val="0D1B2A"/>
                <w:sz w:val="18"/>
                <w:szCs w:val="18"/>
              </w:rPr>
              <w:t xml:space="preserve">face.arcface_r100</w:t>
            </w:r>
          </w:p>
        </w:tc>
        <w:tc>
          <w:tcPr>
            <w:tcW w:type="dxa" w:w="1400"/>
            <w:shd w:color="F4F6F9" w:val="clear"/>
            <w:vAlign w:val="top"/>
          </w:tcPr>
          <w:p>
            <w:pPr>
              <w:spacing w:after="80" w:before="80"/>
              <w:ind w:left="100"/>
            </w:pPr>
            <w:r>
              <w:rPr>
                <w:b w:val="false"/>
                <w:bCs w:val="false"/>
                <w:color w:val="0D1B2A"/>
                <w:sz w:val="18"/>
                <w:szCs w:val="18"/>
              </w:rPr>
              <w:t xml:space="preserve">TC-FAC-04</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FR-FAC-05</w:t>
            </w:r>
          </w:p>
        </w:tc>
        <w:tc>
          <w:tcPr>
            <w:tcW w:type="dxa" w:w="2400"/>
            <w:shd/>
            <w:vAlign w:val="top"/>
          </w:tcPr>
          <w:p>
            <w:pPr>
              <w:spacing w:after="80" w:before="80"/>
              <w:ind w:left="100"/>
            </w:pPr>
            <w:r>
              <w:rPr>
                <w:b w:val="false"/>
                <w:bCs w:val="false"/>
                <w:color w:val="0D1B2A"/>
                <w:sz w:val="18"/>
                <w:szCs w:val="18"/>
              </w:rPr>
              <w:t xml:space="preserve">Cosine Similarity Matching</w:t>
            </w:r>
          </w:p>
        </w:tc>
        <w:tc>
          <w:tcPr>
            <w:tcW w:type="dxa" w:w="2600"/>
            <w:shd/>
            <w:vAlign w:val="top"/>
          </w:tcPr>
          <w:p>
            <w:pPr>
              <w:spacing w:after="80" w:before="80"/>
              <w:ind w:left="100"/>
            </w:pPr>
            <w:r>
              <w:rPr>
                <w:b w:val="false"/>
                <w:bCs w:val="false"/>
                <w:color w:val="0D1B2A"/>
                <w:sz w:val="18"/>
                <w:szCs w:val="18"/>
              </w:rPr>
              <w:t xml:space="preserve">face.matcher + platt_scaler</w:t>
            </w:r>
          </w:p>
        </w:tc>
        <w:tc>
          <w:tcPr>
            <w:tcW w:type="dxa" w:w="1400"/>
            <w:shd/>
            <w:vAlign w:val="top"/>
          </w:tcPr>
          <w:p>
            <w:pPr>
              <w:spacing w:after="80" w:before="80"/>
              <w:ind w:left="100"/>
            </w:pPr>
            <w:r>
              <w:rPr>
                <w:b w:val="false"/>
                <w:bCs w:val="false"/>
                <w:color w:val="0D1B2A"/>
                <w:sz w:val="18"/>
                <w:szCs w:val="18"/>
              </w:rPr>
              <w:t xml:space="preserve">TC-FAC-05</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FR-FAC-06</w:t>
            </w:r>
          </w:p>
        </w:tc>
        <w:tc>
          <w:tcPr>
            <w:tcW w:type="dxa" w:w="2400"/>
            <w:shd w:color="F4F6F9" w:val="clear"/>
            <w:vAlign w:val="top"/>
          </w:tcPr>
          <w:p>
            <w:pPr>
              <w:spacing w:after="80" w:before="80"/>
              <w:ind w:left="100"/>
            </w:pPr>
            <w:r>
              <w:rPr>
                <w:b w:val="false"/>
                <w:bCs w:val="false"/>
                <w:color w:val="0D1B2A"/>
                <w:sz w:val="18"/>
                <w:szCs w:val="18"/>
              </w:rPr>
              <w:t xml:space="preserve">Liveness Detection</w:t>
            </w:r>
          </w:p>
        </w:tc>
        <w:tc>
          <w:tcPr>
            <w:tcW w:type="dxa" w:w="2600"/>
            <w:shd w:color="F4F6F9" w:val="clear"/>
            <w:vAlign w:val="top"/>
          </w:tcPr>
          <w:p>
            <w:pPr>
              <w:spacing w:after="80" w:before="80"/>
              <w:ind w:left="100"/>
            </w:pPr>
            <w:r>
              <w:rPr>
                <w:b w:val="false"/>
                <w:bCs w:val="false"/>
                <w:color w:val="0D1B2A"/>
                <w:sz w:val="18"/>
                <w:szCs w:val="18"/>
              </w:rPr>
              <w:t xml:space="preserve">face.silent_face_onnx</w:t>
            </w:r>
          </w:p>
        </w:tc>
        <w:tc>
          <w:tcPr>
            <w:tcW w:type="dxa" w:w="1400"/>
            <w:shd w:color="F4F6F9" w:val="clear"/>
            <w:vAlign w:val="top"/>
          </w:tcPr>
          <w:p>
            <w:pPr>
              <w:spacing w:after="80" w:before="80"/>
              <w:ind w:left="100"/>
            </w:pPr>
            <w:r>
              <w:rPr>
                <w:b w:val="false"/>
                <w:bCs w:val="false"/>
                <w:color w:val="0D1B2A"/>
                <w:sz w:val="18"/>
                <w:szCs w:val="18"/>
              </w:rPr>
              <w:t xml:space="preserve">TC-FAC-06</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FR-FAC-07</w:t>
            </w:r>
          </w:p>
        </w:tc>
        <w:tc>
          <w:tcPr>
            <w:tcW w:type="dxa" w:w="2400"/>
            <w:shd/>
            <w:vAlign w:val="top"/>
          </w:tcPr>
          <w:p>
            <w:pPr>
              <w:spacing w:after="80" w:before="80"/>
              <w:ind w:left="100"/>
            </w:pPr>
            <w:r>
              <w:rPr>
                <w:b w:val="false"/>
                <w:bCs w:val="false"/>
                <w:color w:val="0D1B2A"/>
                <w:sz w:val="18"/>
                <w:szCs w:val="18"/>
              </w:rPr>
              <w:t xml:space="preserve">Low-Quality Photo Enhancement</w:t>
            </w:r>
          </w:p>
        </w:tc>
        <w:tc>
          <w:tcPr>
            <w:tcW w:type="dxa" w:w="2600"/>
            <w:shd/>
            <w:vAlign w:val="top"/>
          </w:tcPr>
          <w:p>
            <w:pPr>
              <w:spacing w:after="80" w:before="80"/>
              <w:ind w:left="100"/>
            </w:pPr>
            <w:r>
              <w:rPr>
                <w:b w:val="false"/>
                <w:bCs w:val="false"/>
                <w:color w:val="0D1B2A"/>
                <w:sz w:val="18"/>
                <w:szCs w:val="18"/>
              </w:rPr>
              <w:t xml:space="preserve">face.real_esrgan_sr</w:t>
            </w:r>
          </w:p>
        </w:tc>
        <w:tc>
          <w:tcPr>
            <w:tcW w:type="dxa" w:w="1400"/>
            <w:shd/>
            <w:vAlign w:val="top"/>
          </w:tcPr>
          <w:p>
            <w:pPr>
              <w:spacing w:after="80" w:before="80"/>
              <w:ind w:left="100"/>
            </w:pPr>
            <w:r>
              <w:rPr>
                <w:b w:val="false"/>
                <w:bCs w:val="false"/>
                <w:color w:val="0D1B2A"/>
                <w:sz w:val="18"/>
                <w:szCs w:val="18"/>
              </w:rPr>
              <w:t xml:space="preserve">TC-FAC-07</w:t>
            </w:r>
          </w:p>
        </w:tc>
        <w:tc>
          <w:tcPr>
            <w:tcW w:type="dxa" w:w="1200"/>
            <w:shd/>
            <w:vAlign w:val="top"/>
          </w:tcPr>
          <w:p>
            <w:pPr>
              <w:spacing w:after="80" w:before="80"/>
              <w:ind w:left="100"/>
            </w:pPr>
            <w:r>
              <w:rPr>
                <w:b w:val="false"/>
                <w:bCs w:val="false"/>
                <w:color w:val="0D1B2A"/>
                <w:sz w:val="18"/>
                <w:szCs w:val="18"/>
              </w:rPr>
              <w:t xml:space="preserve">Should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FR-RSK-01</w:t>
            </w:r>
          </w:p>
        </w:tc>
        <w:tc>
          <w:tcPr>
            <w:tcW w:type="dxa" w:w="2400"/>
            <w:shd w:color="F4F6F9" w:val="clear"/>
            <w:vAlign w:val="top"/>
          </w:tcPr>
          <w:p>
            <w:pPr>
              <w:spacing w:after="80" w:before="80"/>
              <w:ind w:left="100"/>
            </w:pPr>
            <w:r>
              <w:rPr>
                <w:b w:val="false"/>
                <w:bCs w:val="false"/>
                <w:color w:val="0D1B2A"/>
                <w:sz w:val="18"/>
                <w:szCs w:val="18"/>
              </w:rPr>
              <w:t xml:space="preserve">DS Evidence Fusion (All Modules)</w:t>
            </w:r>
          </w:p>
        </w:tc>
        <w:tc>
          <w:tcPr>
            <w:tcW w:type="dxa" w:w="2600"/>
            <w:shd w:color="F4F6F9" w:val="clear"/>
            <w:vAlign w:val="top"/>
          </w:tcPr>
          <w:p>
            <w:pPr>
              <w:spacing w:after="80" w:before="80"/>
              <w:ind w:left="100"/>
            </w:pPr>
            <w:r>
              <w:rPr>
                <w:b w:val="false"/>
                <w:bCs w:val="false"/>
                <w:color w:val="0D1B2A"/>
                <w:sz w:val="18"/>
                <w:szCs w:val="18"/>
              </w:rPr>
              <w:t xml:space="preserve">risk.ds_fusion.combined</w:t>
            </w:r>
          </w:p>
        </w:tc>
        <w:tc>
          <w:tcPr>
            <w:tcW w:type="dxa" w:w="1400"/>
            <w:shd w:color="F4F6F9" w:val="clear"/>
            <w:vAlign w:val="top"/>
          </w:tcPr>
          <w:p>
            <w:pPr>
              <w:spacing w:after="80" w:before="80"/>
              <w:ind w:left="100"/>
            </w:pPr>
            <w:r>
              <w:rPr>
                <w:b w:val="false"/>
                <w:bCs w:val="false"/>
                <w:color w:val="0D1B2A"/>
                <w:sz w:val="18"/>
                <w:szCs w:val="18"/>
              </w:rPr>
              <w:t xml:space="preserve">TC-RSK-01</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FR-RSK-02</w:t>
            </w:r>
          </w:p>
        </w:tc>
        <w:tc>
          <w:tcPr>
            <w:tcW w:type="dxa" w:w="2400"/>
            <w:shd/>
            <w:vAlign w:val="top"/>
          </w:tcPr>
          <w:p>
            <w:pPr>
              <w:spacing w:after="80" w:before="80"/>
              <w:ind w:left="100"/>
            </w:pPr>
            <w:r>
              <w:rPr>
                <w:b w:val="false"/>
                <w:bCs w:val="false"/>
                <w:color w:val="0D1B2A"/>
                <w:sz w:val="18"/>
                <w:szCs w:val="18"/>
              </w:rPr>
              <w:t xml:space="preserve">Platt Scaling Calibration</w:t>
            </w:r>
          </w:p>
        </w:tc>
        <w:tc>
          <w:tcPr>
            <w:tcW w:type="dxa" w:w="2600"/>
            <w:shd/>
            <w:vAlign w:val="top"/>
          </w:tcPr>
          <w:p>
            <w:pPr>
              <w:spacing w:after="80" w:before="80"/>
              <w:ind w:left="100"/>
            </w:pPr>
            <w:r>
              <w:rPr>
                <w:b w:val="false"/>
                <w:bCs w:val="false"/>
                <w:color w:val="0D1B2A"/>
                <w:sz w:val="18"/>
                <w:szCs w:val="18"/>
              </w:rPr>
              <w:t xml:space="preserve">risk.calibration.platt</w:t>
            </w:r>
          </w:p>
        </w:tc>
        <w:tc>
          <w:tcPr>
            <w:tcW w:type="dxa" w:w="1400"/>
            <w:shd/>
            <w:vAlign w:val="top"/>
          </w:tcPr>
          <w:p>
            <w:pPr>
              <w:spacing w:after="80" w:before="80"/>
              <w:ind w:left="100"/>
            </w:pPr>
            <w:r>
              <w:rPr>
                <w:b w:val="false"/>
                <w:bCs w:val="false"/>
                <w:color w:val="0D1B2A"/>
                <w:sz w:val="18"/>
                <w:szCs w:val="18"/>
              </w:rPr>
              <w:t xml:space="preserve">TC-RSK-02</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FR-RSK-03</w:t>
            </w:r>
          </w:p>
        </w:tc>
        <w:tc>
          <w:tcPr>
            <w:tcW w:type="dxa" w:w="2400"/>
            <w:shd w:color="F4F6F9" w:val="clear"/>
            <w:vAlign w:val="top"/>
          </w:tcPr>
          <w:p>
            <w:pPr>
              <w:spacing w:after="80" w:before="80"/>
              <w:ind w:left="100"/>
            </w:pPr>
            <w:r>
              <w:rPr>
                <w:b w:val="false"/>
                <w:bCs w:val="false"/>
                <w:color w:val="0D1B2A"/>
                <w:sz w:val="18"/>
                <w:szCs w:val="18"/>
              </w:rPr>
              <w:t xml:space="preserve">Risk Band + Hard Overrides</w:t>
            </w:r>
          </w:p>
        </w:tc>
        <w:tc>
          <w:tcPr>
            <w:tcW w:type="dxa" w:w="2600"/>
            <w:shd w:color="F4F6F9" w:val="clear"/>
            <w:vAlign w:val="top"/>
          </w:tcPr>
          <w:p>
            <w:pPr>
              <w:spacing w:after="80" w:before="80"/>
              <w:ind w:left="100"/>
            </w:pPr>
            <w:r>
              <w:rPr>
                <w:b w:val="false"/>
                <w:bCs w:val="false"/>
                <w:color w:val="0D1B2A"/>
                <w:sz w:val="18"/>
                <w:szCs w:val="18"/>
              </w:rPr>
              <w:t xml:space="preserve">risk.band_classifier</w:t>
            </w:r>
          </w:p>
        </w:tc>
        <w:tc>
          <w:tcPr>
            <w:tcW w:type="dxa" w:w="1400"/>
            <w:shd w:color="F4F6F9" w:val="clear"/>
            <w:vAlign w:val="top"/>
          </w:tcPr>
          <w:p>
            <w:pPr>
              <w:spacing w:after="80" w:before="80"/>
              <w:ind w:left="100"/>
            </w:pPr>
            <w:r>
              <w:rPr>
                <w:b w:val="false"/>
                <w:bCs w:val="false"/>
                <w:color w:val="0D1B2A"/>
                <w:sz w:val="18"/>
                <w:szCs w:val="18"/>
              </w:rPr>
              <w:t xml:space="preserve">TC-RSK-03</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FR-RSK-04</w:t>
            </w:r>
          </w:p>
        </w:tc>
        <w:tc>
          <w:tcPr>
            <w:tcW w:type="dxa" w:w="2400"/>
            <w:shd/>
            <w:vAlign w:val="top"/>
          </w:tcPr>
          <w:p>
            <w:pPr>
              <w:spacing w:after="80" w:before="80"/>
              <w:ind w:left="100"/>
            </w:pPr>
            <w:r>
              <w:rPr>
                <w:b w:val="false"/>
                <w:bCs w:val="false"/>
                <w:color w:val="0D1B2A"/>
                <w:sz w:val="18"/>
                <w:szCs w:val="18"/>
              </w:rPr>
              <w:t xml:space="preserve">SHAP Attribution Vector</w:t>
            </w:r>
          </w:p>
        </w:tc>
        <w:tc>
          <w:tcPr>
            <w:tcW w:type="dxa" w:w="2600"/>
            <w:shd/>
            <w:vAlign w:val="top"/>
          </w:tcPr>
          <w:p>
            <w:pPr>
              <w:spacing w:after="80" w:before="80"/>
              <w:ind w:left="100"/>
            </w:pPr>
            <w:r>
              <w:rPr>
                <w:b w:val="false"/>
                <w:bCs w:val="false"/>
                <w:color w:val="0D1B2A"/>
                <w:sz w:val="18"/>
                <w:szCs w:val="18"/>
              </w:rPr>
              <w:t xml:space="preserve">risk.shap_attributor</w:t>
            </w:r>
          </w:p>
        </w:tc>
        <w:tc>
          <w:tcPr>
            <w:tcW w:type="dxa" w:w="1400"/>
            <w:shd/>
            <w:vAlign w:val="top"/>
          </w:tcPr>
          <w:p>
            <w:pPr>
              <w:spacing w:after="80" w:before="80"/>
              <w:ind w:left="100"/>
            </w:pPr>
            <w:r>
              <w:rPr>
                <w:b w:val="false"/>
                <w:bCs w:val="false"/>
                <w:color w:val="0D1B2A"/>
                <w:sz w:val="18"/>
                <w:szCs w:val="18"/>
              </w:rPr>
              <w:t xml:space="preserve">TC-RSK-04</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FR-RSK-05</w:t>
            </w:r>
          </w:p>
        </w:tc>
        <w:tc>
          <w:tcPr>
            <w:tcW w:type="dxa" w:w="2400"/>
            <w:shd w:color="F4F6F9" w:val="clear"/>
            <w:vAlign w:val="top"/>
          </w:tcPr>
          <w:p>
            <w:pPr>
              <w:spacing w:after="80" w:before="80"/>
              <w:ind w:left="100"/>
            </w:pPr>
            <w:r>
              <w:rPr>
                <w:b w:val="false"/>
                <w:bCs w:val="false"/>
                <w:color w:val="0D1B2A"/>
                <w:sz w:val="18"/>
                <w:szCs w:val="18"/>
              </w:rPr>
              <w:t xml:space="preserve">Plain-Language Findings</w:t>
            </w:r>
          </w:p>
        </w:tc>
        <w:tc>
          <w:tcPr>
            <w:tcW w:type="dxa" w:w="2600"/>
            <w:shd w:color="F4F6F9" w:val="clear"/>
            <w:vAlign w:val="top"/>
          </w:tcPr>
          <w:p>
            <w:pPr>
              <w:spacing w:after="80" w:before="80"/>
              <w:ind w:left="100"/>
            </w:pPr>
            <w:r>
              <w:rPr>
                <w:b w:val="false"/>
                <w:bCs w:val="false"/>
                <w:color w:val="0D1B2A"/>
                <w:sz w:val="18"/>
                <w:szCs w:val="18"/>
              </w:rPr>
              <w:t xml:space="preserve">risk.findings_generator</w:t>
            </w:r>
          </w:p>
        </w:tc>
        <w:tc>
          <w:tcPr>
            <w:tcW w:type="dxa" w:w="1400"/>
            <w:shd w:color="F4F6F9" w:val="clear"/>
            <w:vAlign w:val="top"/>
          </w:tcPr>
          <w:p>
            <w:pPr>
              <w:spacing w:after="80" w:before="80"/>
              <w:ind w:left="100"/>
            </w:pPr>
            <w:r>
              <w:rPr>
                <w:b w:val="false"/>
                <w:bCs w:val="false"/>
                <w:color w:val="0D1B2A"/>
                <w:sz w:val="18"/>
                <w:szCs w:val="18"/>
              </w:rPr>
              <w:t xml:space="preserve">TC-RSK-05</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FR-UI-01</w:t>
            </w:r>
          </w:p>
        </w:tc>
        <w:tc>
          <w:tcPr>
            <w:tcW w:type="dxa" w:w="2400"/>
            <w:shd/>
            <w:vAlign w:val="top"/>
          </w:tcPr>
          <w:p>
            <w:pPr>
              <w:spacing w:after="80" w:before="80"/>
              <w:ind w:left="100"/>
            </w:pPr>
            <w:r>
              <w:rPr>
                <w:b w:val="false"/>
                <w:bCs w:val="false"/>
                <w:color w:val="0D1B2A"/>
                <w:sz w:val="18"/>
                <w:szCs w:val="18"/>
              </w:rPr>
              <w:t xml:space="preserve">Document Submission UI</w:t>
            </w:r>
          </w:p>
        </w:tc>
        <w:tc>
          <w:tcPr>
            <w:tcW w:type="dxa" w:w="2600"/>
            <w:shd/>
            <w:vAlign w:val="top"/>
          </w:tcPr>
          <w:p>
            <w:pPr>
              <w:spacing w:after="80" w:before="80"/>
              <w:ind w:left="100"/>
            </w:pPr>
            <w:r>
              <w:rPr>
                <w:b w:val="false"/>
                <w:bCs w:val="false"/>
                <w:color w:val="0D1B2A"/>
                <w:sz w:val="18"/>
                <w:szCs w:val="18"/>
              </w:rPr>
              <w:t xml:space="preserve">ui.components.SubmitPanel</w:t>
            </w:r>
          </w:p>
        </w:tc>
        <w:tc>
          <w:tcPr>
            <w:tcW w:type="dxa" w:w="1400"/>
            <w:shd/>
            <w:vAlign w:val="top"/>
          </w:tcPr>
          <w:p>
            <w:pPr>
              <w:spacing w:after="80" w:before="80"/>
              <w:ind w:left="100"/>
            </w:pPr>
            <w:r>
              <w:rPr>
                <w:b w:val="false"/>
                <w:bCs w:val="false"/>
                <w:color w:val="0D1B2A"/>
                <w:sz w:val="18"/>
                <w:szCs w:val="18"/>
              </w:rPr>
              <w:t xml:space="preserve">TC-UI-01</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FR-UI-02</w:t>
            </w:r>
          </w:p>
        </w:tc>
        <w:tc>
          <w:tcPr>
            <w:tcW w:type="dxa" w:w="2400"/>
            <w:shd w:color="F4F6F9" w:val="clear"/>
            <w:vAlign w:val="top"/>
          </w:tcPr>
          <w:p>
            <w:pPr>
              <w:spacing w:after="80" w:before="80"/>
              <w:ind w:left="100"/>
            </w:pPr>
            <w:r>
              <w:rPr>
                <w:b w:val="false"/>
                <w:bCs w:val="false"/>
                <w:color w:val="0D1B2A"/>
                <w:sz w:val="18"/>
                <w:szCs w:val="18"/>
              </w:rPr>
              <w:t xml:space="preserve">Real-Time Progress</w:t>
            </w:r>
          </w:p>
        </w:tc>
        <w:tc>
          <w:tcPr>
            <w:tcW w:type="dxa" w:w="2600"/>
            <w:shd w:color="F4F6F9" w:val="clear"/>
            <w:vAlign w:val="top"/>
          </w:tcPr>
          <w:p>
            <w:pPr>
              <w:spacing w:after="80" w:before="80"/>
              <w:ind w:left="100"/>
            </w:pPr>
            <w:r>
              <w:rPr>
                <w:b w:val="false"/>
                <w:bCs w:val="false"/>
                <w:color w:val="0D1B2A"/>
                <w:sz w:val="18"/>
                <w:szCs w:val="18"/>
              </w:rPr>
              <w:t xml:space="preserve">ui.components.ProgressTracker</w:t>
            </w:r>
          </w:p>
        </w:tc>
        <w:tc>
          <w:tcPr>
            <w:tcW w:type="dxa" w:w="1400"/>
            <w:shd w:color="F4F6F9" w:val="clear"/>
            <w:vAlign w:val="top"/>
          </w:tcPr>
          <w:p>
            <w:pPr>
              <w:spacing w:after="80" w:before="80"/>
              <w:ind w:left="100"/>
            </w:pPr>
            <w:r>
              <w:rPr>
                <w:b w:val="false"/>
                <w:bCs w:val="false"/>
                <w:color w:val="0D1B2A"/>
                <w:sz w:val="18"/>
                <w:szCs w:val="18"/>
              </w:rPr>
              <w:t xml:space="preserve">TC-UI-02</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FR-UI-03</w:t>
            </w:r>
          </w:p>
        </w:tc>
        <w:tc>
          <w:tcPr>
            <w:tcW w:type="dxa" w:w="2400"/>
            <w:shd/>
            <w:vAlign w:val="top"/>
          </w:tcPr>
          <w:p>
            <w:pPr>
              <w:spacing w:after="80" w:before="80"/>
              <w:ind w:left="100"/>
            </w:pPr>
            <w:r>
              <w:rPr>
                <w:b w:val="false"/>
                <w:bCs w:val="false"/>
                <w:color w:val="0D1B2A"/>
                <w:sz w:val="18"/>
                <w:szCs w:val="18"/>
              </w:rPr>
              <w:t xml:space="preserve">Risk Score Gauge</w:t>
            </w:r>
          </w:p>
        </w:tc>
        <w:tc>
          <w:tcPr>
            <w:tcW w:type="dxa" w:w="2600"/>
            <w:shd/>
            <w:vAlign w:val="top"/>
          </w:tcPr>
          <w:p>
            <w:pPr>
              <w:spacing w:after="80" w:before="80"/>
              <w:ind w:left="100"/>
            </w:pPr>
            <w:r>
              <w:rPr>
                <w:b w:val="false"/>
                <w:bCs w:val="false"/>
                <w:color w:val="0D1B2A"/>
                <w:sz w:val="18"/>
                <w:szCs w:val="18"/>
              </w:rPr>
              <w:t xml:space="preserve">ui.components.RiskGauge</w:t>
            </w:r>
          </w:p>
        </w:tc>
        <w:tc>
          <w:tcPr>
            <w:tcW w:type="dxa" w:w="1400"/>
            <w:shd/>
            <w:vAlign w:val="top"/>
          </w:tcPr>
          <w:p>
            <w:pPr>
              <w:spacing w:after="80" w:before="80"/>
              <w:ind w:left="100"/>
            </w:pPr>
            <w:r>
              <w:rPr>
                <w:b w:val="false"/>
                <w:bCs w:val="false"/>
                <w:color w:val="0D1B2A"/>
                <w:sz w:val="18"/>
                <w:szCs w:val="18"/>
              </w:rPr>
              <w:t xml:space="preserve">TC-UI-03</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FR-UI-04</w:t>
            </w:r>
          </w:p>
        </w:tc>
        <w:tc>
          <w:tcPr>
            <w:tcW w:type="dxa" w:w="2400"/>
            <w:shd w:color="F4F6F9" w:val="clear"/>
            <w:vAlign w:val="top"/>
          </w:tcPr>
          <w:p>
            <w:pPr>
              <w:spacing w:after="80" w:before="80"/>
              <w:ind w:left="100"/>
            </w:pPr>
            <w:r>
              <w:rPr>
                <w:b w:val="false"/>
                <w:bCs w:val="false"/>
                <w:color w:val="0D1B2A"/>
                <w:sz w:val="18"/>
                <w:szCs w:val="18"/>
              </w:rPr>
              <w:t xml:space="preserve">Anomaly Heatmap Overlay</w:t>
            </w:r>
          </w:p>
        </w:tc>
        <w:tc>
          <w:tcPr>
            <w:tcW w:type="dxa" w:w="2600"/>
            <w:shd w:color="F4F6F9" w:val="clear"/>
            <w:vAlign w:val="top"/>
          </w:tcPr>
          <w:p>
            <w:pPr>
              <w:spacing w:after="80" w:before="80"/>
              <w:ind w:left="100"/>
            </w:pPr>
            <w:r>
              <w:rPr>
                <w:b w:val="false"/>
                <w:bCs w:val="false"/>
                <w:color w:val="0D1B2A"/>
                <w:sz w:val="18"/>
                <w:szCs w:val="18"/>
              </w:rPr>
              <w:t xml:space="preserve">ui.components.HeatmapViewer</w:t>
            </w:r>
          </w:p>
        </w:tc>
        <w:tc>
          <w:tcPr>
            <w:tcW w:type="dxa" w:w="1400"/>
            <w:shd w:color="F4F6F9" w:val="clear"/>
            <w:vAlign w:val="top"/>
          </w:tcPr>
          <w:p>
            <w:pPr>
              <w:spacing w:after="80" w:before="80"/>
              <w:ind w:left="100"/>
            </w:pPr>
            <w:r>
              <w:rPr>
                <w:b w:val="false"/>
                <w:bCs w:val="false"/>
                <w:color w:val="0D1B2A"/>
                <w:sz w:val="18"/>
                <w:szCs w:val="18"/>
              </w:rPr>
              <w:t xml:space="preserve">TC-UI-04</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FR-UI-05</w:t>
            </w:r>
          </w:p>
        </w:tc>
        <w:tc>
          <w:tcPr>
            <w:tcW w:type="dxa" w:w="2400"/>
            <w:shd/>
            <w:vAlign w:val="top"/>
          </w:tcPr>
          <w:p>
            <w:pPr>
              <w:spacing w:after="80" w:before="80"/>
              <w:ind w:left="100"/>
            </w:pPr>
            <w:r>
              <w:rPr>
                <w:b w:val="false"/>
                <w:bCs w:val="false"/>
                <w:color w:val="0D1B2A"/>
                <w:sz w:val="18"/>
                <w:szCs w:val="18"/>
              </w:rPr>
              <w:t xml:space="preserve">SHAP Attribution Chart</w:t>
            </w:r>
          </w:p>
        </w:tc>
        <w:tc>
          <w:tcPr>
            <w:tcW w:type="dxa" w:w="2600"/>
            <w:shd/>
            <w:vAlign w:val="top"/>
          </w:tcPr>
          <w:p>
            <w:pPr>
              <w:spacing w:after="80" w:before="80"/>
              <w:ind w:left="100"/>
            </w:pPr>
            <w:r>
              <w:rPr>
                <w:b w:val="false"/>
                <w:bCs w:val="false"/>
                <w:color w:val="0D1B2A"/>
                <w:sz w:val="18"/>
                <w:szCs w:val="18"/>
              </w:rPr>
              <w:t xml:space="preserve">ui.components.AttributionChart</w:t>
            </w:r>
          </w:p>
        </w:tc>
        <w:tc>
          <w:tcPr>
            <w:tcW w:type="dxa" w:w="1400"/>
            <w:shd/>
            <w:vAlign w:val="top"/>
          </w:tcPr>
          <w:p>
            <w:pPr>
              <w:spacing w:after="80" w:before="80"/>
              <w:ind w:left="100"/>
            </w:pPr>
            <w:r>
              <w:rPr>
                <w:b w:val="false"/>
                <w:bCs w:val="false"/>
                <w:color w:val="0D1B2A"/>
                <w:sz w:val="18"/>
                <w:szCs w:val="18"/>
              </w:rPr>
              <w:t xml:space="preserve">TC-UI-05</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FR-UI-06</w:t>
            </w:r>
          </w:p>
        </w:tc>
        <w:tc>
          <w:tcPr>
            <w:tcW w:type="dxa" w:w="2400"/>
            <w:shd w:color="F4F6F9" w:val="clear"/>
            <w:vAlign w:val="top"/>
          </w:tcPr>
          <w:p>
            <w:pPr>
              <w:spacing w:after="80" w:before="80"/>
              <w:ind w:left="100"/>
            </w:pPr>
            <w:r>
              <w:rPr>
                <w:b w:val="false"/>
                <w:bCs w:val="false"/>
                <w:color w:val="0D1B2A"/>
                <w:sz w:val="18"/>
                <w:szCs w:val="18"/>
              </w:rPr>
              <w:t xml:space="preserve">Field Confidence Table</w:t>
            </w:r>
          </w:p>
        </w:tc>
        <w:tc>
          <w:tcPr>
            <w:tcW w:type="dxa" w:w="2600"/>
            <w:shd w:color="F4F6F9" w:val="clear"/>
            <w:vAlign w:val="top"/>
          </w:tcPr>
          <w:p>
            <w:pPr>
              <w:spacing w:after="80" w:before="80"/>
              <w:ind w:left="100"/>
            </w:pPr>
            <w:r>
              <w:rPr>
                <w:b w:val="false"/>
                <w:bCs w:val="false"/>
                <w:color w:val="0D1B2A"/>
                <w:sz w:val="18"/>
                <w:szCs w:val="18"/>
              </w:rPr>
              <w:t xml:space="preserve">ui.components.FieldTable</w:t>
            </w:r>
          </w:p>
        </w:tc>
        <w:tc>
          <w:tcPr>
            <w:tcW w:type="dxa" w:w="1400"/>
            <w:shd w:color="F4F6F9" w:val="clear"/>
            <w:vAlign w:val="top"/>
          </w:tcPr>
          <w:p>
            <w:pPr>
              <w:spacing w:after="80" w:before="80"/>
              <w:ind w:left="100"/>
            </w:pPr>
            <w:r>
              <w:rPr>
                <w:b w:val="false"/>
                <w:bCs w:val="false"/>
                <w:color w:val="0D1B2A"/>
                <w:sz w:val="18"/>
                <w:szCs w:val="18"/>
              </w:rPr>
              <w:t xml:space="preserve">TC-UI-06</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FR-UI-07</w:t>
            </w:r>
          </w:p>
        </w:tc>
        <w:tc>
          <w:tcPr>
            <w:tcW w:type="dxa" w:w="2400"/>
            <w:shd/>
            <w:vAlign w:val="top"/>
          </w:tcPr>
          <w:p>
            <w:pPr>
              <w:spacing w:after="80" w:before="80"/>
              <w:ind w:left="100"/>
            </w:pPr>
            <w:r>
              <w:rPr>
                <w:b w:val="false"/>
                <w:bCs w:val="false"/>
                <w:color w:val="0D1B2A"/>
                <w:sz w:val="18"/>
                <w:szCs w:val="18"/>
              </w:rPr>
              <w:t xml:space="preserve">Officer Action Panel</w:t>
            </w:r>
          </w:p>
        </w:tc>
        <w:tc>
          <w:tcPr>
            <w:tcW w:type="dxa" w:w="2600"/>
            <w:shd/>
            <w:vAlign w:val="top"/>
          </w:tcPr>
          <w:p>
            <w:pPr>
              <w:spacing w:after="80" w:before="80"/>
              <w:ind w:left="100"/>
            </w:pPr>
            <w:r>
              <w:rPr>
                <w:b w:val="false"/>
                <w:bCs w:val="false"/>
                <w:color w:val="0D1B2A"/>
                <w:sz w:val="18"/>
                <w:szCs w:val="18"/>
              </w:rPr>
              <w:t xml:space="preserve">ui.components.ActionPanel</w:t>
            </w:r>
          </w:p>
        </w:tc>
        <w:tc>
          <w:tcPr>
            <w:tcW w:type="dxa" w:w="1400"/>
            <w:shd/>
            <w:vAlign w:val="top"/>
          </w:tcPr>
          <w:p>
            <w:pPr>
              <w:spacing w:after="80" w:before="80"/>
              <w:ind w:left="100"/>
            </w:pPr>
            <w:r>
              <w:rPr>
                <w:b w:val="false"/>
                <w:bCs w:val="false"/>
                <w:color w:val="0D1B2A"/>
                <w:sz w:val="18"/>
                <w:szCs w:val="18"/>
              </w:rPr>
              <w:t xml:space="preserve">TC-UI-07</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FR-UI-08</w:t>
            </w:r>
          </w:p>
        </w:tc>
        <w:tc>
          <w:tcPr>
            <w:tcW w:type="dxa" w:w="2400"/>
            <w:shd w:color="F4F6F9" w:val="clear"/>
            <w:vAlign w:val="top"/>
          </w:tcPr>
          <w:p>
            <w:pPr>
              <w:spacing w:after="80" w:before="80"/>
              <w:ind w:left="100"/>
            </w:pPr>
            <w:r>
              <w:rPr>
                <w:b w:val="false"/>
                <w:bCs w:val="false"/>
                <w:color w:val="0D1B2A"/>
                <w:sz w:val="18"/>
                <w:szCs w:val="18"/>
              </w:rPr>
              <w:t xml:space="preserve">Multilingual Interface</w:t>
            </w:r>
          </w:p>
        </w:tc>
        <w:tc>
          <w:tcPr>
            <w:tcW w:type="dxa" w:w="2600"/>
            <w:shd w:color="F4F6F9" w:val="clear"/>
            <w:vAlign w:val="top"/>
          </w:tcPr>
          <w:p>
            <w:pPr>
              <w:spacing w:after="80" w:before="80"/>
              <w:ind w:left="100"/>
            </w:pPr>
            <w:r>
              <w:rPr>
                <w:b w:val="false"/>
                <w:bCs w:val="false"/>
                <w:color w:val="0D1B2A"/>
                <w:sz w:val="18"/>
                <w:szCs w:val="18"/>
              </w:rPr>
              <w:t xml:space="preserve">ui.i18n (en, hi)</w:t>
            </w:r>
          </w:p>
        </w:tc>
        <w:tc>
          <w:tcPr>
            <w:tcW w:type="dxa" w:w="1400"/>
            <w:shd w:color="F4F6F9" w:val="clear"/>
            <w:vAlign w:val="top"/>
          </w:tcPr>
          <w:p>
            <w:pPr>
              <w:spacing w:after="80" w:before="80"/>
              <w:ind w:left="100"/>
            </w:pPr>
            <w:r>
              <w:rPr>
                <w:b w:val="false"/>
                <w:bCs w:val="false"/>
                <w:color w:val="0D1B2A"/>
                <w:sz w:val="18"/>
                <w:szCs w:val="18"/>
              </w:rPr>
              <w:t xml:space="preserve">TC-UI-08</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FR-AUD-01</w:t>
            </w:r>
          </w:p>
        </w:tc>
        <w:tc>
          <w:tcPr>
            <w:tcW w:type="dxa" w:w="2400"/>
            <w:shd/>
            <w:vAlign w:val="top"/>
          </w:tcPr>
          <w:p>
            <w:pPr>
              <w:spacing w:after="80" w:before="80"/>
              <w:ind w:left="100"/>
            </w:pPr>
            <w:r>
              <w:rPr>
                <w:b w:val="false"/>
                <w:bCs w:val="false"/>
                <w:color w:val="0D1B2A"/>
                <w:sz w:val="18"/>
                <w:szCs w:val="18"/>
              </w:rPr>
              <w:t xml:space="preserve">Immutable Audit Record</w:t>
            </w:r>
          </w:p>
        </w:tc>
        <w:tc>
          <w:tcPr>
            <w:tcW w:type="dxa" w:w="2600"/>
            <w:shd/>
            <w:vAlign w:val="top"/>
          </w:tcPr>
          <w:p>
            <w:pPr>
              <w:spacing w:after="80" w:before="80"/>
              <w:ind w:left="100"/>
            </w:pPr>
            <w:r>
              <w:rPr>
                <w:b w:val="false"/>
                <w:bCs w:val="false"/>
                <w:color w:val="0D1B2A"/>
                <w:sz w:val="18"/>
                <w:szCs w:val="18"/>
              </w:rPr>
              <w:t xml:space="preserve">audit.writer (SQLite append-only)</w:t>
            </w:r>
          </w:p>
        </w:tc>
        <w:tc>
          <w:tcPr>
            <w:tcW w:type="dxa" w:w="1400"/>
            <w:shd/>
            <w:vAlign w:val="top"/>
          </w:tcPr>
          <w:p>
            <w:pPr>
              <w:spacing w:after="80" w:before="80"/>
              <w:ind w:left="100"/>
            </w:pPr>
            <w:r>
              <w:rPr>
                <w:b w:val="false"/>
                <w:bCs w:val="false"/>
                <w:color w:val="0D1B2A"/>
                <w:sz w:val="18"/>
                <w:szCs w:val="18"/>
              </w:rPr>
              <w:t xml:space="preserve">TC-AUD-01</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FR-AUD-02</w:t>
            </w:r>
          </w:p>
        </w:tc>
        <w:tc>
          <w:tcPr>
            <w:tcW w:type="dxa" w:w="2400"/>
            <w:shd w:color="F4F6F9" w:val="clear"/>
            <w:vAlign w:val="top"/>
          </w:tcPr>
          <w:p>
            <w:pPr>
              <w:spacing w:after="80" w:before="80"/>
              <w:ind w:left="100"/>
            </w:pPr>
            <w:r>
              <w:rPr>
                <w:b w:val="false"/>
                <w:bCs w:val="false"/>
                <w:color w:val="0D1B2A"/>
                <w:sz w:val="18"/>
                <w:szCs w:val="18"/>
              </w:rPr>
              <w:t xml:space="preserve">Cryptographic Audit Integrity</w:t>
            </w:r>
          </w:p>
        </w:tc>
        <w:tc>
          <w:tcPr>
            <w:tcW w:type="dxa" w:w="2600"/>
            <w:shd w:color="F4F6F9" w:val="clear"/>
            <w:vAlign w:val="top"/>
          </w:tcPr>
          <w:p>
            <w:pPr>
              <w:spacing w:after="80" w:before="80"/>
              <w:ind w:left="100"/>
            </w:pPr>
            <w:r>
              <w:rPr>
                <w:b w:val="false"/>
                <w:bCs w:val="false"/>
                <w:color w:val="0D1B2A"/>
                <w:sz w:val="18"/>
                <w:szCs w:val="18"/>
              </w:rPr>
              <w:t xml:space="preserve">audit.hmac_signer</w:t>
            </w:r>
          </w:p>
        </w:tc>
        <w:tc>
          <w:tcPr>
            <w:tcW w:type="dxa" w:w="1400"/>
            <w:shd w:color="F4F6F9" w:val="clear"/>
            <w:vAlign w:val="top"/>
          </w:tcPr>
          <w:p>
            <w:pPr>
              <w:spacing w:after="80" w:before="80"/>
              <w:ind w:left="100"/>
            </w:pPr>
            <w:r>
              <w:rPr>
                <w:b w:val="false"/>
                <w:bCs w:val="false"/>
                <w:color w:val="0D1B2A"/>
                <w:sz w:val="18"/>
                <w:szCs w:val="18"/>
              </w:rPr>
              <w:t xml:space="preserve">TC-AUD-02</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FR-AUD-03</w:t>
            </w:r>
          </w:p>
        </w:tc>
        <w:tc>
          <w:tcPr>
            <w:tcW w:type="dxa" w:w="2400"/>
            <w:shd/>
            <w:vAlign w:val="top"/>
          </w:tcPr>
          <w:p>
            <w:pPr>
              <w:spacing w:after="80" w:before="80"/>
              <w:ind w:left="100"/>
            </w:pPr>
            <w:r>
              <w:rPr>
                <w:b w:val="false"/>
                <w:bCs w:val="false"/>
                <w:color w:val="0D1B2A"/>
                <w:sz w:val="18"/>
                <w:szCs w:val="18"/>
              </w:rPr>
              <w:t xml:space="preserve">Audit Log Viewer</w:t>
            </w:r>
          </w:p>
        </w:tc>
        <w:tc>
          <w:tcPr>
            <w:tcW w:type="dxa" w:w="2600"/>
            <w:shd/>
            <w:vAlign w:val="top"/>
          </w:tcPr>
          <w:p>
            <w:pPr>
              <w:spacing w:after="80" w:before="80"/>
              <w:ind w:left="100"/>
            </w:pPr>
            <w:r>
              <w:rPr>
                <w:b w:val="false"/>
                <w:bCs w:val="false"/>
                <w:color w:val="0D1B2A"/>
                <w:sz w:val="18"/>
                <w:szCs w:val="18"/>
              </w:rPr>
              <w:t xml:space="preserve">ui.components.AuditViewer</w:t>
            </w:r>
          </w:p>
        </w:tc>
        <w:tc>
          <w:tcPr>
            <w:tcW w:type="dxa" w:w="1400"/>
            <w:shd/>
            <w:vAlign w:val="top"/>
          </w:tcPr>
          <w:p>
            <w:pPr>
              <w:spacing w:after="80" w:before="80"/>
              <w:ind w:left="100"/>
            </w:pPr>
            <w:r>
              <w:rPr>
                <w:b w:val="false"/>
                <w:bCs w:val="false"/>
                <w:color w:val="0D1B2A"/>
                <w:sz w:val="18"/>
                <w:szCs w:val="18"/>
              </w:rPr>
              <w:t xml:space="preserve">TC-AUD-03</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FR-AUD-04</w:t>
            </w:r>
          </w:p>
        </w:tc>
        <w:tc>
          <w:tcPr>
            <w:tcW w:type="dxa" w:w="2400"/>
            <w:shd w:color="F4F6F9" w:val="clear"/>
            <w:vAlign w:val="top"/>
          </w:tcPr>
          <w:p>
            <w:pPr>
              <w:spacing w:after="80" w:before="80"/>
              <w:ind w:left="100"/>
            </w:pPr>
            <w:r>
              <w:rPr>
                <w:b w:val="false"/>
                <w:bCs w:val="false"/>
                <w:color w:val="0D1B2A"/>
                <w:sz w:val="18"/>
                <w:szCs w:val="18"/>
              </w:rPr>
              <w:t xml:space="preserve">Audit Archival</w:t>
            </w:r>
          </w:p>
        </w:tc>
        <w:tc>
          <w:tcPr>
            <w:tcW w:type="dxa" w:w="2600"/>
            <w:shd w:color="F4F6F9" w:val="clear"/>
            <w:vAlign w:val="top"/>
          </w:tcPr>
          <w:p>
            <w:pPr>
              <w:spacing w:after="80" w:before="80"/>
              <w:ind w:left="100"/>
            </w:pPr>
            <w:r>
              <w:rPr>
                <w:b w:val="false"/>
                <w:bCs w:val="false"/>
                <w:color w:val="0D1B2A"/>
                <w:sz w:val="18"/>
                <w:szCs w:val="18"/>
              </w:rPr>
              <w:t xml:space="preserve">audit.archiver (scheduled)</w:t>
            </w:r>
          </w:p>
        </w:tc>
        <w:tc>
          <w:tcPr>
            <w:tcW w:type="dxa" w:w="1400"/>
            <w:shd w:color="F4F6F9" w:val="clear"/>
            <w:vAlign w:val="top"/>
          </w:tcPr>
          <w:p>
            <w:pPr>
              <w:spacing w:after="80" w:before="80"/>
              <w:ind w:left="100"/>
            </w:pPr>
            <w:r>
              <w:rPr>
                <w:b w:val="false"/>
                <w:bCs w:val="false"/>
                <w:color w:val="0D1B2A"/>
                <w:sz w:val="18"/>
                <w:szCs w:val="18"/>
              </w:rPr>
              <w:t xml:space="preserve">TC-AUD-04</w:t>
            </w:r>
          </w:p>
        </w:tc>
        <w:tc>
          <w:tcPr>
            <w:tcW w:type="dxa" w:w="1200"/>
            <w:shd w:color="F4F6F9" w:val="clear"/>
            <w:vAlign w:val="top"/>
          </w:tcPr>
          <w:p>
            <w:pPr>
              <w:spacing w:after="80" w:before="80"/>
              <w:ind w:left="100"/>
            </w:pPr>
            <w:r>
              <w:rPr>
                <w:b w:val="false"/>
                <w:bCs w:val="false"/>
                <w:color w:val="0D1B2A"/>
                <w:sz w:val="18"/>
                <w:szCs w:val="18"/>
              </w:rPr>
              <w:t xml:space="preserve">Should Have</w:t>
            </w:r>
          </w:p>
        </w:tc>
      </w:tr>
      <w:tr>
        <w:trPr>
          <w:tblHeader w:val="false"/>
        </w:trPr>
        <w:tc>
          <w:tcPr>
            <w:tcW w:type="dxa" w:w="1400"/>
            <w:shd/>
            <w:vAlign w:val="top"/>
          </w:tcPr>
          <w:p>
            <w:pPr>
              <w:spacing w:after="80" w:before="80"/>
              <w:ind w:left="100"/>
            </w:pPr>
            <w:r>
              <w:rPr>
                <w:b w:val="false"/>
                <w:bCs w:val="false"/>
                <w:color w:val="0D1B2A"/>
                <w:sz w:val="18"/>
                <w:szCs w:val="18"/>
              </w:rPr>
              <w:t xml:space="preserve">FR-BLK-01</w:t>
            </w:r>
          </w:p>
        </w:tc>
        <w:tc>
          <w:tcPr>
            <w:tcW w:type="dxa" w:w="2400"/>
            <w:shd/>
            <w:vAlign w:val="top"/>
          </w:tcPr>
          <w:p>
            <w:pPr>
              <w:spacing w:after="80" w:before="80"/>
              <w:ind w:left="100"/>
            </w:pPr>
            <w:r>
              <w:rPr>
                <w:b w:val="false"/>
                <w:bCs w:val="false"/>
                <w:color w:val="0D1B2A"/>
                <w:sz w:val="18"/>
                <w:szCs w:val="18"/>
              </w:rPr>
              <w:t xml:space="preserve">Watchlist Storage Architecture</w:t>
            </w:r>
          </w:p>
        </w:tc>
        <w:tc>
          <w:tcPr>
            <w:tcW w:type="dxa" w:w="2600"/>
            <w:shd/>
            <w:vAlign w:val="top"/>
          </w:tcPr>
          <w:p>
            <w:pPr>
              <w:spacing w:after="80" w:before="80"/>
              <w:ind w:left="100"/>
            </w:pPr>
            <w:r>
              <w:rPr>
                <w:b w:val="false"/>
                <w:bCs w:val="false"/>
                <w:color w:val="0D1B2A"/>
                <w:sz w:val="18"/>
                <w:szCs w:val="18"/>
              </w:rPr>
              <w:t xml:space="preserve">watchlist.redis_store + faiss_index</w:t>
            </w:r>
          </w:p>
        </w:tc>
        <w:tc>
          <w:tcPr>
            <w:tcW w:type="dxa" w:w="1400"/>
            <w:shd/>
            <w:vAlign w:val="top"/>
          </w:tcPr>
          <w:p>
            <w:pPr>
              <w:spacing w:after="80" w:before="80"/>
              <w:ind w:left="100"/>
            </w:pPr>
            <w:r>
              <w:rPr>
                <w:b w:val="false"/>
                <w:bCs w:val="false"/>
                <w:color w:val="0D1B2A"/>
                <w:sz w:val="18"/>
                <w:szCs w:val="18"/>
              </w:rPr>
              <w:t xml:space="preserve">TC-BLK-01</w:t>
            </w:r>
          </w:p>
        </w:tc>
        <w:tc>
          <w:tcPr>
            <w:tcW w:type="dxa" w:w="1200"/>
            <w:shd/>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color="F4F6F9" w:val="clear"/>
            <w:vAlign w:val="top"/>
          </w:tcPr>
          <w:p>
            <w:pPr>
              <w:spacing w:after="80" w:before="80"/>
              <w:ind w:left="100"/>
            </w:pPr>
            <w:r>
              <w:rPr>
                <w:b w:val="false"/>
                <w:bCs w:val="false"/>
                <w:color w:val="0D1B2A"/>
                <w:sz w:val="18"/>
                <w:szCs w:val="18"/>
              </w:rPr>
              <w:t xml:space="preserve">FR-BLK-02</w:t>
            </w:r>
          </w:p>
        </w:tc>
        <w:tc>
          <w:tcPr>
            <w:tcW w:type="dxa" w:w="2400"/>
            <w:shd w:color="F4F6F9" w:val="clear"/>
            <w:vAlign w:val="top"/>
          </w:tcPr>
          <w:p>
            <w:pPr>
              <w:spacing w:after="80" w:before="80"/>
              <w:ind w:left="100"/>
            </w:pPr>
            <w:r>
              <w:rPr>
                <w:b w:val="false"/>
                <w:bCs w:val="false"/>
                <w:color w:val="0D1B2A"/>
                <w:sz w:val="18"/>
                <w:szCs w:val="18"/>
              </w:rPr>
              <w:t xml:space="preserve">Encrypted Watchlist Sync</w:t>
            </w:r>
          </w:p>
        </w:tc>
        <w:tc>
          <w:tcPr>
            <w:tcW w:type="dxa" w:w="2600"/>
            <w:shd w:color="F4F6F9" w:val="clear"/>
            <w:vAlign w:val="top"/>
          </w:tcPr>
          <w:p>
            <w:pPr>
              <w:spacing w:after="80" w:before="80"/>
              <w:ind w:left="100"/>
            </w:pPr>
            <w:r>
              <w:rPr>
                <w:b w:val="false"/>
                <w:bCs w:val="false"/>
                <w:color w:val="0D1B2A"/>
                <w:sz w:val="18"/>
                <w:szCs w:val="18"/>
              </w:rPr>
              <w:t xml:space="preserve">watchlist.sync_client (mTLS)</w:t>
            </w:r>
          </w:p>
        </w:tc>
        <w:tc>
          <w:tcPr>
            <w:tcW w:type="dxa" w:w="1400"/>
            <w:shd w:color="F4F6F9" w:val="clear"/>
            <w:vAlign w:val="top"/>
          </w:tcPr>
          <w:p>
            <w:pPr>
              <w:spacing w:after="80" w:before="80"/>
              <w:ind w:left="100"/>
            </w:pPr>
            <w:r>
              <w:rPr>
                <w:b w:val="false"/>
                <w:bCs w:val="false"/>
                <w:color w:val="0D1B2A"/>
                <w:sz w:val="18"/>
                <w:szCs w:val="18"/>
              </w:rPr>
              <w:t xml:space="preserve">TC-BLK-02</w:t>
            </w:r>
          </w:p>
        </w:tc>
        <w:tc>
          <w:tcPr>
            <w:tcW w:type="dxa" w:w="1200"/>
            <w:shd w:color="F4F6F9" w:val="clear"/>
            <w:vAlign w:val="top"/>
          </w:tcPr>
          <w:p>
            <w:pPr>
              <w:spacing w:after="80" w:before="80"/>
              <w:ind w:left="100"/>
            </w:pPr>
            <w:r>
              <w:rPr>
                <w:b w:val="false"/>
                <w:bCs w:val="false"/>
                <w:color w:val="0D1B2A"/>
                <w:sz w:val="18"/>
                <w:szCs w:val="18"/>
              </w:rPr>
              <w:t xml:space="preserve">Must Have</w:t>
            </w:r>
          </w:p>
        </w:tc>
      </w:tr>
      <w:tr>
        <w:trPr>
          <w:tblHeader w:val="false"/>
        </w:trPr>
        <w:tc>
          <w:tcPr>
            <w:tcW w:type="dxa" w:w="1400"/>
            <w:shd/>
            <w:vAlign w:val="top"/>
          </w:tcPr>
          <w:p>
            <w:pPr>
              <w:spacing w:after="80" w:before="80"/>
              <w:ind w:left="100"/>
            </w:pPr>
            <w:r>
              <w:rPr>
                <w:b w:val="false"/>
                <w:bCs w:val="false"/>
                <w:color w:val="0D1B2A"/>
                <w:sz w:val="18"/>
                <w:szCs w:val="18"/>
              </w:rPr>
              <w:t xml:space="preserve">FR-BLK-03</w:t>
            </w:r>
          </w:p>
        </w:tc>
        <w:tc>
          <w:tcPr>
            <w:tcW w:type="dxa" w:w="2400"/>
            <w:shd/>
            <w:vAlign w:val="top"/>
          </w:tcPr>
          <w:p>
            <w:pPr>
              <w:spacing w:after="80" w:before="80"/>
              <w:ind w:left="100"/>
            </w:pPr>
            <w:r>
              <w:rPr>
                <w:b w:val="false"/>
                <w:bCs w:val="false"/>
                <w:color w:val="0D1B2A"/>
                <w:sz w:val="18"/>
                <w:szCs w:val="18"/>
              </w:rPr>
              <w:t xml:space="preserve">Watchlist Admin Interface</w:t>
            </w:r>
          </w:p>
        </w:tc>
        <w:tc>
          <w:tcPr>
            <w:tcW w:type="dxa" w:w="2600"/>
            <w:shd/>
            <w:vAlign w:val="top"/>
          </w:tcPr>
          <w:p>
            <w:pPr>
              <w:spacing w:after="80" w:before="80"/>
              <w:ind w:left="100"/>
            </w:pPr>
            <w:r>
              <w:rPr>
                <w:b w:val="false"/>
                <w:bCs w:val="false"/>
                <w:color w:val="0D1B2A"/>
                <w:sz w:val="18"/>
                <w:szCs w:val="18"/>
              </w:rPr>
              <w:t xml:space="preserve">ui.components.WatchlistAdmin</w:t>
            </w:r>
          </w:p>
        </w:tc>
        <w:tc>
          <w:tcPr>
            <w:tcW w:type="dxa" w:w="1400"/>
            <w:shd/>
            <w:vAlign w:val="top"/>
          </w:tcPr>
          <w:p>
            <w:pPr>
              <w:spacing w:after="80" w:before="80"/>
              <w:ind w:left="100"/>
            </w:pPr>
            <w:r>
              <w:rPr>
                <w:b w:val="false"/>
                <w:bCs w:val="false"/>
                <w:color w:val="0D1B2A"/>
                <w:sz w:val="18"/>
                <w:szCs w:val="18"/>
              </w:rPr>
              <w:t xml:space="preserve">TC-BLK-03</w:t>
            </w:r>
          </w:p>
        </w:tc>
        <w:tc>
          <w:tcPr>
            <w:tcW w:type="dxa" w:w="1200"/>
            <w:shd/>
            <w:vAlign w:val="top"/>
          </w:tcPr>
          <w:p>
            <w:pPr>
              <w:spacing w:after="80" w:before="80"/>
              <w:ind w:left="100"/>
            </w:pPr>
            <w:r>
              <w:rPr>
                <w:b w:val="false"/>
                <w:bCs w:val="false"/>
                <w:color w:val="0D1B2A"/>
                <w:sz w:val="18"/>
                <w:szCs w:val="18"/>
              </w:rPr>
              <w:t xml:space="preserve">Should Have</w:t>
            </w:r>
          </w:p>
        </w:tc>
      </w:tr>
    </w:tbl>
    <w:p>
      <w:pPr>
        <w:spacing w:after="200"/>
      </w:pPr>
    </w:p>
    <w:p>
      <w:r>
        <w:br w:type="page"/>
      </w:r>
    </w:p>
    <w:p>
      <w:pPr>
        <w:pStyle w:val="Heading1"/>
        <w:spacing w:after="200" w:before="560"/>
      </w:pPr>
      <w:r>
        <w:t xml:space="preserve">Appendix B — Glossary of Domain Terms</w:t>
      </w:r>
    </w:p>
    <w:p>
      <w:pPr>
        <w:pBdr>
          <w:bottom w:val="single" w:color="2E86AB" w:sz="8"/>
        </w:pBdr>
        <w:spacing w:after="200" w:before="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color="1B2A4A" w:val="clear"/>
            <w:vAlign w:val="top"/>
          </w:tcPr>
          <w:p>
            <w:pPr>
              <w:spacing w:after="80" w:before="80"/>
              <w:ind w:left="100"/>
            </w:pPr>
            <w:r>
              <w:rPr>
                <w:b/>
                <w:bCs/>
                <w:color w:val="FFFFFF"/>
                <w:sz w:val="18"/>
                <w:szCs w:val="18"/>
              </w:rPr>
              <w:t xml:space="preserve">Term</w:t>
            </w:r>
          </w:p>
        </w:tc>
        <w:tc>
          <w:tcPr>
            <w:tcW w:type="dxa" w:w="7000"/>
            <w:shd w:color="1B2A4A" w:val="clear"/>
            <w:vAlign w:val="top"/>
          </w:tcPr>
          <w:p>
            <w:pPr>
              <w:spacing w:after="80" w:before="80"/>
              <w:ind w:left="100"/>
            </w:pPr>
            <w:r>
              <w:rPr>
                <w:b/>
                <w:bCs/>
                <w:color w:val="FFFFFF"/>
                <w:sz w:val="18"/>
                <w:szCs w:val="18"/>
              </w:rPr>
              <w:t xml:space="preserve">Full Expansion and Definition</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ArcFace</w:t>
            </w:r>
          </w:p>
        </w:tc>
        <w:tc>
          <w:tcPr>
            <w:tcW w:type="dxa" w:w="7000"/>
            <w:shd w:color="F4F6F9" w:val="clear"/>
            <w:vAlign w:val="top"/>
          </w:tcPr>
          <w:p>
            <w:pPr>
              <w:spacing w:after="80" w:before="80"/>
              <w:ind w:left="100"/>
            </w:pPr>
            <w:r>
              <w:rPr>
                <w:b w:val="false"/>
                <w:bCs w:val="false"/>
                <w:color w:val="0D1B2A"/>
                <w:sz w:val="18"/>
                <w:szCs w:val="18"/>
              </w:rPr>
              <w:t xml:space="preserve">Additive Angular Margin Loss for Deep Face Recognition. A face recognition training objective that adds an angular margin penalty to the softmax loss, resulting in embeddings where the angular distance between different identities is maximised. The InsightFace ArcFace R100 model achieves 99.83% on LFW and 97.3% on IJB-C.</w:t>
            </w:r>
          </w:p>
        </w:tc>
      </w:tr>
      <w:tr>
        <w:trPr>
          <w:tblHeader w:val="false"/>
        </w:trPr>
        <w:tc>
          <w:tcPr>
            <w:tcW w:type="dxa" w:w="2000"/>
            <w:shd/>
            <w:vAlign w:val="top"/>
          </w:tcPr>
          <w:p>
            <w:pPr>
              <w:spacing w:after="80" w:before="80"/>
              <w:ind w:left="100"/>
            </w:pPr>
            <w:r>
              <w:rPr>
                <w:b w:val="false"/>
                <w:bCs w:val="false"/>
                <w:color w:val="0D1B2A"/>
                <w:sz w:val="18"/>
                <w:szCs w:val="18"/>
              </w:rPr>
              <w:t xml:space="preserve">Brier Score</w:t>
            </w:r>
          </w:p>
        </w:tc>
        <w:tc>
          <w:tcPr>
            <w:tcW w:type="dxa" w:w="7000"/>
            <w:shd/>
            <w:vAlign w:val="top"/>
          </w:tcPr>
          <w:p>
            <w:pPr>
              <w:spacing w:after="80" w:before="80"/>
              <w:ind w:left="100"/>
            </w:pPr>
            <w:r>
              <w:rPr>
                <w:b w:val="false"/>
                <w:bCs w:val="false"/>
                <w:color w:val="0D1B2A"/>
                <w:sz w:val="18"/>
                <w:szCs w:val="18"/>
              </w:rPr>
              <w:t xml:space="preserve">A proper scoring rule for probability calibration: mean squared error between predicted probabilities and actual outcomes. A perfect model scores 0.0; a random model scores 0.25. Requires ≤ 0.15 in this system (NFR-ACC-05).</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CLAHE</w:t>
            </w:r>
          </w:p>
        </w:tc>
        <w:tc>
          <w:tcPr>
            <w:tcW w:type="dxa" w:w="7000"/>
            <w:shd w:color="F4F6F9" w:val="clear"/>
            <w:vAlign w:val="top"/>
          </w:tcPr>
          <w:p>
            <w:pPr>
              <w:spacing w:after="80" w:before="80"/>
              <w:ind w:left="100"/>
            </w:pPr>
            <w:r>
              <w:rPr>
                <w:b w:val="false"/>
                <w:bCs w:val="false"/>
                <w:color w:val="0D1B2A"/>
                <w:sz w:val="18"/>
                <w:szCs w:val="18"/>
              </w:rPr>
              <w:t xml:space="preserve">Contrast Limited Adaptive Histogram Equalisation. An image processing technique that enhances local contrast while limiting noise amplification. Applied in the pre-processing pipeline to improve OCR accuracy on low-contrast documents.</w:t>
            </w:r>
          </w:p>
        </w:tc>
      </w:tr>
      <w:tr>
        <w:trPr>
          <w:tblHeader w:val="false"/>
        </w:trPr>
        <w:tc>
          <w:tcPr>
            <w:tcW w:type="dxa" w:w="2000"/>
            <w:shd/>
            <w:vAlign w:val="top"/>
          </w:tcPr>
          <w:p>
            <w:pPr>
              <w:spacing w:after="80" w:before="80"/>
              <w:ind w:left="100"/>
            </w:pPr>
            <w:r>
              <w:rPr>
                <w:b w:val="false"/>
                <w:bCs w:val="false"/>
                <w:color w:val="0D1B2A"/>
                <w:sz w:val="18"/>
                <w:szCs w:val="18"/>
              </w:rPr>
              <w:t xml:space="preserve">Cosine Similarity</w:t>
            </w:r>
          </w:p>
        </w:tc>
        <w:tc>
          <w:tcPr>
            <w:tcW w:type="dxa" w:w="7000"/>
            <w:shd/>
            <w:vAlign w:val="top"/>
          </w:tcPr>
          <w:p>
            <w:pPr>
              <w:spacing w:after="80" w:before="80"/>
              <w:ind w:left="100"/>
            </w:pPr>
            <w:r>
              <w:rPr>
                <w:b w:val="false"/>
                <w:bCs w:val="false"/>
                <w:color w:val="0D1B2A"/>
                <w:sz w:val="18"/>
                <w:szCs w:val="18"/>
              </w:rPr>
              <w:t xml:space="preserve">A measure of similarity between two non-zero vectors in an inner product space: cos(θ) = (A·B) / (|A||B|). In face verification, cosine similarity between L2-normalised ArcFace embeddings ranges from -1 (opposite) to 1 (identical). Threshold applied at cosine distance 0.30 (FR-FAC-05).</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DCT</w:t>
            </w:r>
          </w:p>
        </w:tc>
        <w:tc>
          <w:tcPr>
            <w:tcW w:type="dxa" w:w="7000"/>
            <w:shd w:color="F4F6F9" w:val="clear"/>
            <w:vAlign w:val="top"/>
          </w:tcPr>
          <w:p>
            <w:pPr>
              <w:spacing w:after="80" w:before="80"/>
              <w:ind w:left="100"/>
            </w:pPr>
            <w:r>
              <w:rPr>
                <w:b w:val="false"/>
                <w:bCs w:val="false"/>
                <w:color w:val="0D1B2A"/>
                <w:sz w:val="18"/>
                <w:szCs w:val="18"/>
              </w:rPr>
              <w:t xml:space="preserve">Discrete Cosine Transform. A frequency-domain transform that represents a signal as a sum of cosine waves at different frequencies. Block-DCT is used in JPEG compression and in the copy-move forgery detection algorithm (FR-TAM-02), where near-identical DCT coefficient vectors indicate copied image regions.</w:t>
            </w:r>
          </w:p>
        </w:tc>
      </w:tr>
      <w:tr>
        <w:trPr>
          <w:tblHeader w:val="false"/>
        </w:trPr>
        <w:tc>
          <w:tcPr>
            <w:tcW w:type="dxa" w:w="2000"/>
            <w:shd/>
            <w:vAlign w:val="top"/>
          </w:tcPr>
          <w:p>
            <w:pPr>
              <w:spacing w:after="80" w:before="80"/>
              <w:ind w:left="100"/>
            </w:pPr>
            <w:r>
              <w:rPr>
                <w:b w:val="false"/>
                <w:bCs w:val="false"/>
                <w:color w:val="0D1B2A"/>
                <w:sz w:val="18"/>
                <w:szCs w:val="18"/>
              </w:rPr>
              <w:t xml:space="preserve">Dempster-Shafer Theory</w:t>
            </w:r>
          </w:p>
        </w:tc>
        <w:tc>
          <w:tcPr>
            <w:tcW w:type="dxa" w:w="7000"/>
            <w:shd/>
            <w:vAlign w:val="top"/>
          </w:tcPr>
          <w:p>
            <w:pPr>
              <w:spacing w:after="80" w:before="80"/>
              <w:ind w:left="100"/>
            </w:pPr>
            <w:r>
              <w:rPr>
                <w:b w:val="false"/>
                <w:bCs w:val="false"/>
                <w:color w:val="0D1B2A"/>
                <w:sz w:val="18"/>
                <w:szCs w:val="18"/>
              </w:rPr>
              <w:t xml:space="preserve">A mathematical framework for reasoning under uncertainty that generalises Bayesian probability. Each evidence source defines a mass function over a frame of discernment (GENUINE, FAKE, UNKNOWN). Masses are combined using the orthogonal sum (Dempster's rule). The UNKNOWN mass absorbs ignorance — a detector with no relevant signal assigns all mass to UNKNOWN rather than distorting the combined result.</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ELA</w:t>
            </w:r>
          </w:p>
        </w:tc>
        <w:tc>
          <w:tcPr>
            <w:tcW w:type="dxa" w:w="7000"/>
            <w:shd w:color="F4F6F9" w:val="clear"/>
            <w:vAlign w:val="top"/>
          </w:tcPr>
          <w:p>
            <w:pPr>
              <w:spacing w:after="80" w:before="80"/>
              <w:ind w:left="100"/>
            </w:pPr>
            <w:r>
              <w:rPr>
                <w:b w:val="false"/>
                <w:bCs w:val="false"/>
                <w:color w:val="0D1B2A"/>
                <w:sz w:val="18"/>
                <w:szCs w:val="18"/>
              </w:rPr>
              <w:t xml:space="preserve">Error Level Analysis. A JPEG forensics technique that detects areas of an image that were inserted or modified. A JPEG re-saved at a known quality level shows higher error (more change) in regions that were previously saved at a different quality — i.e. regions that were edited and re-compressed. Tampered photo zones in documents typically show a different ELA signal than the original document background.</w:t>
            </w:r>
          </w:p>
        </w:tc>
      </w:tr>
      <w:tr>
        <w:trPr>
          <w:tblHeader w:val="false"/>
        </w:trPr>
        <w:tc>
          <w:tcPr>
            <w:tcW w:type="dxa" w:w="2000"/>
            <w:shd/>
            <w:vAlign w:val="top"/>
          </w:tcPr>
          <w:p>
            <w:pPr>
              <w:spacing w:after="80" w:before="80"/>
              <w:ind w:left="100"/>
            </w:pPr>
            <w:r>
              <w:rPr>
                <w:b w:val="false"/>
                <w:bCs w:val="false"/>
                <w:color w:val="0D1B2A"/>
                <w:sz w:val="18"/>
                <w:szCs w:val="18"/>
              </w:rPr>
              <w:t xml:space="preserve">EXIF</w:t>
            </w:r>
          </w:p>
        </w:tc>
        <w:tc>
          <w:tcPr>
            <w:tcW w:type="dxa" w:w="7000"/>
            <w:shd/>
            <w:vAlign w:val="top"/>
          </w:tcPr>
          <w:p>
            <w:pPr>
              <w:spacing w:after="80" w:before="80"/>
              <w:ind w:left="100"/>
            </w:pPr>
            <w:r>
              <w:rPr>
                <w:b w:val="false"/>
                <w:bCs w:val="false"/>
                <w:color w:val="0D1B2A"/>
                <w:sz w:val="18"/>
                <w:szCs w:val="18"/>
              </w:rPr>
              <w:t xml:space="preserve">Exchangeable Image File Format. A standard for embedding metadata in image files (JPEG, TIFF, PNG). Contains fields such as camera make/model, software used for processing, GPS coordinates, and timestamps. Presence of photo-editing software names or absence of camera metadata in a claimed scanned document is forensically significant (FR-TAM-04).</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FAR</w:t>
            </w:r>
          </w:p>
        </w:tc>
        <w:tc>
          <w:tcPr>
            <w:tcW w:type="dxa" w:w="7000"/>
            <w:shd w:color="F4F6F9" w:val="clear"/>
            <w:vAlign w:val="top"/>
          </w:tcPr>
          <w:p>
            <w:pPr>
              <w:spacing w:after="80" w:before="80"/>
              <w:ind w:left="100"/>
            </w:pPr>
            <w:r>
              <w:rPr>
                <w:b w:val="false"/>
                <w:bCs w:val="false"/>
                <w:color w:val="0D1B2A"/>
                <w:sz w:val="18"/>
                <w:szCs w:val="18"/>
              </w:rPr>
              <w:t xml:space="preserve">False Acceptance Rate. The proportion of impostor verification attempts that are incorrectly accepted as genuine. In face verification, FAR = (false accepts) / (total impostor attempts). Target: ≤ 0.2% at cosine distance threshold 0.30 (NFR-ACC-02).</w:t>
            </w:r>
          </w:p>
        </w:tc>
      </w:tr>
      <w:tr>
        <w:trPr>
          <w:tblHeader w:val="false"/>
        </w:trPr>
        <w:tc>
          <w:tcPr>
            <w:tcW w:type="dxa" w:w="2000"/>
            <w:shd/>
            <w:vAlign w:val="top"/>
          </w:tcPr>
          <w:p>
            <w:pPr>
              <w:spacing w:after="80" w:before="80"/>
              <w:ind w:left="100"/>
            </w:pPr>
            <w:r>
              <w:rPr>
                <w:b w:val="false"/>
                <w:bCs w:val="false"/>
                <w:color w:val="0D1B2A"/>
                <w:sz w:val="18"/>
                <w:szCs w:val="18"/>
              </w:rPr>
              <w:t xml:space="preserve">FAISS</w:t>
            </w:r>
          </w:p>
        </w:tc>
        <w:tc>
          <w:tcPr>
            <w:tcW w:type="dxa" w:w="7000"/>
            <w:shd/>
            <w:vAlign w:val="top"/>
          </w:tcPr>
          <w:p>
            <w:pPr>
              <w:spacing w:after="80" w:before="80"/>
              <w:ind w:left="100"/>
            </w:pPr>
            <w:r>
              <w:rPr>
                <w:b w:val="false"/>
                <w:bCs w:val="false"/>
                <w:color w:val="0D1B2A"/>
                <w:sz w:val="18"/>
                <w:szCs w:val="18"/>
              </w:rPr>
              <w:t xml:space="preserve">Facebook AI Similarity Search. A library for efficient similarity search in high-dimensional vector spaces. Used for approximate nearest-neighbour search of ArcFace face embeddings against the watchlist face index (FR-BLK-01).</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FRR</w:t>
            </w:r>
          </w:p>
        </w:tc>
        <w:tc>
          <w:tcPr>
            <w:tcW w:type="dxa" w:w="7000"/>
            <w:shd w:color="F4F6F9" w:val="clear"/>
            <w:vAlign w:val="top"/>
          </w:tcPr>
          <w:p>
            <w:pPr>
              <w:spacing w:after="80" w:before="80"/>
              <w:ind w:left="100"/>
            </w:pPr>
            <w:r>
              <w:rPr>
                <w:b w:val="false"/>
                <w:bCs w:val="false"/>
                <w:color w:val="0D1B2A"/>
                <w:sz w:val="18"/>
                <w:szCs w:val="18"/>
              </w:rPr>
              <w:t xml:space="preserve">False Rejection Rate. The proportion of genuine verification attempts that are incorrectly rejected. FRR = (false rejects) / (total genuine attempts). Target: ≤ 3.0% at cosine distance threshold 0.30 (NFR-ACC-02). FRR and FAR trade off against each other; the threshold determines the operating point.</w:t>
            </w:r>
          </w:p>
        </w:tc>
      </w:tr>
      <w:tr>
        <w:trPr>
          <w:tblHeader w:val="false"/>
        </w:trPr>
        <w:tc>
          <w:tcPr>
            <w:tcW w:type="dxa" w:w="2000"/>
            <w:shd/>
            <w:vAlign w:val="top"/>
          </w:tcPr>
          <w:p>
            <w:pPr>
              <w:spacing w:after="80" w:before="80"/>
              <w:ind w:left="100"/>
            </w:pPr>
            <w:r>
              <w:rPr>
                <w:b w:val="false"/>
                <w:bCs w:val="false"/>
                <w:color w:val="0D1B2A"/>
                <w:sz w:val="18"/>
                <w:szCs w:val="18"/>
              </w:rPr>
              <w:t xml:space="preserve">HMAC</w:t>
            </w:r>
          </w:p>
        </w:tc>
        <w:tc>
          <w:tcPr>
            <w:tcW w:type="dxa" w:w="7000"/>
            <w:shd/>
            <w:vAlign w:val="top"/>
          </w:tcPr>
          <w:p>
            <w:pPr>
              <w:spacing w:after="80" w:before="80"/>
              <w:ind w:left="100"/>
            </w:pPr>
            <w:r>
              <w:rPr>
                <w:b w:val="false"/>
                <w:bCs w:val="false"/>
                <w:color w:val="0D1B2A"/>
                <w:sz w:val="18"/>
                <w:szCs w:val="18"/>
              </w:rPr>
              <w:t xml:space="preserve">Hash-based Message Authentication Code. A cryptographic construct using a secret key and a hash function (here, SHA-256) to produce a message authentication tag. Used in the audit trail (FR-AUD-02) to detect any post-hoc modification of audit records.</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ICAO 9303</w:t>
            </w:r>
          </w:p>
        </w:tc>
        <w:tc>
          <w:tcPr>
            <w:tcW w:type="dxa" w:w="7000"/>
            <w:shd w:color="F4F6F9" w:val="clear"/>
            <w:vAlign w:val="top"/>
          </w:tcPr>
          <w:p>
            <w:pPr>
              <w:spacing w:after="80" w:before="80"/>
              <w:ind w:left="100"/>
            </w:pPr>
            <w:r>
              <w:rPr>
                <w:b w:val="false"/>
                <w:bCs w:val="false"/>
                <w:color w:val="0D1B2A"/>
                <w:sz w:val="18"/>
                <w:szCs w:val="18"/>
              </w:rPr>
              <w:t xml:space="preserve">International Civil Aviation Organisation Document 9303 — the international standard governing machine readable travel documents. Defines the MRZ format (TD1, TD2, TD3 layouts), the character set (OCR-B), the check digit algorithm, and the data element coding for passports, visas, and travel cards. Eighth Edition (2021) is the current revision.</w:t>
            </w:r>
          </w:p>
        </w:tc>
      </w:tr>
      <w:tr>
        <w:trPr>
          <w:tblHeader w:val="false"/>
        </w:trPr>
        <w:tc>
          <w:tcPr>
            <w:tcW w:type="dxa" w:w="2000"/>
            <w:shd/>
            <w:vAlign w:val="top"/>
          </w:tcPr>
          <w:p>
            <w:pPr>
              <w:spacing w:after="80" w:before="80"/>
              <w:ind w:left="100"/>
            </w:pPr>
            <w:r>
              <w:rPr>
                <w:b w:val="false"/>
                <w:bCs w:val="false"/>
                <w:color w:val="0D1B2A"/>
                <w:sz w:val="18"/>
                <w:szCs w:val="18"/>
              </w:rPr>
              <w:t xml:space="preserve">IJB-C</w:t>
            </w:r>
          </w:p>
        </w:tc>
        <w:tc>
          <w:tcPr>
            <w:tcW w:type="dxa" w:w="7000"/>
            <w:shd/>
            <w:vAlign w:val="top"/>
          </w:tcPr>
          <w:p>
            <w:pPr>
              <w:spacing w:after="80" w:before="80"/>
              <w:ind w:left="100"/>
            </w:pPr>
            <w:r>
              <w:rPr>
                <w:b w:val="false"/>
                <w:bCs w:val="false"/>
                <w:color w:val="0D1B2A"/>
                <w:sz w:val="18"/>
                <w:szCs w:val="18"/>
              </w:rPr>
              <w:t xml:space="preserve">IARPA Janus Benchmark C. A challenging face recognition benchmark comprising 31,334 images and 11,876 videos of 3,531 subjects, including significant variations in pose, illumination, and occlusion. Used as the evaluation benchmark for ArcFace acceptance criteria (NFR-ACC-02).</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LFW</w:t>
            </w:r>
          </w:p>
        </w:tc>
        <w:tc>
          <w:tcPr>
            <w:tcW w:type="dxa" w:w="7000"/>
            <w:shd w:color="F4F6F9" w:val="clear"/>
            <w:vAlign w:val="top"/>
          </w:tcPr>
          <w:p>
            <w:pPr>
              <w:spacing w:after="80" w:before="80"/>
              <w:ind w:left="100"/>
            </w:pPr>
            <w:r>
              <w:rPr>
                <w:b w:val="false"/>
                <w:bCs w:val="false"/>
                <w:color w:val="0D1B2A"/>
                <w:sz w:val="18"/>
                <w:szCs w:val="18"/>
              </w:rPr>
              <w:t xml:space="preserve">Labeled Faces in the Wild. A standard face recognition benchmark of 13,233 images of 5,749 people. Used as a lighter evaluation benchmark for ArcFace embedding quality (FR-FAC-04).</w:t>
            </w:r>
          </w:p>
        </w:tc>
      </w:tr>
      <w:tr>
        <w:trPr>
          <w:tblHeader w:val="false"/>
        </w:trPr>
        <w:tc>
          <w:tcPr>
            <w:tcW w:type="dxa" w:w="2000"/>
            <w:shd/>
            <w:vAlign w:val="top"/>
          </w:tcPr>
          <w:p>
            <w:pPr>
              <w:spacing w:after="80" w:before="80"/>
              <w:ind w:left="100"/>
            </w:pPr>
            <w:r>
              <w:rPr>
                <w:b w:val="false"/>
                <w:bCs w:val="false"/>
                <w:color w:val="0D1B2A"/>
                <w:sz w:val="18"/>
                <w:szCs w:val="18"/>
              </w:rPr>
              <w:t xml:space="preserve">MRZ</w:t>
            </w:r>
          </w:p>
        </w:tc>
        <w:tc>
          <w:tcPr>
            <w:tcW w:type="dxa" w:w="7000"/>
            <w:shd/>
            <w:vAlign w:val="top"/>
          </w:tcPr>
          <w:p>
            <w:pPr>
              <w:spacing w:after="80" w:before="80"/>
              <w:ind w:left="100"/>
            </w:pPr>
            <w:r>
              <w:rPr>
                <w:b w:val="false"/>
                <w:bCs w:val="false"/>
                <w:color w:val="0D1B2A"/>
                <w:sz w:val="18"/>
                <w:szCs w:val="18"/>
              </w:rPr>
              <w:t xml:space="preserve">Machine Readable Zone. The standardised optical character recognition (OCR-B font) text zone at the bottom of machine-readable travel documents. Contains encoded identity fields and check digits per ICAO 9303. In a TD3 passport, the MRZ consists of two lines of 44 characters each.</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MVSS-Net</w:t>
            </w:r>
          </w:p>
        </w:tc>
        <w:tc>
          <w:tcPr>
            <w:tcW w:type="dxa" w:w="7000"/>
            <w:shd w:color="F4F6F9" w:val="clear"/>
            <w:vAlign w:val="top"/>
          </w:tcPr>
          <w:p>
            <w:pPr>
              <w:spacing w:after="80" w:before="80"/>
              <w:ind w:left="100"/>
            </w:pPr>
            <w:r>
              <w:rPr>
                <w:b w:val="false"/>
                <w:bCs w:val="false"/>
                <w:color w:val="0D1B2A"/>
                <w:sz w:val="18"/>
                <w:szCs w:val="18"/>
              </w:rPr>
              <w:t xml:space="preserve">Multi-View Self-Supervised Network. A deep learning model published in IEEE Transactions on Information Forensics and Security (2022) that detects and localises image manipulation at pixel level by combining edge-supervised view and segment-supervised view learning. Trained on NIST MFC2019 and other manipulation datasets.</w:t>
            </w:r>
          </w:p>
        </w:tc>
      </w:tr>
      <w:tr>
        <w:trPr>
          <w:tblHeader w:val="false"/>
        </w:trPr>
        <w:tc>
          <w:tcPr>
            <w:tcW w:type="dxa" w:w="2000"/>
            <w:shd/>
            <w:vAlign w:val="top"/>
          </w:tcPr>
          <w:p>
            <w:pPr>
              <w:spacing w:after="80" w:before="80"/>
              <w:ind w:left="100"/>
            </w:pPr>
            <w:r>
              <w:rPr>
                <w:b w:val="false"/>
                <w:bCs w:val="false"/>
                <w:color w:val="0D1B2A"/>
                <w:sz w:val="18"/>
                <w:szCs w:val="18"/>
              </w:rPr>
              <w:t xml:space="preserve">ONNX</w:t>
            </w:r>
          </w:p>
        </w:tc>
        <w:tc>
          <w:tcPr>
            <w:tcW w:type="dxa" w:w="7000"/>
            <w:shd/>
            <w:vAlign w:val="top"/>
          </w:tcPr>
          <w:p>
            <w:pPr>
              <w:spacing w:after="80" w:before="80"/>
              <w:ind w:left="100"/>
            </w:pPr>
            <w:r>
              <w:rPr>
                <w:b w:val="false"/>
                <w:bCs w:val="false"/>
                <w:color w:val="0D1B2A"/>
                <w:sz w:val="18"/>
                <w:szCs w:val="18"/>
              </w:rPr>
              <w:t xml:space="preserve">Open Neural Network Exchange. A cross-platform format for representing AI models that allows models trained in one framework (PyTorch, TensorFlow) to be run in optimised runtime environments (ONNX Runtime). Used in this system for on-device, CPU-optimised inference of ArcFace and Silent-Face models.</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Platt Scaling</w:t>
            </w:r>
          </w:p>
        </w:tc>
        <w:tc>
          <w:tcPr>
            <w:tcW w:type="dxa" w:w="7000"/>
            <w:shd w:color="F4F6F9" w:val="clear"/>
            <w:vAlign w:val="top"/>
          </w:tcPr>
          <w:p>
            <w:pPr>
              <w:spacing w:after="80" w:before="80"/>
              <w:ind w:left="100"/>
            </w:pPr>
            <w:r>
              <w:rPr>
                <w:b w:val="false"/>
                <w:bCs w:val="false"/>
                <w:color w:val="0D1B2A"/>
                <w:sz w:val="18"/>
                <w:szCs w:val="18"/>
              </w:rPr>
              <w:t xml:space="preserve">A post-hoc probability calibration method that fits a sigmoid function (f(x) = 1 / (1 + exp(Ax + B))) to the raw classifier output, transforming it into a calibrated probability. Parameters A and B are fitted by maximum likelihood on a calibration dataset. Produces risk scores that accurately reflect the true probability of fraud.</w:t>
            </w:r>
          </w:p>
        </w:tc>
      </w:tr>
      <w:tr>
        <w:trPr>
          <w:tblHeader w:val="false"/>
        </w:trPr>
        <w:tc>
          <w:tcPr>
            <w:tcW w:type="dxa" w:w="2000"/>
            <w:shd/>
            <w:vAlign w:val="top"/>
          </w:tcPr>
          <w:p>
            <w:pPr>
              <w:spacing w:after="80" w:before="80"/>
              <w:ind w:left="100"/>
            </w:pPr>
            <w:r>
              <w:rPr>
                <w:b w:val="false"/>
                <w:bCs w:val="false"/>
                <w:color w:val="0D1B2A"/>
                <w:sz w:val="18"/>
                <w:szCs w:val="18"/>
              </w:rPr>
              <w:t xml:space="preserve">PRNU</w:t>
            </w:r>
          </w:p>
        </w:tc>
        <w:tc>
          <w:tcPr>
            <w:tcW w:type="dxa" w:w="7000"/>
            <w:shd/>
            <w:vAlign w:val="top"/>
          </w:tcPr>
          <w:p>
            <w:pPr>
              <w:spacing w:after="80" w:before="80"/>
              <w:ind w:left="100"/>
            </w:pPr>
            <w:r>
              <w:rPr>
                <w:b w:val="false"/>
                <w:bCs w:val="false"/>
                <w:color w:val="0D1B2A"/>
                <w:sz w:val="18"/>
                <w:szCs w:val="18"/>
              </w:rPr>
              <w:t xml:space="preserve">Photo Response Non-Uniformity. A camera sensor characteristic (pixel-level sensitivity variation) that acts as a device fingerprint. Images captured by the same camera share a consistent PRNU pattern. Documents claimed to be scanned on a standard scanner but showing a PRNU pattern inconsistent with any known scanner model may indicate manipulation. (Listed for reference; not implemented in v1.0.)</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RetinaFace</w:t>
            </w:r>
          </w:p>
        </w:tc>
        <w:tc>
          <w:tcPr>
            <w:tcW w:type="dxa" w:w="7000"/>
            <w:shd w:color="F4F6F9" w:val="clear"/>
            <w:vAlign w:val="top"/>
          </w:tcPr>
          <w:p>
            <w:pPr>
              <w:spacing w:after="80" w:before="80"/>
              <w:ind w:left="100"/>
            </w:pPr>
            <w:r>
              <w:rPr>
                <w:b w:val="false"/>
                <w:bCs w:val="false"/>
                <w:color w:val="0D1B2A"/>
                <w:sz w:val="18"/>
                <w:szCs w:val="18"/>
              </w:rPr>
              <w:t xml:space="preserve">A single-stage face detection network that uses a Feature Pyramid Network with multi-task learning to predict face bounding boxes, five-point facial landmarks, and 3D face depth simultaneously. Significantly outperforms MTCNN and Haar cascade detectors on faces at large angles and partial occlusion.</w:t>
            </w:r>
          </w:p>
        </w:tc>
      </w:tr>
      <w:tr>
        <w:trPr>
          <w:tblHeader w:val="false"/>
        </w:trPr>
        <w:tc>
          <w:tcPr>
            <w:tcW w:type="dxa" w:w="2000"/>
            <w:shd/>
            <w:vAlign w:val="top"/>
          </w:tcPr>
          <w:p>
            <w:pPr>
              <w:spacing w:after="80" w:before="80"/>
              <w:ind w:left="100"/>
            </w:pPr>
            <w:r>
              <w:rPr>
                <w:b w:val="false"/>
                <w:bCs w:val="false"/>
                <w:color w:val="0D1B2A"/>
                <w:sz w:val="18"/>
                <w:szCs w:val="18"/>
              </w:rPr>
              <w:t xml:space="preserve">SHAP</w:t>
            </w:r>
          </w:p>
        </w:tc>
        <w:tc>
          <w:tcPr>
            <w:tcW w:type="dxa" w:w="7000"/>
            <w:shd/>
            <w:vAlign w:val="top"/>
          </w:tcPr>
          <w:p>
            <w:pPr>
              <w:spacing w:after="80" w:before="80"/>
              <w:ind w:left="100"/>
            </w:pPr>
            <w:r>
              <w:rPr>
                <w:b w:val="false"/>
                <w:bCs w:val="false"/>
                <w:color w:val="0D1B2A"/>
                <w:sz w:val="18"/>
                <w:szCs w:val="18"/>
              </w:rPr>
              <w:t xml:space="preserve">SHapley Additive exPlanations. A game-theoretic approach to explaining model output by computing each feature's contribution as the Shapley value from cooperative game theory. In this system, SHAP attribution decomposes the risk score into six additive module contributions (FR-RSK-04).</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Silent-Face</w:t>
            </w:r>
          </w:p>
        </w:tc>
        <w:tc>
          <w:tcPr>
            <w:tcW w:type="dxa" w:w="7000"/>
            <w:shd w:color="F4F6F9" w:val="clear"/>
            <w:vAlign w:val="top"/>
          </w:tcPr>
          <w:p>
            <w:pPr>
              <w:spacing w:after="80" w:before="80"/>
              <w:ind w:left="100"/>
            </w:pPr>
            <w:r>
              <w:rPr>
                <w:b w:val="false"/>
                <w:bCs w:val="false"/>
                <w:color w:val="0D1B2A"/>
                <w:sz w:val="18"/>
                <w:szCs w:val="18"/>
              </w:rPr>
              <w:t xml:space="preserve">A face anti-spoofing model (MiniFASNet) that detects presentation attacks (printed photos, screen replays, 3D masks) without requiring the subject to perform any active challenge (hence "silent"). Uses multi-scale texture analysis. Distributed as ONNX weights; runs on CPU in ≤ 100 ms.</w:t>
            </w:r>
          </w:p>
        </w:tc>
      </w:tr>
      <w:tr>
        <w:trPr>
          <w:tblHeader w:val="false"/>
        </w:trPr>
        <w:tc>
          <w:tcPr>
            <w:tcW w:type="dxa" w:w="2000"/>
            <w:shd/>
            <w:vAlign w:val="top"/>
          </w:tcPr>
          <w:p>
            <w:pPr>
              <w:spacing w:after="80" w:before="80"/>
              <w:ind w:left="100"/>
            </w:pPr>
            <w:r>
              <w:rPr>
                <w:b w:val="false"/>
                <w:bCs w:val="false"/>
                <w:color w:val="0D1B2A"/>
                <w:sz w:val="18"/>
                <w:szCs w:val="18"/>
              </w:rPr>
              <w:t xml:space="preserve">SSB</w:t>
            </w:r>
          </w:p>
        </w:tc>
        <w:tc>
          <w:tcPr>
            <w:tcW w:type="dxa" w:w="7000"/>
            <w:shd/>
            <w:vAlign w:val="top"/>
          </w:tcPr>
          <w:p>
            <w:pPr>
              <w:spacing w:after="80" w:before="80"/>
              <w:ind w:left="100"/>
            </w:pPr>
            <w:r>
              <w:rPr>
                <w:b w:val="false"/>
                <w:bCs w:val="false"/>
                <w:color w:val="0D1B2A"/>
                <w:sz w:val="18"/>
                <w:szCs w:val="18"/>
              </w:rPr>
              <w:t xml:space="preserve">Sashastra Seema Bal. India's border guarding force responsible for guarding the Nepal and Bhutan borders (approximately 2,455 km). Operates under the Ministry of Home Affairs. The primary client and deployment organisation for the AIDSS.</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TD1 / TD2 / TD3</w:t>
            </w:r>
          </w:p>
        </w:tc>
        <w:tc>
          <w:tcPr>
            <w:tcW w:type="dxa" w:w="7000"/>
            <w:shd w:color="F4F6F9" w:val="clear"/>
            <w:vAlign w:val="top"/>
          </w:tcPr>
          <w:p>
            <w:pPr>
              <w:spacing w:after="80" w:before="80"/>
              <w:ind w:left="100"/>
            </w:pPr>
            <w:r>
              <w:rPr>
                <w:b w:val="false"/>
                <w:bCs w:val="false"/>
                <w:color w:val="0D1B2A"/>
                <w:sz w:val="18"/>
                <w:szCs w:val="18"/>
              </w:rPr>
              <w:t xml:space="preserve">Travel Document size classifications per ICAO 9303: TD1 (ID card size, 85.6 × 53.98 mm, 3-line MRZ of 30 characters each); TD2 (passport-card size, 105 × 74 mm, 2-line MRZ of 36 characters each); TD3 (full passport size, 125 × 88 mm, 2-line MRZ of 44 characters each).</w:t>
            </w:r>
          </w:p>
        </w:tc>
      </w:tr>
      <w:tr>
        <w:trPr>
          <w:tblHeader w:val="false"/>
        </w:trPr>
        <w:tc>
          <w:tcPr>
            <w:tcW w:type="dxa" w:w="2000"/>
            <w:shd/>
            <w:vAlign w:val="top"/>
          </w:tcPr>
          <w:p>
            <w:pPr>
              <w:spacing w:after="80" w:before="80"/>
              <w:ind w:left="100"/>
            </w:pPr>
            <w:r>
              <w:rPr>
                <w:b w:val="false"/>
                <w:bCs w:val="false"/>
                <w:color w:val="0D1B2A"/>
                <w:sz w:val="18"/>
                <w:szCs w:val="18"/>
              </w:rPr>
              <w:t xml:space="preserve">Verhoeff Algorithm</w:t>
            </w:r>
          </w:p>
        </w:tc>
        <w:tc>
          <w:tcPr>
            <w:tcW w:type="dxa" w:w="7000"/>
            <w:shd/>
            <w:vAlign w:val="top"/>
          </w:tcPr>
          <w:p>
            <w:pPr>
              <w:spacing w:after="80" w:before="80"/>
              <w:ind w:left="100"/>
            </w:pPr>
            <w:r>
              <w:rPr>
                <w:b w:val="false"/>
                <w:bCs w:val="false"/>
                <w:color w:val="0D1B2A"/>
                <w:sz w:val="18"/>
                <w:szCs w:val="18"/>
              </w:rPr>
              <w:t xml:space="preserve">A checksum algorithm that detects all single-digit errors and all adjacent transposition errors, using a multiplication table based on the dihedral group D5. Applied to validate Indian Aadhaar 12-digit UIDs (FR-OCR-04).</w:t>
            </w:r>
          </w:p>
        </w:tc>
      </w:tr>
      <w:tr>
        <w:trPr>
          <w:tblHeader w:val="false"/>
        </w:trPr>
        <w:tc>
          <w:tcPr>
            <w:tcW w:type="dxa" w:w="2000"/>
            <w:shd w:color="F4F6F9" w:val="clear"/>
            <w:vAlign w:val="top"/>
          </w:tcPr>
          <w:p>
            <w:pPr>
              <w:spacing w:after="80" w:before="80"/>
              <w:ind w:left="100"/>
            </w:pPr>
            <w:r>
              <w:rPr>
                <w:b w:val="false"/>
                <w:bCs w:val="false"/>
                <w:color w:val="0D1B2A"/>
                <w:sz w:val="18"/>
                <w:szCs w:val="18"/>
              </w:rPr>
              <w:t xml:space="preserve">VIZ</w:t>
            </w:r>
          </w:p>
        </w:tc>
        <w:tc>
          <w:tcPr>
            <w:tcW w:type="dxa" w:w="7000"/>
            <w:shd w:color="F4F6F9" w:val="clear"/>
            <w:vAlign w:val="top"/>
          </w:tcPr>
          <w:p>
            <w:pPr>
              <w:spacing w:after="80" w:before="80"/>
              <w:ind w:left="100"/>
            </w:pPr>
            <w:r>
              <w:rPr>
                <w:b w:val="false"/>
                <w:bCs w:val="false"/>
                <w:color w:val="0D1B2A"/>
                <w:sz w:val="18"/>
                <w:szCs w:val="18"/>
              </w:rPr>
              <w:t xml:space="preserve">Visual Inspection Zone. The upper portion of a machine-readable travel document containing the human-readable fields — name, photo, dates, nationality, etc. — as printed or engraved on the document. Distinguished from the MRZ (lower zone). Cross-validation between VIZ and MRZ is a primary tamper detection signal (FR-OCR-09).</w:t>
            </w:r>
          </w:p>
        </w:tc>
      </w:tr>
      <w:tr>
        <w:trPr>
          <w:tblHeader w:val="false"/>
        </w:trPr>
        <w:tc>
          <w:tcPr>
            <w:tcW w:type="dxa" w:w="2000"/>
            <w:shd/>
            <w:vAlign w:val="top"/>
          </w:tcPr>
          <w:p>
            <w:pPr>
              <w:spacing w:after="80" w:before="80"/>
              <w:ind w:left="100"/>
            </w:pPr>
            <w:r>
              <w:rPr>
                <w:b w:val="false"/>
                <w:bCs w:val="false"/>
                <w:color w:val="0D1B2A"/>
                <w:sz w:val="18"/>
                <w:szCs w:val="18"/>
              </w:rPr>
              <w:t xml:space="preserve">WAL</w:t>
            </w:r>
          </w:p>
        </w:tc>
        <w:tc>
          <w:tcPr>
            <w:tcW w:type="dxa" w:w="7000"/>
            <w:shd/>
            <w:vAlign w:val="top"/>
          </w:tcPr>
          <w:p>
            <w:pPr>
              <w:spacing w:after="80" w:before="80"/>
              <w:ind w:left="100"/>
            </w:pPr>
            <w:r>
              <w:rPr>
                <w:b w:val="false"/>
                <w:bCs w:val="false"/>
                <w:color w:val="0D1B2A"/>
                <w:sz w:val="18"/>
                <w:szCs w:val="18"/>
              </w:rPr>
              <w:t xml:space="preserve">Write-Ahead Logging. A SQLite journaling mode in which changes are written to a separate log file before being applied to the main database. Provides better concurrency and ensures that a crash during a write does not corrupt the database or lose committed data (NFR-REL-04).</w:t>
            </w:r>
          </w:p>
        </w:tc>
      </w:tr>
    </w:tbl>
    <w:p>
      <w:pPr>
        <w:spacing w:after="400"/>
      </w:pPr>
    </w:p>
    <w:p>
      <w:pPr>
        <w:pBdr>
          <w:bottom w:val="single" w:color="B71C1C" w:sz="8"/>
        </w:pBdr>
        <w:spacing w:after="200" w:before="160"/>
      </w:pPr>
    </w:p>
    <w:p>
      <w:pPr>
        <w:spacing w:after="120" w:before="200"/>
        <w:jc w:val="center"/>
      </w:pPr>
      <w:r>
        <w:rPr>
          <w:b/>
          <w:bCs/>
          <w:color w:val="B71C1C"/>
        </w:rPr>
        <w:t xml:space="preserve">END OF DOCUMENT</w:t>
      </w:r>
    </w:p>
    <w:p>
      <w:pPr>
        <w:jc w:val="center"/>
      </w:pPr>
      <w:r>
        <w:rPr>
          <w:i/>
          <w:iCs/>
          <w:color w:val="555555"/>
        </w:rPr>
        <w:t xml:space="preserve">SRS-SSB-DOCSCREEN-v1.0  |  IEEE 830-1998 Compliant  |  Sashastra Seema Bal, MHA  |  RESTRICTED</w:t>
      </w:r>
    </w:p>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B2A"/>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560"/>
    </w:pPr>
    <w:rPr>
      <w:rFonts w:ascii="Calibri" w:cs="Calibri" w:eastAsia="Calibri" w:hAnsi="Calibri"/>
      <w:b/>
      <w:bCs/>
      <w:color w:val="1B2A4A"/>
      <w:sz w:val="40"/>
      <w:szCs w:val="40"/>
    </w:rPr>
  </w:style>
  <w:style w:type="paragraph" w:styleId="Heading2">
    <w:name w:val="Heading 2"/>
    <w:basedOn w:val="Normal"/>
    <w:next w:val="Normal"/>
    <w:pPr>
      <w:spacing w:after="160" w:before="360"/>
    </w:pPr>
    <w:rPr>
      <w:rFonts w:ascii="Calibri" w:cs="Calibri" w:eastAsia="Calibri" w:hAnsi="Calibri"/>
      <w:b/>
      <w:bCs/>
      <w:color w:val="1A5276"/>
      <w:sz w:val="30"/>
      <w:szCs w:val="30"/>
    </w:rPr>
  </w:style>
  <w:style w:type="paragraph" w:styleId="Heading3">
    <w:name w:val="Heading 3"/>
    <w:basedOn w:val="Normal"/>
    <w:next w:val="Normal"/>
    <w:pPr>
      <w:spacing w:after="120" w:before="240"/>
    </w:pPr>
    <w:rPr>
      <w:rFonts w:ascii="Calibri" w:cs="Calibri" w:eastAsia="Calibri" w:hAnsi="Calibri"/>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AI-Based Fake Identity and Document Screening System v1.0</dc:title>
  <dc:creator>AIDSS Requirements Engineering Team</dc:creator>
  <dc:description>IEEE 830-1998 SRS for SSB MHA SIH26188</dc:description>
  <cp:lastModifiedBy>Un-named</cp:lastModifiedBy>
  <cp:revision>1</cp:revision>
  <dcterms:created xsi:type="dcterms:W3CDTF">2026-09-02T13:31:51.284Z</dcterms:created>
  <dcterms:modified xsi:type="dcterms:W3CDTF">2026-09-02T13:31:51.297Z</dcterms:modified>
</cp:coreProperties>
</file>

<file path=docProps/custom.xml><?xml version="1.0" encoding="utf-8"?>
<Properties xmlns="http://schemas.openxmlformats.org/officeDocument/2006/custom-properties" xmlns:vt="http://schemas.openxmlformats.org/officeDocument/2006/docPropsVTypes"/>
</file>