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mc:Ignorable="w14">
  <w:body>
    <w:p/>
    <w:p/>
    <w:p/>
    <w:p/>
    <w:p>
      <w:pPr>
        <w:jc w:val="center"/>
      </w:pPr>
      <w:r>
        <w:rPr>
          <w:b/>
          <w:i w:val="0"/>
          <w:color w:val="1F3A5F"/>
          <w:sz w:val="52"/>
        </w:rPr>
        <w:t xml:space="preserve">CARPOOL MOBILITY PLATFORM</w:t>
      </w:r>
    </w:p>
    <w:p>
      <w:pPr>
        <w:jc w:val="center"/>
      </w:pPr>
      <w:r>
        <w:rPr>
          <w:i w:val="0"/>
          <w:color w:val="5A6373"/>
          <w:sz w:val="22"/>
        </w:rPr>
        <w:t xml:space="preserve">Project Code:  CMP        Brand:  TBD</w:t>
      </w:r>
    </w:p>
    <w:p>
      <w:pPr>
        <w:spacing w:before="600"/>
        <w:jc w:val="center"/>
        <w:pBdr>
          <w:bottom w:val="single" w:sz="12" w:space="6" w:color="1F3A5F"/>
        </w:pBdr>
      </w:pPr>
    </w:p>
    <w:p>
      <w:pPr>
        <w:spacing w:before="520"/>
        <w:jc w:val="center"/>
      </w:pPr>
      <w:r>
        <w:rPr>
          <w:b/>
          <w:i w:val="0"/>
          <w:color w:val="5A6373"/>
          <w:sz w:val="24"/>
        </w:rPr>
        <w:t xml:space="preserve">CMP-PLAN-IMPL-ANALYSIS</w:t>
      </w:r>
    </w:p>
    <w:p>
      <w:pPr>
        <w:spacing w:before="160"/>
        <w:jc w:val="center"/>
      </w:pPr>
      <w:r>
        <w:rPr>
          <w:b/>
          <w:i w:val="0"/>
          <w:color w:val="1F3A5F"/>
          <w:sz w:val="40"/>
        </w:rPr>
        <w:t xml:space="preserve">Implementation Analysis</w:t>
      </w:r>
    </w:p>
    <w:p>
      <w:pPr>
        <w:spacing w:before="200"/>
        <w:jc w:val="center"/>
      </w:pPr>
      <w:r>
        <w:rPr>
          <w:i/>
          <w:color w:val="5A6373"/>
          <w:sz w:val="22"/>
        </w:rPr>
        <w:t xml:space="preserve">What the decomposition of CMP-DOC-01 … CMP-DOC-20 into implementation work found</w:t>
      </w:r>
    </w:p>
    <w:p>
      <w:pPr>
        <w:spacing w:before="520"/>
        <w:jc w:val="center"/>
      </w:pPr>
      <w:r>
        <w:rPr>
          <w:i w:val="0"/>
          <w:color w:val="5A6373"/>
          <w:sz w:val="21"/>
        </w:rPr>
        <w:t xml:space="preserve">Version 0.1   ·   Draft   ·   2026-08-19</w:t>
      </w:r>
    </w:p>
    <w:p>
      <w:pPr>
        <w:spacing w:before="80"/>
        <w:jc w:val="center"/>
      </w:pPr>
      <w:r>
        <w:rPr>
          <w:i w:val="0"/>
          <w:color w:val="5A6373"/>
          <w:sz w:val="20"/>
        </w:rPr>
        <w:t xml:space="preserve">Classification: Internal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 xml:space="preserve">0. Document Control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0.1 Document Metadata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2304"/>
        <w:gridCol w:w="6783"/>
      </w:tblGrid>
      <w:tr>
        <w:trPr>
          <w:tblHeader/>
        </w:trPr>
        <w:tc>
          <w:tcPr>
            <w:tcW w:type="dxa" w:w="230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Field</w:t>
            </w:r>
          </w:p>
        </w:tc>
        <w:tc>
          <w:tcPr>
            <w:tcW w:type="dxa" w:w="678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Value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 ID</w:t>
            </w:r>
          </w:p>
        </w:tc>
        <w:tc>
          <w:tcPr>
            <w:tcW w:type="dxa" w:w="67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CMP-PLAN-IMPL-ANALYSIS</w:t>
            </w:r>
          </w:p>
        </w:tc>
      </w:tr>
      <w:tr>
        <w:tc>
          <w:tcPr>
            <w:tcW w:type="dxa" w:w="23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 Name</w:t>
            </w:r>
          </w:p>
        </w:tc>
        <w:tc>
          <w:tcPr>
            <w:tcW w:type="dxa" w:w="67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Implementation Work Breakdown Analysis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Name</w:t>
            </w:r>
          </w:p>
        </w:tc>
        <w:tc>
          <w:tcPr>
            <w:tcW w:type="dxa" w:w="67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Carpool Mobility Platform</w:t>
            </w:r>
          </w:p>
        </w:tc>
      </w:tr>
      <w:tr>
        <w:tc>
          <w:tcPr>
            <w:tcW w:type="dxa" w:w="23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Code</w:t>
            </w:r>
          </w:p>
        </w:tc>
        <w:tc>
          <w:tcPr>
            <w:tcW w:type="dxa" w:w="67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Version</w:t>
            </w:r>
          </w:p>
        </w:tc>
        <w:tc>
          <w:tcPr>
            <w:tcW w:type="dxa" w:w="67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0.1</w:t>
            </w:r>
          </w:p>
        </w:tc>
      </w:tr>
      <w:tr>
        <w:tc>
          <w:tcPr>
            <w:tcW w:type="dxa" w:w="23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</w:t>
            </w:r>
          </w:p>
        </w:tc>
        <w:tc>
          <w:tcPr>
            <w:tcW w:type="dxa" w:w="67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Draft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Date</w:t>
            </w:r>
          </w:p>
        </w:tc>
        <w:tc>
          <w:tcPr>
            <w:tcW w:type="dxa" w:w="67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2026-08-19</w:t>
            </w:r>
          </w:p>
        </w:tc>
      </w:tr>
      <w:tr>
        <w:tc>
          <w:tcPr>
            <w:tcW w:type="dxa" w:w="23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Author</w:t>
            </w:r>
          </w:p>
        </w:tc>
        <w:tc>
          <w:tcPr>
            <w:tcW w:type="dxa" w:w="67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Technical Project Management (AI-assisted)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Reviewer</w:t>
            </w:r>
          </w:p>
        </w:tc>
        <w:tc>
          <w:tcPr>
            <w:tcW w:type="dxa" w:w="67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[TBD]</w:t>
            </w:r>
          </w:p>
        </w:tc>
      </w:tr>
      <w:tr>
        <w:tc>
          <w:tcPr>
            <w:tcW w:type="dxa" w:w="23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Approver</w:t>
            </w:r>
          </w:p>
        </w:tc>
        <w:tc>
          <w:tcPr>
            <w:tcW w:type="dxa" w:w="67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Classification</w:t>
            </w:r>
          </w:p>
        </w:tc>
        <w:tc>
          <w:tcPr>
            <w:tcW w:type="dxa" w:w="678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Internal</w:t>
            </w:r>
          </w:p>
        </w:tc>
      </w:tr>
      <w:tr>
        <w:tc>
          <w:tcPr>
            <w:tcW w:type="dxa" w:w="230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Companion artefact</w:t>
            </w:r>
          </w:p>
        </w:tc>
        <w:tc>
          <w:tcPr>
            <w:tcW w:type="dxa" w:w="678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CMP-Implementation-Tracker.xlsx</w:t>
            </w:r>
            <w:r>
              <w:rPr>
                <w:i w:val="0"/>
                <w:sz w:val="18"/>
              </w:rPr>
              <w:t xml:space="preserve"> (same directory)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Source of truth</w:t>
            </w:r>
          </w:p>
        </w:tc>
        <w:tc>
          <w:tcPr>
            <w:tcW w:type="dxa" w:w="678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Document/</w:t>
            </w:r>
            <w:r>
              <w:rPr>
                <w:i w:val="0"/>
                <w:sz w:val="18"/>
              </w:rPr>
              <w:t xml:space="preserve"> — CMP-DOC-01 … CMP-DOC-20, all v0.1 Draft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0. What this document is, and what it is not</w:t>
      </w:r>
    </w:p>
    <w:p>
      <w:pPr>
        <w:spacing w:before="40" w:after="120"/>
      </w:pPr>
      <w:r>
        <w:rPr>
          <w:i w:val="0"/>
          <w:sz w:val="20"/>
        </w:rPr>
        <w:t xml:space="preserve">This is a </w:t>
      </w:r>
      <w:r>
        <w:rPr>
          <w:b/>
          <w:i w:val="0"/>
          <w:sz w:val="20"/>
        </w:rPr>
        <w:t xml:space="preserve">planning artefact</w:t>
      </w:r>
      <w:r>
        <w:rPr>
          <w:i w:val="0"/>
          <w:sz w:val="20"/>
        </w:rPr>
        <w:t xml:space="preserve">, not a specification. It decomposes the approved documentation chain into trackable implementation work items and reports what that decomposition found. It creates no requirement, takes no business decision, and closes no gap.</w:t>
      </w:r>
    </w:p>
    <w:p>
      <w:pPr>
        <w:spacing w:before="40" w:after="120"/>
      </w:pPr>
      <w:r>
        <w:rPr>
          <w:i w:val="0"/>
          <w:sz w:val="20"/>
        </w:rPr>
        <w:t xml:space="preserve">Five rules governed the decomposition:</w:t>
      </w:r>
    </w:p>
    <w:p>
      <w:pPr>
        <w:spacing w:before="20" w:after="40"/>
        <w:ind w:left="360" w:hanging="260"/>
      </w:pPr>
      <w:r>
        <w:rPr>
          <w:i w:val="0"/>
          <w:sz w:val="20"/>
        </w:rPr>
        <w:t xml:space="preserve">1. </w:t>
      </w:r>
      <w:r>
        <w:rPr>
          <w:b/>
          <w:i w:val="0"/>
          <w:sz w:val="20"/>
        </w:rPr>
        <w:t xml:space="preserve">Nothing was invented.</w:t>
      </w:r>
      <w:r>
        <w:rPr>
          <w:i w:val="0"/>
          <w:sz w:val="20"/>
        </w:rPr>
        <w:t xml:space="preserve"> Every work item names the document statement it derives from. No missing business decision was supplied, guessed at, or given a provisional value.</w:t>
      </w:r>
    </w:p>
    <w:p>
      <w:pPr>
        <w:spacing w:before="20" w:after="40"/>
        <w:ind w:left="360" w:hanging="260"/>
      </w:pPr>
      <w:r>
        <w:rPr>
          <w:i w:val="0"/>
          <w:sz w:val="20"/>
        </w:rPr>
        <w:t xml:space="preserve">2. </w:t>
      </w:r>
      <w:r>
        <w:rPr>
          <w:b/>
          <w:i w:val="0"/>
          <w:sz w:val="20"/>
        </w:rPr>
        <w:t xml:space="preserve">A decision is not work.</w:t>
      </w:r>
      <w:r>
        <w:rPr>
          <w:i w:val="0"/>
          <w:sz w:val="20"/>
        </w:rPr>
        <w:t xml:space="preserve"> Business decisions, technical decisions, functional gaps, risks and documentation conflicts are </w:t>
      </w:r>
      <w:r>
        <w:rPr>
          <w:b/>
          <w:i w:val="0"/>
          <w:sz w:val="20"/>
        </w:rPr>
        <w:t xml:space="preserve">not</w:t>
      </w:r>
      <w:r>
        <w:rPr>
          <w:i w:val="0"/>
          <w:sz w:val="20"/>
        </w:rPr>
        <w:t xml:space="preserve"> implementation work items and do not appear in the register. They are carried on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09_Decisions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10_Dependencies</w:t>
      </w:r>
      <w:r>
        <w:rPr>
          <w:i w:val="0"/>
          <w:sz w:val="20"/>
        </w:rPr>
        <w:t xml:space="preserve"> and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11_Risks</w:t>
      </w:r>
      <w:r>
        <w:rPr>
          <w:i w:val="0"/>
          <w:sz w:val="20"/>
        </w:rPr>
        <w:t xml:space="preserve">, where they can be tracked without ever being mistaken for something to build.</w:t>
      </w:r>
    </w:p>
    <w:p>
      <w:pPr>
        <w:spacing w:before="20" w:after="40"/>
        <w:ind w:left="360" w:hanging="260"/>
      </w:pPr>
      <w:r>
        <w:rPr>
          <w:i w:val="0"/>
          <w:sz w:val="20"/>
        </w:rPr>
        <w:t xml:space="preserve">3. </w:t>
      </w:r>
      <w:r>
        <w:rPr>
          <w:b/>
          <w:i w:val="0"/>
          <w:sz w:val="20"/>
        </w:rPr>
        <w:t xml:space="preserve">Withheld areas stay withheld.</w:t>
      </w:r>
      <w:r>
        <w:rPr>
          <w:i w:val="0"/>
          <w:sz w:val="20"/>
        </w:rPr>
        <w:t xml:space="preserve"> CMP-DOC-04 §9.2 records three functional areas as carrying </w:t>
      </w:r>
      <w:r>
        <w:rPr>
          <w:b/>
          <w:i w:val="0"/>
          <w:sz w:val="20"/>
        </w:rPr>
        <w:t xml:space="preserve">zero</w:t>
      </w:r>
      <w:r>
        <w:rPr>
          <w:i w:val="0"/>
          <w:sz w:val="20"/>
        </w:rPr>
        <w:t xml:space="preserve"> functional requirements. No work item implements any of them, and none is stubbed, prototyped, disabled or marked as forthcoming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ADM-187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ADM-191</w:t>
      </w:r>
      <w:r>
        <w:rPr>
          <w:i w:val="0"/>
          <w:sz w:val="20"/>
        </w:rPr>
        <w:t xml:space="preserve">).</w:t>
      </w:r>
    </w:p>
    <w:p>
      <w:pPr>
        <w:spacing w:before="20" w:after="40"/>
        <w:ind w:left="360" w:hanging="260"/>
      </w:pPr>
      <w:r>
        <w:rPr>
          <w:i w:val="0"/>
          <w:sz w:val="20"/>
        </w:rPr>
        <w:t xml:space="preserve">4. </w:t>
      </w:r>
      <w:r>
        <w:rPr>
          <w:b/>
          <w:i w:val="0"/>
          <w:sz w:val="20"/>
        </w:rPr>
        <w:t xml:space="preserve">The register starts empty of progress.</w:t>
      </w:r>
      <w:r>
        <w:rPr>
          <w:i w:val="0"/>
          <w:sz w:val="20"/>
        </w:rPr>
        <w:t xml:space="preserve"> Every row is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Not Started</w:t>
      </w:r>
      <w:r>
        <w:rPr>
          <w:i w:val="0"/>
          <w:sz w:val="20"/>
        </w:rPr>
        <w:t xml:space="preserve"> or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Blocked</w:t>
      </w:r>
      <w:r>
        <w:rPr>
          <w:i w:val="0"/>
          <w:sz w:val="20"/>
        </w:rPr>
        <w:t xml:space="preserve">. Nothing is marked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Implemented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Committed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Pushed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Tested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Reviewed</w:t>
      </w:r>
      <w:r>
        <w:rPr>
          <w:i w:val="0"/>
          <w:sz w:val="20"/>
        </w:rPr>
        <w:t xml:space="preserve"> or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Completed</w:t>
      </w:r>
      <w:r>
        <w:rPr>
          <w:i w:val="0"/>
          <w:sz w:val="20"/>
        </w:rPr>
        <w:t xml:space="preserve"> — analysing a requirement is not implementing it.</w:t>
      </w:r>
    </w:p>
    <w:p>
      <w:pPr>
        <w:spacing w:before="20" w:after="40"/>
        <w:ind w:left="360" w:hanging="260"/>
      </w:pPr>
      <w:r>
        <w:rPr>
          <w:i w:val="0"/>
          <w:sz w:val="20"/>
        </w:rPr>
        <w:t xml:space="preserve">5. </w:t>
      </w:r>
      <w:r>
        <w:rPr>
          <w:b/>
          <w:i w:val="0"/>
          <w:sz w:val="20"/>
        </w:rPr>
        <w:t xml:space="preserve">Recommendations are labelled.</w:t>
      </w:r>
      <w:r>
        <w:rPr>
          <w:i w:val="0"/>
          <w:sz w:val="20"/>
        </w:rPr>
        <w:t xml:space="preserve"> Engineering tasks not traceable to a numbered statement are marked in the Notes column.</w:t>
      </w:r>
    </w:p>
    <w:p>
      <w:pPr>
        <w:spacing w:after="80"/>
      </w:pP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sz w:val="20"/>
        </w:rPr>
        <w:t xml:space="preserve">Why rule 2 matters.</w:t>
      </w:r>
      <w:r>
        <w:rPr>
          <w:i w:val="0"/>
          <w:sz w:val="20"/>
        </w:rPr>
        <w:t xml:space="preserve">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FRD-RISK-002</w:t>
      </w:r>
      <w:r>
        <w:rPr>
          <w:i w:val="0"/>
          <w:sz w:val="20"/>
        </w:rPr>
        <w:t xml:space="preserve"> is the highest-severity risk in CMP-DOC-04: </w:t>
      </w:r>
      <w:r>
        <w:rPr>
          <w:i/>
          <w:sz w:val="20"/>
        </w:rPr>
        <w:t xml:space="preserve">a developer implements a gap</w:t>
      </w:r>
      <w:r>
        <w:rPr>
          <w:i w:val="0"/>
          <w:sz w:val="20"/>
        </w:rPr>
        <w:t xml:space="preserve">. A gap sitting in a work-item register, with an ID and an assignee column, is an invitation to do exactly that. The register therefore contains implementation work and nothing else.</w:t>
      </w:r>
    </w:p>
    <w:p>
      <w:pPr>
        <w:spacing w:after="120"/>
      </w:pP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sz w:val="20"/>
        </w:rPr>
        <w:t xml:space="preserve">FACT.</w:t>
      </w:r>
      <w:r>
        <w:rPr>
          <w:i w:val="0"/>
          <w:sz w:val="20"/>
        </w:rPr>
        <w:t xml:space="preserve"> At the time of this analysis the repository contained </w:t>
      </w:r>
      <w:r>
        <w:rPr>
          <w:b/>
          <w:i w:val="0"/>
          <w:rFonts w:ascii="Consolas" w:hAnsi="Consolas"/>
          <w:sz w:val="19"/>
          <w:shd w:val="clear" w:color="auto" w:fill="F3F5F7"/>
        </w:rPr>
        <w:t xml:space="preserve">Document/</w:t>
      </w:r>
      <w:r>
        <w:rPr>
          <w:b/>
          <w:i w:val="0"/>
          <w:sz w:val="20"/>
        </w:rPr>
        <w:t xml:space="preserve"> and nothing else</w:t>
      </w:r>
      <w:r>
        <w:rPr>
          <w:i w:val="0"/>
          <w:sz w:val="20"/>
        </w:rPr>
        <w:t xml:space="preserve">. No Android project, no Laravel project, no MySQL schema, no build configuration. Sections 18 and 19 below are consequences of this, not oversights.</w:t>
      </w:r>
    </w:p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1. Total features identified</w:t>
      </w:r>
    </w:p>
    <w:p>
      <w:pPr>
        <w:spacing w:before="40" w:after="120"/>
      </w:pPr>
      <w:r>
        <w:rPr>
          <w:b/>
          <w:i w:val="0"/>
          <w:sz w:val="20"/>
        </w:rPr>
        <w:t xml:space="preserve">39 features carrying implementation work</w:t>
      </w:r>
      <w:r>
        <w:rPr>
          <w:i w:val="0"/>
          <w:sz w:val="20"/>
        </w:rPr>
        <w:t xml:space="preserve">, grouped into 13 epics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FEAT-001</w:t>
      </w:r>
      <w:r>
        <w:rPr>
          <w:i w:val="0"/>
          <w:sz w:val="20"/>
        </w:rPr>
        <w:t xml:space="preserve"> …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FEAT-039</w:t>
      </w:r>
      <w:r>
        <w:rPr>
          <w:i w:val="0"/>
          <w:sz w:val="20"/>
        </w:rPr>
        <w:t xml:space="preserve">).</w:t>
      </w:r>
    </w:p>
    <w:p>
      <w:pPr>
        <w:spacing w:before="40" w:after="120"/>
      </w:pPr>
      <w:r>
        <w:rPr>
          <w:i w:val="0"/>
          <w:sz w:val="20"/>
        </w:rPr>
        <w:t xml:space="preserve">Six further feature identifiers —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FEAT-040</w:t>
      </w:r>
      <w:r>
        <w:rPr>
          <w:i w:val="0"/>
          <w:sz w:val="20"/>
        </w:rPr>
        <w:t xml:space="preserve"> …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FEAT-045</w:t>
      </w:r>
      <w:r>
        <w:rPr>
          <w:i w:val="0"/>
          <w:sz w:val="20"/>
        </w:rPr>
        <w:t xml:space="preserve"> — are </w:t>
      </w:r>
      <w:r>
        <w:rPr>
          <w:b/>
          <w:i w:val="0"/>
          <w:sz w:val="20"/>
        </w:rPr>
        <w:t xml:space="preserve">reserved, not built</w:t>
      </w:r>
      <w:r>
        <w:rPr>
          <w:i w:val="0"/>
          <w:sz w:val="20"/>
        </w:rPr>
        <w:t xml:space="preserve">. They name the withheld areas (ratings and reviews, wallet and rewards, recurring commute, cancellation/refund/settlement, verification adjudication and account state) and the project-level decision set. </w:t>
      </w:r>
      <w:r>
        <w:rPr>
          <w:b/>
          <w:i w:val="0"/>
          <w:sz w:val="20"/>
        </w:rPr>
        <w:t xml:space="preserve">None appears in the implementation register.</w:t>
      </w:r>
      <w:r>
        <w:rPr>
          <w:i w:val="0"/>
          <w:sz w:val="20"/>
        </w:rPr>
        <w:t xml:space="preserve"> Each is carried where it belongs: on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09_Decisions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10_Dependencies</w:t>
      </w:r>
      <w:r>
        <w:rPr>
          <w:i w:val="0"/>
          <w:sz w:val="20"/>
        </w:rPr>
        <w:t xml:space="preserve"> and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11_Risks</w:t>
      </w:r>
      <w:r>
        <w:rPr>
          <w:i w:val="0"/>
          <w:sz w:val="20"/>
        </w:rPr>
        <w:t xml:space="preserve">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2. Total implementation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507 work items.</w:t>
      </w:r>
      <w:r>
        <w:rPr>
          <w:i w:val="0"/>
          <w:sz w:val="20"/>
        </w:rPr>
        <w:t xml:space="preserve"> Work IDs were issued across the full analysed set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CMP-IMP-001</w:t>
      </w:r>
      <w:r>
        <w:rPr>
          <w:i w:val="0"/>
          <w:sz w:val="20"/>
        </w:rPr>
        <w:t xml:space="preserve"> …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CMP-IMP-562</w:t>
      </w:r>
      <w:r>
        <w:rPr>
          <w:i w:val="0"/>
          <w:sz w:val="20"/>
        </w:rPr>
        <w:t xml:space="preserve">); the 55 IDs belonging to rows that are not implementation work are </w:t>
      </w:r>
      <w:r>
        <w:rPr>
          <w:b/>
          <w:i w:val="0"/>
          <w:sz w:val="20"/>
        </w:rPr>
        <w:t xml:space="preserve">withdrawn and never reissued</w:t>
      </w:r>
      <w:r>
        <w:rPr>
          <w:i w:val="0"/>
          <w:sz w:val="20"/>
        </w:rPr>
        <w:t xml:space="preserve">, so the register contains 507 rows with 55 vacant identifiers. Section 24 lists every withdrawn ID and where its content now lives.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7270"/>
        <w:gridCol w:w="1817"/>
      </w:tblGrid>
      <w:tr>
        <w:trPr>
          <w:tblHeader/>
        </w:trPr>
        <w:tc>
          <w:tcPr>
            <w:tcW w:type="dxa" w:w="727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Measure</w:t>
            </w:r>
          </w:p>
        </w:tc>
        <w:tc>
          <w:tcPr>
            <w:tcW w:type="dxa" w:w="181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Value</w:t>
            </w:r>
          </w:p>
        </w:tc>
      </w:tr>
      <w:tr>
        <w:tc>
          <w:tcPr>
            <w:tcW w:type="dxa" w:w="72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items in the register</w:t>
            </w:r>
          </w:p>
        </w:tc>
        <w:tc>
          <w:tcPr>
            <w:tcW w:type="dxa" w:w="1817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507</w:t>
            </w:r>
          </w:p>
        </w:tc>
      </w:tr>
      <w:tr>
        <w:tc>
          <w:tcPr>
            <w:tcW w:type="dxa" w:w="72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IDs issued (contiguous, never reused, never renumbered)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562</w:t>
            </w:r>
          </w:p>
        </w:tc>
      </w:tr>
      <w:tr>
        <w:tc>
          <w:tcPr>
            <w:tcW w:type="dxa" w:w="72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Work IDs withdrawn as not-implementation-work</w:t>
            </w:r>
          </w:p>
        </w:tc>
        <w:tc>
          <w:tcPr>
            <w:tcW w:type="dxa" w:w="181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55</w:t>
            </w:r>
          </w:p>
        </w:tc>
      </w:tr>
      <w:tr>
        <w:tc>
          <w:tcPr>
            <w:tcW w:type="dxa" w:w="72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Estimated effort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3,802 hours</w:t>
            </w:r>
          </w:p>
        </w:tc>
      </w:tr>
      <w:tr>
        <w:tc>
          <w:tcPr>
            <w:tcW w:type="dxa" w:w="72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Not Started</w:t>
            </w:r>
          </w:p>
        </w:tc>
        <w:tc>
          <w:tcPr>
            <w:tcW w:type="dxa" w:w="1817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496</w:t>
            </w:r>
          </w:p>
        </w:tc>
      </w:tr>
      <w:tr>
        <w:tc>
          <w:tcPr>
            <w:tcW w:type="dxa" w:w="72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Blocked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11</w:t>
            </w:r>
          </w:p>
        </w:tc>
      </w:tr>
      <w:tr>
        <w:tc>
          <w:tcPr>
            <w:tcW w:type="dxa" w:w="727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Status anything else</w:t>
            </w:r>
          </w:p>
        </w:tc>
        <w:tc>
          <w:tcPr>
            <w:tcW w:type="dxa" w:w="1817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0</w:t>
            </w:r>
          </w:p>
        </w:tc>
      </w:tr>
      <w:tr>
        <w:tc>
          <w:tcPr>
            <w:tcW w:type="dxa" w:w="727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Distinct source documents cited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20</w:t>
            </w:r>
          </w:p>
        </w:tc>
      </w:tr>
    </w:tbl>
    <w:p>
      <w:pPr>
        <w:spacing w:after="120"/>
      </w:pP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i w:val="0"/>
          <w:sz w:val="20"/>
        </w:rPr>
        <w:t xml:space="preserve">Every row starts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Not Started</w:t>
      </w:r>
      <w:r>
        <w:rPr>
          <w:i w:val="0"/>
          <w:sz w:val="20"/>
        </w:rPr>
        <w:t xml:space="preserve"> or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Blocked</w:t>
      </w:r>
      <w:r>
        <w:rPr>
          <w:i w:val="0"/>
          <w:sz w:val="20"/>
        </w:rPr>
        <w:t xml:space="preserve">. Nothing is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Implemented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Committed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Pushed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Tested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Reviewed</w:t>
      </w:r>
      <w:r>
        <w:rPr>
          <w:i w:val="0"/>
          <w:sz w:val="20"/>
        </w:rPr>
        <w:t xml:space="preserve"> or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Completed</w:t>
      </w:r>
      <w:r>
        <w:rPr>
          <w:i w:val="0"/>
          <w:sz w:val="20"/>
        </w:rPr>
        <w:t xml:space="preserve">, and nothing in the workbook sets those automatically. Analysis is not progress.</w:t>
      </w:r>
    </w:p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What </w:t>
      </w:r>
      <w:r>
        <w:rPr>
          <w:b/>
          <w:i w:val="0"/>
          <w:rFonts w:ascii="Consolas" w:hAnsi="Consolas"/>
          <w:sz w:val="19"/>
          <w:shd w:val="clear" w:color="auto" w:fill="F3F5F7"/>
        </w:rPr>
        <w:t xml:space="preserve">Blocked</w:t>
      </w:r>
      <w:r>
        <w:rPr>
          <w:b/>
          <w:i w:val="0"/>
          <w:sz w:val="20"/>
        </w:rPr>
        <w:t xml:space="preserve"> means here.</w:t>
      </w:r>
      <w:r>
        <w:rPr>
          <w:i w:val="0"/>
          <w:sz w:val="20"/>
        </w:rPr>
        <w:t xml:space="preserve"> A blocked row is </w:t>
      </w:r>
      <w:r>
        <w:rPr>
          <w:b/>
          <w:i w:val="0"/>
          <w:sz w:val="20"/>
        </w:rPr>
        <w:t xml:space="preserve">buildable implementation work whose value or policy is not yet set</w:t>
      </w:r>
      <w:r>
        <w:rPr>
          <w:i w:val="0"/>
          <w:sz w:val="20"/>
        </w:rPr>
        <w:t xml:space="preserve"> — the obligation exists as a numbered statement, only a parameter is missing. Example: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FRD-FR-011</w:t>
      </w:r>
      <w:r>
        <w:rPr>
          <w:i w:val="0"/>
          <w:sz w:val="20"/>
        </w:rPr>
        <w:t xml:space="preserve"> requires the platform to stop accepting verification attempts once the limit is reached; the limit itself is unset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FRD-OQ-003</w:t>
      </w:r>
      <w:r>
        <w:rPr>
          <w:i w:val="0"/>
          <w:sz w:val="20"/>
        </w:rPr>
        <w:t xml:space="preserve">). The work item is real; it is blocked on a value.</w:t>
      </w:r>
    </w:p>
    <w:p>
      <w:pPr>
        <w:spacing w:before="40" w:after="120"/>
      </w:pPr>
      <w:r>
        <w:rPr>
          <w:i w:val="0"/>
          <w:sz w:val="20"/>
        </w:rPr>
        <w:t xml:space="preserve">A blocked row is </w:t>
      </w:r>
      <w:r>
        <w:rPr>
          <w:b/>
          <w:i w:val="0"/>
          <w:sz w:val="20"/>
        </w:rPr>
        <w:t xml:space="preserve">never</w:t>
      </w:r>
      <w:r>
        <w:rPr>
          <w:i w:val="0"/>
          <w:sz w:val="20"/>
        </w:rPr>
        <w:t xml:space="preserve"> a decision, a gap or a conflict. Those are not work.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5621"/>
        <w:gridCol w:w="3466"/>
      </w:tblGrid>
      <w:tr>
        <w:trPr>
          <w:tblHeader/>
        </w:trPr>
        <w:tc>
          <w:tcPr>
            <w:tcW w:type="dxa" w:w="562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The 11 blocked work items</w:t>
            </w:r>
          </w:p>
        </w:tc>
        <w:tc>
          <w:tcPr>
            <w:tcW w:type="dxa" w:w="346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Blocked on</w:t>
            </w:r>
          </w:p>
        </w:tc>
      </w:tr>
      <w:tr>
        <w:tc>
          <w:tcPr>
            <w:tcW w:type="dxa" w:w="562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Declare the supported Android version range</w:t>
            </w:r>
          </w:p>
        </w:tc>
        <w:tc>
          <w:tcPr>
            <w:tcW w:type="dxa" w:w="346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MOB-OQ-001</w:t>
            </w:r>
            <w:r>
              <w:rPr>
                <w:i w:val="0"/>
                <w:sz w:val="18"/>
              </w:rPr>
              <w:t xml:space="preserve"> device range unchosen</w:t>
            </w:r>
          </w:p>
        </w:tc>
      </w:tr>
      <w:tr>
        <w:tc>
          <w:tcPr>
            <w:tcW w:type="dxa" w:w="56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Cease accepting verification attempts at the limit</w:t>
            </w:r>
          </w:p>
        </w:tc>
        <w:tc>
          <w:tcPr>
            <w:tcW w:type="dxa" w:w="346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FRD-OQ-003</w:t>
            </w:r>
            <w:r>
              <w:rPr>
                <w:i w:val="0"/>
                <w:sz w:val="18"/>
              </w:rPr>
              <w:t xml:space="preserve"> limit and cool-off unset</w:t>
            </w:r>
          </w:p>
        </w:tc>
      </w:tr>
      <w:tr>
        <w:tc>
          <w:tcPr>
            <w:tcW w:type="dxa" w:w="562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SMS/OTP provider port and one adapter</w:t>
            </w:r>
          </w:p>
        </w:tc>
        <w:tc>
          <w:tcPr>
            <w:tcW w:type="dxa" w:w="346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Provider unselected</w:t>
            </w:r>
          </w:p>
        </w:tc>
      </w:tr>
      <w:tr>
        <w:tc>
          <w:tcPr>
            <w:tcW w:type="dxa" w:w="56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Indicate which profile elements are disclosed</w:t>
            </w:r>
          </w:p>
        </w:tc>
        <w:tc>
          <w:tcPr>
            <w:tcW w:type="dxa" w:w="346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BAD-DEC-022</w:t>
            </w:r>
            <w:r>
              <w:rPr>
                <w:i w:val="0"/>
                <w:sz w:val="18"/>
              </w:rPr>
              <w:t xml:space="preserve"> disclosure list</w:t>
            </w:r>
          </w:p>
        </w:tc>
      </w:tr>
      <w:tr>
        <w:tc>
          <w:tcPr>
            <w:tcW w:type="dxa" w:w="562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Allow a user to take the driver role subject to eligibility</w:t>
            </w:r>
          </w:p>
        </w:tc>
        <w:tc>
          <w:tcPr>
            <w:tcW w:type="dxa" w:w="346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BAD-DEC-005</w:t>
            </w:r>
            <w:r>
              <w:rPr>
                <w:i w:val="0"/>
                <w:sz w:val="18"/>
              </w:rPr>
              <w:t xml:space="preserve"> eligibility criteria</w:t>
            </w:r>
          </w:p>
        </w:tc>
      </w:tr>
      <w:tr>
        <w:tc>
          <w:tcPr>
            <w:tcW w:type="dxa" w:w="56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Apply disclosure rules at the commitment surface</w:t>
            </w:r>
          </w:p>
        </w:tc>
        <w:tc>
          <w:tcPr>
            <w:tcW w:type="dxa" w:w="346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BAD-DEC-022</w:t>
            </w:r>
            <w:r>
              <w:rPr>
                <w:i w:val="0"/>
                <w:sz w:val="18"/>
              </w:rPr>
              <w:t xml:space="preserve"> location precision</w:t>
            </w:r>
          </w:p>
        </w:tc>
      </w:tr>
      <w:tr>
        <w:tc>
          <w:tcPr>
            <w:tcW w:type="dxa" w:w="562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the payment provider port and one adapter</w:t>
            </w:r>
          </w:p>
        </w:tc>
        <w:tc>
          <w:tcPr>
            <w:tcW w:type="dxa" w:w="346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BAD-DEP-004</w:t>
            </w:r>
            <w:r>
              <w:rPr>
                <w:i w:val="0"/>
                <w:sz w:val="18"/>
              </w:rPr>
              <w:t xml:space="preserve"> PSP unselected</w:t>
            </w:r>
          </w:p>
        </w:tc>
      </w:tr>
      <w:tr>
        <w:tc>
          <w:tcPr>
            <w:tcW w:type="dxa" w:w="56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Apply position privacy scoping and retention marking</w:t>
            </w:r>
          </w:p>
        </w:tc>
        <w:tc>
          <w:tcPr>
            <w:tcW w:type="dxa" w:w="346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BAD-DEC-021</w:t>
            </w:r>
            <w:r>
              <w:rPr>
                <w:i w:val="0"/>
                <w:sz w:val="18"/>
              </w:rPr>
              <w:t xml:space="preserve"> retention period</w:t>
            </w:r>
          </w:p>
        </w:tc>
      </w:tr>
      <w:tr>
        <w:tc>
          <w:tcPr>
            <w:tcW w:type="dxa" w:w="562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accessibility verification as a procedure</w:t>
            </w:r>
          </w:p>
        </w:tc>
        <w:tc>
          <w:tcPr>
            <w:tcW w:type="dxa" w:w="346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MOB-OQ-002</w:t>
            </w:r>
            <w:r>
              <w:rPr>
                <w:i w:val="0"/>
                <w:sz w:val="18"/>
              </w:rPr>
              <w:t xml:space="preserve"> standard unchosen</w:t>
            </w:r>
          </w:p>
        </w:tc>
      </w:tr>
      <w:tr>
        <w:tc>
          <w:tcPr>
            <w:tcW w:type="dxa" w:w="562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Implement backup and the restore-versus-retention procedure</w:t>
            </w:r>
          </w:p>
        </w:tc>
        <w:tc>
          <w:tcPr>
            <w:tcW w:type="dxa" w:w="346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BAD-DEC-021</w:t>
            </w:r>
            <w:r>
              <w:rPr>
                <w:i w:val="0"/>
                <w:sz w:val="18"/>
              </w:rPr>
              <w:t xml:space="preserve"> retention periods</w:t>
            </w:r>
          </w:p>
        </w:tc>
      </w:tr>
      <w:tr>
        <w:tc>
          <w:tcPr>
            <w:tcW w:type="dxa" w:w="562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incident response structure and break-glass access</w:t>
            </w:r>
          </w:p>
        </w:tc>
        <w:tc>
          <w:tcPr>
            <w:tcW w:type="dxa" w:w="3466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SEC-OQ-07</w:t>
            </w:r>
            <w:r>
              <w:rPr>
                <w:i w:val="0"/>
                <w:sz w:val="18"/>
              </w:rPr>
              <w:t xml:space="preserve"> ownership unanswered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 P0 work items — MVP critical</w:t>
      </w:r>
    </w:p>
    <w:p>
      <w:pPr>
        <w:spacing w:before="40" w:after="120"/>
      </w:pPr>
      <w:r>
        <w:rPr>
          <w:b/>
          <w:i w:val="0"/>
          <w:sz w:val="20"/>
        </w:rPr>
        <w:t xml:space="preserve">433</w:t>
      </w:r>
      <w:r>
        <w:rPr>
          <w:i w:val="0"/>
          <w:sz w:val="20"/>
        </w:rPr>
        <w:t xml:space="preserve"> (85%). Derived from the MVP scope proposed in CMP-DOC-01 §24.2 and from the integrity-critical (‡) statements, which CMP-DOC-04 §3.5 states are </w:t>
      </w:r>
      <w:r>
        <w:rPr>
          <w:i/>
          <w:sz w:val="20"/>
        </w:rPr>
        <w:t xml:space="preserve">not subject to descoping</w:t>
      </w:r>
      <w:r>
        <w:rPr>
          <w:i w:val="0"/>
          <w:sz w:val="20"/>
        </w:rPr>
        <w:t xml:space="preserve">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4. P1 work items — MVP important</w:t>
      </w:r>
    </w:p>
    <w:p>
      <w:pPr>
        <w:spacing w:before="40" w:after="120"/>
      </w:pPr>
      <w:r>
        <w:rPr>
          <w:b/>
          <w:i w:val="0"/>
          <w:sz w:val="20"/>
        </w:rPr>
        <w:t xml:space="preserve">70</w:t>
      </w:r>
      <w:r>
        <w:rPr>
          <w:i w:val="0"/>
          <w:sz w:val="20"/>
        </w:rPr>
        <w:t xml:space="preserve"> (14%). Items whose requirement carries MoSCoW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S</w:t>
      </w:r>
      <w:r>
        <w:rPr>
          <w:i w:val="0"/>
          <w:sz w:val="20"/>
        </w:rPr>
        <w:t xml:space="preserve"> (Should), or which serve a decided behaviour that the core commute loop can complete without.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5. P2 work items — post-MVP</w:t>
      </w:r>
    </w:p>
    <w:p>
      <w:pPr>
        <w:spacing w:before="40" w:after="120"/>
      </w:pPr>
      <w:r>
        <w:rPr>
          <w:b/>
          <w:i w:val="0"/>
          <w:sz w:val="20"/>
        </w:rPr>
        <w:t xml:space="preserve">4</w:t>
      </w:r>
      <w:r>
        <w:rPr>
          <w:i w:val="0"/>
          <w:sz w:val="20"/>
        </w:rPr>
        <w:t xml:space="preserve"> (1%). Explicitly deferred by a document statement — principally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FRD-FR-160</w:t>
      </w:r>
      <w:r>
        <w:rPr>
          <w:i w:val="0"/>
          <w:sz w:val="20"/>
        </w:rPr>
        <w:t xml:space="preserve"> (rich telemetry, Release R2), multi-passenger messaging, and admin bulk operations and export.</w:t>
      </w: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i w:val="0"/>
          <w:sz w:val="20"/>
        </w:rPr>
        <w:t xml:space="preserve">Priority was derived from documentation, not assigned. Where CMP-DOC-02 priority was unavailable the item inherits its feature's priority, and where the business priority is genuinely unknown the item is marked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Blocked</w:t>
      </w:r>
      <w:r>
        <w:rPr>
          <w:i w:val="0"/>
          <w:sz w:val="20"/>
        </w:rPr>
        <w:t xml:space="preserve"> rather than guessed.</w:t>
      </w:r>
    </w:p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6. Android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86</w:t>
      </w:r>
      <w:r>
        <w:rPr>
          <w:i w:val="0"/>
          <w:sz w:val="20"/>
        </w:rPr>
        <w:t xml:space="preserve"> on platform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Android</w:t>
      </w:r>
      <w:r>
        <w:rPr>
          <w:i w:val="0"/>
          <w:sz w:val="20"/>
        </w:rPr>
        <w:t xml:space="preserve">, plus a share of the </w:t>
      </w:r>
      <w:r>
        <w:rPr>
          <w:b/>
          <w:i w:val="0"/>
          <w:sz w:val="20"/>
        </w:rPr>
        <w:t xml:space="preserve">84</w:t>
      </w:r>
      <w:r>
        <w:rPr>
          <w:i w:val="0"/>
          <w:sz w:val="20"/>
        </w:rPr>
        <w:t xml:space="preserve">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Cross Platform</w:t>
      </w:r>
      <w:r>
        <w:rPr>
          <w:i w:val="0"/>
          <w:sz w:val="20"/>
        </w:rPr>
        <w:t xml:space="preserve"> items that carry client-side obligations.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3908"/>
        <w:gridCol w:w="5179"/>
      </w:tblGrid>
      <w:tr>
        <w:trPr>
          <w:tblHeader/>
        </w:trPr>
        <w:tc>
          <w:tcPr>
            <w:tcW w:type="dxa" w:w="3908"/>
            <w:shd w:val="clear" w:color="auto" w:fill="EEF2F7"/>
          </w:tcPr>
          <w:p>
            <w:pPr>
              <w:spacing w:before="40" w:after="40"/>
            </w:pPr>
            <w:r/>
          </w:p>
        </w:tc>
        <w:tc>
          <w:tcPr>
            <w:tcW w:type="dxa" w:w="517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Value</w:t>
            </w:r>
          </w:p>
        </w:tc>
      </w:tr>
      <w:tr>
        <w:tc>
          <w:tcPr>
            <w:tcW w:type="dxa" w:w="39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Android-platform items</w:t>
            </w:r>
          </w:p>
        </w:tc>
        <w:tc>
          <w:tcPr>
            <w:tcW w:type="dxa" w:w="517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86</w:t>
            </w:r>
          </w:p>
        </w:tc>
      </w:tr>
      <w:tr>
        <w:tc>
          <w:tcPr>
            <w:tcW w:type="dxa" w:w="39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Android effort</w:t>
            </w:r>
          </w:p>
        </w:tc>
        <w:tc>
          <w:tcPr>
            <w:tcW w:type="dxa" w:w="517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669 h</w:t>
            </w:r>
          </w:p>
        </w:tc>
      </w:tr>
      <w:tr>
        <w:tc>
          <w:tcPr>
            <w:tcW w:type="dxa" w:w="39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Compose screens specified</w:t>
            </w:r>
          </w:p>
        </w:tc>
        <w:tc>
          <w:tcPr>
            <w:tcW w:type="dxa" w:w="5179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32</w:t>
            </w:r>
            <w:r>
              <w:rPr>
                <w:i w:val="0"/>
                <w:sz w:val="18"/>
              </w:rPr>
              <w:t xml:space="preserve"> (CMP-DOC-12 §4.1 — 31 numbered plus Screen 32)</w:t>
            </w:r>
          </w:p>
        </w:tc>
      </w:tr>
      <w:tr>
        <w:tc>
          <w:tcPr>
            <w:tcW w:type="dxa" w:w="39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Screens marked </w:t>
            </w:r>
            <w:r>
              <w:rPr>
                <w:b/>
                <w:i w:val="0"/>
                <w:sz w:val="18"/>
              </w:rPr>
              <w:t xml:space="preserve">Partial</w:t>
            </w:r>
            <w:r>
              <w:rPr>
                <w:i w:val="0"/>
                <w:sz w:val="18"/>
              </w:rPr>
              <w:t xml:space="preserve"> by CMP-DOC-12</w:t>
            </w:r>
          </w:p>
        </w:tc>
        <w:tc>
          <w:tcPr>
            <w:tcW w:type="dxa" w:w="517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 (Screens 7, 13, 14, 24)</w:t>
            </w:r>
          </w:p>
        </w:tc>
      </w:tr>
      <w:tr>
        <w:tc>
          <w:tcPr>
            <w:tcW w:type="dxa" w:w="39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Screens </w:t>
            </w:r>
            <w:r>
              <w:rPr>
                <w:b/>
                <w:i w:val="0"/>
                <w:sz w:val="18"/>
              </w:rPr>
              <w:t xml:space="preserve">withheld</w:t>
            </w:r>
            <w:r>
              <w:rPr>
                <w:i w:val="0"/>
                <w:sz w:val="18"/>
              </w:rPr>
              <w:t xml:space="preserve"> by CMP-DOC-12 §17</w:t>
            </w:r>
          </w:p>
        </w:tc>
        <w:tc>
          <w:tcPr>
            <w:tcW w:type="dxa" w:w="517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7. Laravel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256</w:t>
      </w:r>
      <w:r>
        <w:rPr>
          <w:i w:val="0"/>
          <w:sz w:val="20"/>
        </w:rPr>
        <w:t xml:space="preserve"> — the largest platform share, 50% of all work items and 1,780 hours.</w:t>
      </w:r>
    </w:p>
    <w:p>
      <w:pPr>
        <w:spacing w:before="40" w:after="120"/>
      </w:pPr>
      <w:r>
        <w:rPr>
          <w:i w:val="0"/>
          <w:sz w:val="20"/>
        </w:rPr>
        <w:t xml:space="preserve">This is the correct shape. CMP-DOC-07 makes Laravel the </w:t>
      </w:r>
      <w:r>
        <w:rPr>
          <w:b/>
          <w:i w:val="0"/>
          <w:sz w:val="20"/>
        </w:rPr>
        <w:t xml:space="preserve">business authority</w:t>
      </w:r>
      <w:r>
        <w:rPr>
          <w:i w:val="0"/>
          <w:sz w:val="20"/>
        </w:rPr>
        <w:t xml:space="preserve">; CMP-DOC-08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MOB-010</w:t>
      </w:r>
      <w:r>
        <w:rPr>
          <w:i w:val="0"/>
          <w:sz w:val="20"/>
        </w:rPr>
        <w:t xml:space="preserve"> forbids the client from containing a business rule, a fare computation, a seat calculation or a state-transition rule, and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MOB-011</w:t>
      </w:r>
      <w:r>
        <w:rPr>
          <w:i w:val="0"/>
          <w:sz w:val="20"/>
        </w:rPr>
        <w:t xml:space="preserve"> requires that absence to be verified by build-time inspection.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8. API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46</w:t>
      </w:r>
      <w:r>
        <w:rPr>
          <w:i w:val="0"/>
          <w:sz w:val="20"/>
        </w:rPr>
        <w:t xml:space="preserve"> items of work type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API</w:t>
      </w:r>
      <w:r>
        <w:rPr>
          <w:i w:val="0"/>
          <w:sz w:val="20"/>
        </w:rPr>
        <w:t xml:space="preserve">, covering roughly </w:t>
      </w:r>
      <w:r>
        <w:rPr>
          <w:b/>
          <w:i w:val="0"/>
          <w:sz w:val="20"/>
        </w:rPr>
        <w:t xml:space="preserve">60 operations</w:t>
      </w:r>
      <w:r>
        <w:rPr>
          <w:i w:val="0"/>
          <w:sz w:val="20"/>
        </w:rPr>
        <w:t xml:space="preserve"> across the 13 resource groups of CMP-DOC-10 §11, plus the separate safety surface (§12), the provider callback surface (§13) and configuration delivery (§14).</w:t>
      </w:r>
    </w:p>
    <w:p>
      <w:pPr>
        <w:spacing w:before="40" w:after="120"/>
      </w:pPr>
      <w:r>
        <w:rPr>
          <w:b/>
          <w:i w:val="0"/>
          <w:sz w:val="20"/>
        </w:rPr>
        <w:t xml:space="preserve">11 API resources are withheld</w:t>
      </w:r>
      <w:r>
        <w:rPr>
          <w:i w:val="0"/>
          <w:sz w:val="20"/>
        </w:rPr>
        <w:t xml:space="preserve"> (CMP-DOC-10 §11.14) — recurring commute, wallet, rewards, refunds, driver-cancellation consequence, disputes, insurance position, referral, fraud reporting, emergency dispatch, and the operator surfaces.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9. MySQL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35</w:t>
      </w:r>
      <w:r>
        <w:rPr>
          <w:i w:val="0"/>
          <w:sz w:val="20"/>
        </w:rPr>
        <w:t xml:space="preserve"> items, 215 hours, covering the six storage domains of CMP-DOC-11 §4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op_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led_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ev_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proj_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mch_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cfg_</w:t>
      </w:r>
      <w:r>
        <w:rPr>
          <w:i w:val="0"/>
          <w:sz w:val="20"/>
        </w:rPr>
        <w:t xml:space="preserve">) and roughly </w:t>
      </w:r>
      <w:r>
        <w:rPr>
          <w:b/>
          <w:i w:val="0"/>
          <w:sz w:val="20"/>
        </w:rPr>
        <w:t xml:space="preserve">30 tables</w:t>
      </w:r>
      <w:r>
        <w:rPr>
          <w:i w:val="0"/>
          <w:sz w:val="20"/>
        </w:rPr>
        <w:t xml:space="preserve"> realising the nine aggregates of CMP-DOC-09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BADR-02</w:t>
      </w:r>
      <w:r>
        <w:rPr>
          <w:i w:val="0"/>
          <w:sz w:val="20"/>
        </w:rPr>
        <w:t xml:space="preserve">.</w:t>
      </w:r>
    </w:p>
    <w:p>
      <w:pPr>
        <w:spacing w:before="40" w:after="120"/>
      </w:pPr>
      <w:r>
        <w:rPr>
          <w:b/>
          <w:i w:val="0"/>
          <w:sz w:val="20"/>
        </w:rPr>
        <w:t xml:space="preserve">7 tables are withheld</w:t>
      </w:r>
      <w:r>
        <w:rPr>
          <w:i w:val="0"/>
          <w:sz w:val="20"/>
        </w:rPr>
        <w:t xml:space="preserve"> (CMP-DOC-11 §6.11). CMP-DOC-11 states the reason directly: </w:t>
      </w:r>
      <w:r>
        <w:rPr>
          <w:i/>
          <w:sz w:val="20"/>
        </w:rPr>
        <w:t xml:space="preserve">a speculative table acquires foreign keys, then data, then a migration cost — and it encodes a guess about behaviour nobody has decided.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10. Filament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46</w:t>
      </w:r>
      <w:r>
        <w:rPr>
          <w:i w:val="0"/>
          <w:sz w:val="20"/>
        </w:rPr>
        <w:t xml:space="preserve"> items, 320 hours, across four features: admin foundation and the nine projections, inspection and intervention, payment reconciliation, and safety and support case handling.</w:t>
      </w:r>
    </w:p>
    <w:p>
      <w:pPr>
        <w:spacing w:before="40" w:after="120"/>
      </w:pPr>
      <w:r>
        <w:rPr>
          <w:b/>
          <w:i w:val="0"/>
          <w:sz w:val="20"/>
        </w:rPr>
        <w:t xml:space="preserve">5 operator capabilities are withheld</w:t>
      </w:r>
      <w:r>
        <w:rPr>
          <w:i w:val="0"/>
          <w:sz w:val="20"/>
        </w:rPr>
        <w:t xml:space="preserve"> (CMP-DOC-17 §15). Two of them are operationally serious and are carried as risks in §17 below.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11. Payment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34 items</w:t>
      </w:r>
      <w:r>
        <w:rPr>
          <w:i w:val="0"/>
          <w:sz w:val="20"/>
        </w:rPr>
        <w:t xml:space="preserve"> across FEAT-015 (fare and initiation), FEAT-016 (verification and reconciliation) and FEAT-017 (ledger) — 276 hours.</w:t>
      </w:r>
    </w:p>
    <w:p>
      <w:pPr>
        <w:spacing w:before="40" w:after="120"/>
      </w:pPr>
      <w:r>
        <w:rPr>
          <w:i w:val="0"/>
          <w:sz w:val="20"/>
        </w:rPr>
        <w:t xml:space="preserve">CMP-DOC-04 §5.3 states that </w:t>
      </w:r>
      <w:r>
        <w:rPr>
          <w:b/>
          <w:i w:val="0"/>
          <w:sz w:val="20"/>
        </w:rPr>
        <w:t xml:space="preserve">the payment integrity chain is complete and unblocked</w:t>
      </w:r>
      <w:r>
        <w:rPr>
          <w:i w:val="0"/>
          <w:sz w:val="20"/>
        </w:rPr>
        <w:t xml:space="preserve">: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FRD-FR-117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118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124</w:t>
      </w:r>
      <w:r>
        <w:rPr>
          <w:i w:val="0"/>
          <w:sz w:val="20"/>
        </w:rPr>
        <w:t xml:space="preserve">–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131</w:t>
      </w:r>
      <w:r>
        <w:rPr>
          <w:i w:val="0"/>
          <w:sz w:val="20"/>
        </w:rPr>
        <w:t xml:space="preserve"> and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133</w:t>
      </w:r>
      <w:r>
        <w:rPr>
          <w:i w:val="0"/>
          <w:sz w:val="20"/>
        </w:rPr>
        <w:t xml:space="preserve"> together implement every absolute payment rule and depend on no open business decision. This analysis agrees, and CMP-DOC-04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FR-03</w:t>
      </w:r>
      <w:r>
        <w:rPr>
          <w:i w:val="0"/>
          <w:sz w:val="20"/>
        </w:rPr>
        <w:t xml:space="preserve"> recommends building it first. Two things around it are not buildable: the </w:t>
      </w:r>
      <w:r>
        <w:rPr>
          <w:i/>
          <w:sz w:val="20"/>
        </w:rPr>
        <w:t xml:space="preserve">composition</w:t>
      </w:r>
      <w:r>
        <w:rPr>
          <w:i w:val="0"/>
          <w:sz w:val="20"/>
        </w:rPr>
        <w:t xml:space="preserve"> of the amount payable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BAD-DEC-003</w:t>
      </w:r>
      <w:r>
        <w:rPr>
          <w:i w:val="0"/>
          <w:sz w:val="20"/>
        </w:rPr>
        <w:t xml:space="preserve">) and the </w:t>
      </w:r>
      <w:r>
        <w:rPr>
          <w:i/>
          <w:sz w:val="20"/>
        </w:rPr>
        <w:t xml:space="preserve">return</w:t>
      </w:r>
      <w:r>
        <w:rPr>
          <w:i w:val="0"/>
          <w:sz w:val="20"/>
        </w:rPr>
        <w:t xml:space="preserve"> of value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BAD-DEC-010</w:t>
      </w:r>
      <w:r>
        <w:rPr>
          <w:i w:val="0"/>
          <w:sz w:val="20"/>
        </w:rPr>
        <w:t xml:space="preserve">).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12. GPS / live trip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24 items</w:t>
      </w:r>
      <w:r>
        <w:rPr>
          <w:i w:val="0"/>
          <w:sz w:val="20"/>
        </w:rPr>
        <w:t xml:space="preserve"> across FEAT-019 (position tracking) and FEAT-020 (estimates and multi-passenger trip) — 221 hours.</w:t>
      </w:r>
    </w:p>
    <w:p>
      <w:pPr>
        <w:spacing w:before="40" w:after="120"/>
      </w:pPr>
      <w:r>
        <w:rPr>
          <w:i w:val="0"/>
          <w:sz w:val="20"/>
        </w:rPr>
        <w:t xml:space="preserve">CMP-DOC-15 delivers a complete tracking mechanism with </w:t>
      </w:r>
      <w:r>
        <w:rPr>
          <w:b/>
          <w:i w:val="0"/>
          <w:sz w:val="20"/>
        </w:rPr>
        <w:t xml:space="preserve">no values set</w:t>
      </w:r>
      <w:r>
        <w:rPr>
          <w:i w:val="0"/>
          <w:sz w:val="20"/>
        </w:rPr>
        <w:t xml:space="preserve">: cadence, staleness bound and retention are all configuration, and every one is unset.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13. Testing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49</w:t>
      </w:r>
      <w:r>
        <w:rPr>
          <w:i w:val="0"/>
          <w:sz w:val="20"/>
        </w:rPr>
        <w:t xml:space="preserve"> items of work type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Testing</w:t>
      </w:r>
      <w:r>
        <w:rPr>
          <w:i w:val="0"/>
          <w:sz w:val="20"/>
        </w:rPr>
        <w:t xml:space="preserve">, of which </w:t>
      </w:r>
      <w:r>
        <w:rPr>
          <w:b/>
          <w:i w:val="0"/>
          <w:sz w:val="20"/>
        </w:rPr>
        <w:t xml:space="preserve">14</w:t>
      </w:r>
      <w:r>
        <w:rPr>
          <w:i w:val="0"/>
          <w:sz w:val="20"/>
        </w:rPr>
        <w:t xml:space="preserve"> form the verification infrastructure (FEAT-037) and the remainder are per-feature test suites.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4805"/>
        <w:gridCol w:w="1880"/>
        <w:gridCol w:w="2402"/>
      </w:tblGrid>
      <w:tr>
        <w:trPr>
          <w:tblHeader/>
        </w:trPr>
        <w:tc>
          <w:tcPr>
            <w:tcW w:type="dxa" w:w="480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Verification obligation</w:t>
            </w:r>
          </w:p>
        </w:tc>
        <w:tc>
          <w:tcPr>
            <w:tcW w:type="dxa" w:w="188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Source</w:t>
            </w:r>
          </w:p>
        </w:tc>
        <w:tc>
          <w:tcPr>
            <w:tcW w:type="dxa" w:w="240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Count</w:t>
            </w:r>
          </w:p>
        </w:tc>
      </w:tr>
      <w:tr>
        <w:tc>
          <w:tcPr>
            <w:tcW w:type="dxa" w:w="48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Consolidated verification obligations</w:t>
            </w:r>
          </w:p>
        </w:tc>
        <w:tc>
          <w:tcPr>
            <w:tcW w:type="dxa" w:w="18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CMP-DOC-18 §4</w:t>
            </w:r>
          </w:p>
        </w:tc>
        <w:tc>
          <w:tcPr>
            <w:tcW w:type="dxa" w:w="24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99</w:t>
            </w:r>
          </w:p>
        </w:tc>
      </w:tr>
      <w:tr>
        <w:tc>
          <w:tcPr>
            <w:tcW w:type="dxa" w:w="48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Non-suppressible at gate 4</w:t>
            </w:r>
          </w:p>
        </w:tc>
        <w:tc>
          <w:tcPr>
            <w:tcW w:type="dxa" w:w="18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TC-021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TC-200</w:t>
            </w:r>
          </w:p>
        </w:tc>
        <w:tc>
          <w:tcPr>
            <w:tcW w:type="dxa" w:w="2402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25</w:t>
            </w:r>
          </w:p>
        </w:tc>
      </w:tr>
      <w:tr>
        <w:tc>
          <w:tcPr>
            <w:tcW w:type="dxa" w:w="48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Structural rules at gate 1</w:t>
            </w:r>
          </w:p>
        </w:tc>
        <w:tc>
          <w:tcPr>
            <w:tcW w:type="dxa" w:w="188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TC-037</w:t>
            </w:r>
          </w:p>
        </w:tc>
        <w:tc>
          <w:tcPr>
            <w:tcW w:type="dxa" w:w="240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13 (8 non-suppressible)</w:t>
            </w:r>
          </w:p>
        </w:tc>
      </w:tr>
      <w:tr>
        <w:tc>
          <w:tcPr>
            <w:tcW w:type="dxa" w:w="480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Integrity-critical statements across the chain</w:t>
            </w:r>
          </w:p>
        </w:tc>
        <w:tc>
          <w:tcPr>
            <w:tcW w:type="dxa" w:w="188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CMP-DOC-20 §4.3</w:t>
            </w:r>
          </w:p>
        </w:tc>
        <w:tc>
          <w:tcPr>
            <w:tcW w:type="dxa" w:w="240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1,412</w:t>
            </w:r>
          </w:p>
        </w:tc>
      </w:tr>
      <w:tr>
        <w:tc>
          <w:tcPr>
            <w:tcW w:type="dxa" w:w="480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Integrity-critical mapping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TC-017</w:t>
            </w:r>
            <w:r>
              <w:rPr>
                <w:i w:val="0"/>
                <w:sz w:val="18"/>
              </w:rPr>
              <w:t xml:space="preserve">)</w:t>
            </w:r>
          </w:p>
        </w:tc>
        <w:tc>
          <w:tcPr>
            <w:tcW w:type="dxa" w:w="188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CMP-DOC-18</w:t>
            </w:r>
          </w:p>
        </w:tc>
        <w:tc>
          <w:tcPr>
            <w:tcW w:type="dxa" w:w="2402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i w:val="0"/>
          <w:rFonts w:ascii="Consolas" w:hAnsi="Consolas"/>
          <w:sz w:val="19"/>
          <w:shd w:val="clear" w:color="auto" w:fill="F3F5F7"/>
        </w:rPr>
        <w:t xml:space="preserve">TC-017</w:t>
      </w:r>
      <w:r>
        <w:rPr>
          <w:i w:val="0"/>
          <w:sz w:val="20"/>
        </w:rPr>
        <w:t xml:space="preserve"> — mapping every integrity-critical statement to an owning obligation — is release readiness criterion 6 and is carried in the register at 24 hours. It is analysis work, it gates gate 4, and no code depends on it.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14. DevOps work items</w:t>
      </w:r>
    </w:p>
    <w:p>
      <w:pPr>
        <w:spacing w:before="40" w:after="120"/>
      </w:pPr>
      <w:r>
        <w:rPr>
          <w:b/>
          <w:i w:val="0"/>
          <w:sz w:val="20"/>
        </w:rPr>
        <w:t xml:space="preserve">21 items</w:t>
      </w:r>
      <w:r>
        <w:rPr>
          <w:i w:val="0"/>
          <w:sz w:val="20"/>
        </w:rPr>
        <w:t xml:space="preserve"> across FEAT-038 (build, pipeline, environments) and FEAT-039 (observability) — 217 hours. Four environments, five deployment units, four gates, 18 measurement points.</w:t>
      </w:r>
    </w:p>
    <w:p>
      <w:pPr>
        <w:spacing w:before="40" w:after="120"/>
      </w:pPr>
      <w:r>
        <w:rPr>
          <w:b/>
          <w:i w:val="0"/>
          <w:sz w:val="20"/>
        </w:rPr>
        <w:t xml:space="preserve">None of it can be provisioned.</w:t>
      </w:r>
      <w:r>
        <w:rPr>
          <w:i w:val="0"/>
          <w:sz w:val="20"/>
        </w:rPr>
        <w:t xml:space="preserve"> All 21 sizing decisions are open and the hosting provider is unselected. CMP-DOC-19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OPS-014</w:t>
      </w:r>
      <w:r>
        <w:rPr>
          <w:i w:val="0"/>
          <w:sz w:val="20"/>
        </w:rPr>
        <w:t xml:space="preserve"> states this plainly, and CMP-DOC-20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TR-081</w:t>
      </w:r>
      <w:r>
        <w:rPr>
          <w:i w:val="0"/>
          <w:sz w:val="20"/>
        </w:rPr>
        <w:t xml:space="preserve"> records that the sizing class blocks everything downstream of it.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15. Estimated 15-day workload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6846"/>
        <w:gridCol w:w="871"/>
        <w:gridCol w:w="1369"/>
      </w:tblGrid>
      <w:tr>
        <w:trPr>
          <w:tblHeader/>
        </w:trPr>
        <w:tc>
          <w:tcPr>
            <w:tcW w:type="dxa" w:w="684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Measure</w:t>
            </w:r>
          </w:p>
        </w:tc>
        <w:tc>
          <w:tcPr>
            <w:tcW w:type="dxa" w:w="87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Items</w:t>
            </w:r>
          </w:p>
        </w:tc>
        <w:tc>
          <w:tcPr>
            <w:tcW w:type="dxa" w:w="136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Effort</w:t>
            </w:r>
          </w:p>
        </w:tc>
      </w:tr>
      <w:tr>
        <w:tc>
          <w:tcPr>
            <w:tcW w:type="dxa" w:w="684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Allocated to Day 1 – Day 15</w:t>
            </w:r>
          </w:p>
        </w:tc>
        <w:tc>
          <w:tcPr>
            <w:tcW w:type="dxa" w:w="871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336</w:t>
            </w:r>
          </w:p>
        </w:tc>
        <w:tc>
          <w:tcPr>
            <w:tcW w:type="dxa" w:w="1369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2,540 h</w:t>
            </w:r>
          </w:p>
        </w:tc>
      </w:tr>
      <w:tr>
        <w:tc>
          <w:tcPr>
            <w:tcW w:type="dxa" w:w="684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Deferred to Post-MVP</w:t>
            </w:r>
          </w:p>
        </w:tc>
        <w:tc>
          <w:tcPr>
            <w:tcW w:type="dxa" w:w="87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161</w:t>
            </w:r>
          </w:p>
        </w:tc>
        <w:tc>
          <w:tcPr>
            <w:tcW w:type="dxa" w:w="13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1,184 h</w:t>
            </w:r>
          </w:p>
        </w:tc>
      </w:tr>
      <w:tr>
        <w:tc>
          <w:tcPr>
            <w:tcW w:type="dxa" w:w="684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Unschedulable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TBD</w:t>
            </w:r>
            <w:r>
              <w:rPr>
                <w:i w:val="0"/>
                <w:sz w:val="18"/>
              </w:rPr>
              <w:t xml:space="preserve">, blocked on a value or a supplier)</w:t>
            </w:r>
          </w:p>
        </w:tc>
        <w:tc>
          <w:tcPr>
            <w:tcW w:type="dxa" w:w="87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13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78 h</w:t>
            </w:r>
          </w:p>
        </w:tc>
      </w:tr>
      <w:tr>
        <w:tc>
          <w:tcPr>
            <w:tcW w:type="dxa" w:w="6846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Total</w:t>
            </w:r>
          </w:p>
        </w:tc>
        <w:tc>
          <w:tcPr>
            <w:tcW w:type="dxa" w:w="871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507</w:t>
            </w:r>
          </w:p>
        </w:tc>
        <w:tc>
          <w:tcPr>
            <w:tcW w:type="dxa" w:w="1369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3,802 h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The day allocation is dependency-ordered, not capacity-fitted.</w:t>
      </w:r>
      <w:r>
        <w:rPr>
          <w:i w:val="0"/>
          <w:sz w:val="20"/>
        </w:rPr>
        <w:t xml:space="preserve"> Day </w:t>
      </w:r>
      <w:r>
        <w:rPr>
          <w:i/>
          <w:sz w:val="20"/>
        </w:rPr>
        <w:t xml:space="preserve">n</w:t>
      </w:r>
      <w:r>
        <w:rPr>
          <w:i w:val="0"/>
          <w:sz w:val="20"/>
        </w:rPr>
        <w:t xml:space="preserve"> means </w:t>
      </w:r>
      <w:r>
        <w:rPr>
          <w:i/>
          <w:sz w:val="20"/>
        </w:rPr>
        <w:t xml:space="preserve">this work becomes possible on day n given what precedes it</w:t>
      </w:r>
      <w:r>
        <w:rPr>
          <w:i w:val="0"/>
          <w:sz w:val="20"/>
        </w:rPr>
        <w:t xml:space="preserve">, not </w:t>
      </w:r>
      <w:r>
        <w:rPr>
          <w:i/>
          <w:sz w:val="20"/>
        </w:rPr>
        <w:t xml:space="preserve">this work fits in day n</w:t>
      </w:r>
      <w:r>
        <w:rPr>
          <w:i w:val="0"/>
          <w:sz w:val="20"/>
        </w:rPr>
        <w:t xml:space="preserve">.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967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96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Day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1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2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3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4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5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6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7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8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9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10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11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12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13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14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15</w:t>
            </w:r>
          </w:p>
        </w:tc>
      </w:tr>
      <w:tr>
        <w:tc>
          <w:tcPr>
            <w:tcW w:type="dxa" w:w="96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Items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17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24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23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32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25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38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18</w:t>
            </w:r>
          </w:p>
        </w:tc>
      </w:tr>
      <w:tr>
        <w:tc>
          <w:tcPr>
            <w:tcW w:type="dxa" w:w="96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Hours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147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193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192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182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194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232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199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268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235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204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127</w:t>
            </w:r>
          </w:p>
        </w:tc>
      </w:tr>
    </w:tbl>
    <w:p>
      <w:pPr>
        <w:spacing w:after="120"/>
      </w:pP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sz w:val="20"/>
        </w:rPr>
        <w:t xml:space="preserve">2,540 hours over 15 days is approximately 169 hours per day.</w:t>
      </w:r>
      <w:r>
        <w:rPr>
          <w:i w:val="0"/>
          <w:sz w:val="20"/>
        </w:rPr>
        <w:t xml:space="preserve"> At 8 productive hours per engineer that implies a team of </w:t>
      </w:r>
      <w:r>
        <w:rPr>
          <w:b/>
          <w:i w:val="0"/>
          <w:sz w:val="20"/>
        </w:rPr>
        <w:t xml:space="preserve">about 21</w:t>
      </w:r>
      <w:r>
        <w:rPr>
          <w:i w:val="0"/>
          <w:sz w:val="20"/>
        </w:rPr>
        <w:t xml:space="preserve">. No team composition, budget or delivery horizon has been supplied —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BAD-CON-017</w:t>
      </w:r>
      <w:r>
        <w:rPr>
          <w:i w:val="0"/>
          <w:sz w:val="20"/>
        </w:rPr>
        <w:t xml:space="preserve"> records their absence and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BAD-DEC-002</w:t>
      </w:r>
      <w:r>
        <w:rPr>
          <w:i w:val="0"/>
          <w:sz w:val="20"/>
        </w:rPr>
        <w:t xml:space="preserve"> is the decision that would supply them. </w:t>
      </w:r>
      <w:r>
        <w:rPr>
          <w:b/>
          <w:i w:val="0"/>
          <w:sz w:val="20"/>
        </w:rPr>
        <w:t xml:space="preserve">The 15-day sprint is therefore a sequence, not a commitment</w:t>
      </w:r>
      <w:r>
        <w:rPr>
          <w:i w:val="0"/>
          <w:sz w:val="20"/>
        </w:rPr>
        <w:t xml:space="preserve">, and should not be reported as one. See §21.</w:t>
      </w:r>
    </w:p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16. Major dependencies</w:t>
      </w:r>
    </w:p>
    <w:p>
      <w:pPr>
        <w:spacing w:before="40" w:after="120"/>
      </w:pPr>
      <w:r>
        <w:rPr>
          <w:i w:val="0"/>
          <w:sz w:val="20"/>
        </w:rPr>
        <w:t xml:space="preserve">Recorded in full on sheet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10_Dependencies</w:t>
      </w:r>
      <w:r>
        <w:rPr>
          <w:i w:val="0"/>
          <w:sz w:val="20"/>
        </w:rPr>
        <w:t xml:space="preserve"> (57 entries). The ones that govern everything else: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600"/>
        <w:gridCol w:w="3689"/>
        <w:gridCol w:w="1161"/>
        <w:gridCol w:w="4099"/>
      </w:tblGrid>
      <w:tr>
        <w:trPr>
          <w:tblHeader/>
        </w:trPr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#</w:t>
            </w:r>
          </w:p>
        </w:tc>
        <w:tc>
          <w:tcPr>
            <w:tcW w:type="dxa" w:w="368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Dependency</w:t>
            </w:r>
          </w:p>
        </w:tc>
        <w:tc>
          <w:tcPr>
            <w:tcW w:type="dxa" w:w="116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Type</w:t>
            </w:r>
          </w:p>
        </w:tc>
        <w:tc>
          <w:tcPr>
            <w:tcW w:type="dxa" w:w="409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Gates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3689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Approval of CMP-DOC-01 … CMP-DOC-20 in chain order</w:t>
            </w:r>
          </w:p>
        </w:tc>
        <w:tc>
          <w:tcPr>
            <w:tcW w:type="dxa" w:w="1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 approval</w:t>
            </w:r>
          </w:p>
        </w:tc>
        <w:tc>
          <w:tcPr>
            <w:tcW w:type="dxa" w:w="409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Everything. Zero of twenty are approved; every document from CMP-DOC-02 onward was produced from unapproved predecessors and records the conflict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TR-131</w:t>
            </w:r>
            <w:r>
              <w:rPr>
                <w:i w:val="0"/>
                <w:sz w:val="18"/>
              </w:rPr>
              <w:t xml:space="preserve">).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</w:t>
            </w:r>
          </w:p>
        </w:tc>
        <w:tc>
          <w:tcPr>
            <w:tcW w:type="dxa" w:w="3689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rFonts w:ascii="Consolas" w:hAnsi="Consolas"/>
                <w:sz w:val="17"/>
                <w:shd w:val="clear" w:color="auto" w:fill="F3F5F7"/>
              </w:rPr>
              <w:t xml:space="preserve">BAD-DEP-009</w:t>
            </w:r>
            <w:r>
              <w:rPr>
                <w:b/>
                <w:i w:val="0"/>
                <w:sz w:val="18"/>
              </w:rPr>
              <w:t xml:space="preserve"> hosting provider</w:t>
            </w:r>
          </w:p>
        </w:tc>
        <w:tc>
          <w:tcPr>
            <w:tcW w:type="dxa" w:w="1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</w:t>
            </w:r>
          </w:p>
        </w:tc>
        <w:tc>
          <w:tcPr>
            <w:tcW w:type="dxa" w:w="409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 provisioning, through sizing decision 10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OPS-014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TR-081</w:t>
            </w:r>
            <w:r>
              <w:rPr>
                <w:i w:val="0"/>
                <w:sz w:val="18"/>
              </w:rPr>
              <w:t xml:space="preserve">)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</w:t>
            </w:r>
          </w:p>
        </w:tc>
        <w:tc>
          <w:tcPr>
            <w:tcW w:type="dxa" w:w="3689"/>
          </w:tcPr>
          <w:p>
            <w:pPr>
              <w:spacing w:before="40" w:after="40"/>
            </w:pPr>
            <w:r>
              <w:rPr>
                <w:b/>
                <w:i w:val="0"/>
                <w:rFonts w:ascii="Consolas" w:hAnsi="Consolas"/>
                <w:sz w:val="17"/>
                <w:shd w:val="clear" w:color="auto" w:fill="F3F5F7"/>
              </w:rPr>
              <w:t xml:space="preserve">BAD-DEC-018</w:t>
            </w:r>
            <w:r>
              <w:rPr>
                <w:b/>
                <w:i w:val="0"/>
                <w:sz w:val="18"/>
              </w:rPr>
              <w:t xml:space="preserve"> KPI and quality targets</w:t>
            </w:r>
          </w:p>
        </w:tc>
        <w:tc>
          <w:tcPr>
            <w:tcW w:type="dxa" w:w="1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</w:t>
            </w:r>
          </w:p>
        </w:tc>
        <w:tc>
          <w:tcPr>
            <w:tcW w:type="dxa" w:w="409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69 quality targets, 11 of 21 sizing decisions, every alert threshold, 5 verification categories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3689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rFonts w:ascii="Consolas" w:hAnsi="Consolas"/>
                <w:sz w:val="17"/>
                <w:shd w:val="clear" w:color="auto" w:fill="F3F5F7"/>
              </w:rPr>
              <w:t xml:space="preserve">BAD-DEC-021</w:t>
            </w:r>
            <w:r>
              <w:rPr>
                <w:b/>
                <w:i w:val="0"/>
                <w:sz w:val="18"/>
              </w:rPr>
              <w:t xml:space="preserve"> retention and closure</w:t>
            </w:r>
          </w:p>
        </w:tc>
        <w:tc>
          <w:tcPr>
            <w:tcW w:type="dxa" w:w="1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</w:t>
            </w:r>
          </w:p>
        </w:tc>
        <w:tc>
          <w:tcPr>
            <w:tcW w:type="dxa" w:w="409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 retention periods, the restore-versus-retention procedure, position history growth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3689"/>
          </w:tcPr>
          <w:p>
            <w:pPr>
              <w:spacing w:before="40" w:after="40"/>
            </w:pPr>
            <w:r>
              <w:rPr>
                <w:b/>
                <w:i w:val="0"/>
                <w:rFonts w:ascii="Consolas" w:hAnsi="Consolas"/>
                <w:sz w:val="17"/>
                <w:shd w:val="clear" w:color="auto" w:fill="F3F5F7"/>
              </w:rPr>
              <w:t xml:space="preserve">BAD-DEC-006</w:t>
            </w:r>
            <w:r>
              <w:rPr>
                <w:b/>
                <w:i w:val="0"/>
                <w:sz w:val="18"/>
              </w:rPr>
              <w:t xml:space="preserve"> administrative role set</w:t>
            </w:r>
          </w:p>
        </w:tc>
        <w:tc>
          <w:tcPr>
            <w:tcW w:type="dxa" w:w="1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</w:t>
            </w:r>
          </w:p>
        </w:tc>
        <w:tc>
          <w:tcPr>
            <w:tcW w:type="dxa" w:w="409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admin surface cannot deploy until one role exists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ADM-168</w:t>
            </w:r>
            <w:r>
              <w:rPr>
                <w:i w:val="0"/>
                <w:sz w:val="18"/>
              </w:rPr>
              <w:t xml:space="preserve">)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3689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rFonts w:ascii="Consolas" w:hAnsi="Consolas"/>
                <w:sz w:val="17"/>
                <w:shd w:val="clear" w:color="auto" w:fill="F3F5F7"/>
              </w:rPr>
              <w:t xml:space="preserve">BAD-DEP-004</w:t>
            </w:r>
            <w:r>
              <w:rPr>
                <w:b/>
                <w:i w:val="0"/>
                <w:sz w:val="18"/>
              </w:rPr>
              <w:t xml:space="preserve"> payment service provider</w:t>
            </w:r>
          </w:p>
        </w:tc>
        <w:tc>
          <w:tcPr>
            <w:tcW w:type="dxa" w:w="1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</w:t>
            </w:r>
          </w:p>
        </w:tc>
        <w:tc>
          <w:tcPr>
            <w:tcW w:type="dxa" w:w="409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payment adapter. The port is buildable; the adapter is not.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</w:t>
            </w:r>
          </w:p>
        </w:tc>
        <w:tc>
          <w:tcPr>
            <w:tcW w:type="dxa" w:w="3689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Route-overlap algorithm</w:t>
            </w:r>
          </w:p>
        </w:tc>
        <w:tc>
          <w:tcPr>
            <w:tcW w:type="dxa" w:w="1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Technical</w:t>
            </w:r>
          </w:p>
        </w:tc>
        <w:tc>
          <w:tcPr>
            <w:tcW w:type="dxa" w:w="409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FEAT-011, the platform's differentiating capability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8</w:t>
            </w:r>
          </w:p>
        </w:tc>
        <w:tc>
          <w:tcPr>
            <w:tcW w:type="dxa" w:w="3689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Launch scale figures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GAP-016</w:t>
            </w:r>
            <w:r>
              <w:rPr>
                <w:i w:val="0"/>
                <w:sz w:val="18"/>
              </w:rPr>
              <w:t xml:space="preserve">)</w:t>
            </w:r>
          </w:p>
        </w:tc>
        <w:tc>
          <w:tcPr>
            <w:tcW w:type="dxa" w:w="1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</w:t>
            </w:r>
          </w:p>
        </w:tc>
        <w:tc>
          <w:tcPr>
            <w:tcW w:type="dxa" w:w="409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Three backend architectural assumptions; index and partitioning strategy; monetary precision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9</w:t>
            </w:r>
          </w:p>
        </w:tc>
        <w:tc>
          <w:tcPr>
            <w:tcW w:type="dxa" w:w="368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Google Maps Platform / Places / Routes access</w:t>
            </w:r>
          </w:p>
        </w:tc>
        <w:tc>
          <w:tcPr>
            <w:tcW w:type="dxa" w:w="11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External service</w:t>
            </w:r>
          </w:p>
        </w:tc>
        <w:tc>
          <w:tcPr>
            <w:tcW w:type="dxa" w:w="409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Publishing, search, tracking, estimates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368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Firebase Cloud Messaging</w:t>
            </w:r>
          </w:p>
        </w:tc>
        <w:tc>
          <w:tcPr>
            <w:tcW w:type="dxa" w:w="11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External service</w:t>
            </w:r>
          </w:p>
        </w:tc>
        <w:tc>
          <w:tcPr>
            <w:tcW w:type="dxa" w:w="409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 delivery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i w:val="0"/>
          <w:sz w:val="20"/>
        </w:rPr>
        <w:t xml:space="preserve">Internal build order is a straight line for the first third: </w:t>
      </w:r>
      <w:r>
        <w:rPr>
          <w:b/>
          <w:i w:val="0"/>
          <w:sz w:val="20"/>
        </w:rPr>
        <w:t xml:space="preserve">database and Laravel foundation → backend authority → evidential log → identity → vehicles → publishing → search → request → booking → payment</w:t>
      </w:r>
      <w:r>
        <w:rPr>
          <w:i w:val="0"/>
          <w:sz w:val="20"/>
        </w:rPr>
        <w:t xml:space="preserve">. Search and matching (FEAT-011) is the only large feature that can be built in parallel with identity, because it depends on publishing data shape rather than on identity behaviour.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17. Major risks</w:t>
      </w:r>
    </w:p>
    <w:p>
      <w:pPr>
        <w:spacing w:before="40" w:after="120"/>
      </w:pPr>
      <w:r>
        <w:rPr>
          <w:i w:val="0"/>
          <w:sz w:val="20"/>
        </w:rPr>
        <w:t xml:space="preserve">Recorded in full on sheet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11_Risks</w:t>
      </w:r>
      <w:r>
        <w:rPr>
          <w:i w:val="0"/>
          <w:sz w:val="20"/>
        </w:rPr>
        <w:t xml:space="preserve"> (20 entries, seeded from the risk registers of CMP-DOC-01, CMP-DOC-04 and CMP-DOC-20). The critical ones: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600"/>
        <w:gridCol w:w="4260"/>
        <w:gridCol w:w="4260"/>
      </w:tblGrid>
      <w:tr>
        <w:trPr>
          <w:tblHeader/>
        </w:trPr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ID</w:t>
            </w:r>
          </w:p>
        </w:tc>
        <w:tc>
          <w:tcPr>
            <w:tcW w:type="dxa" w:w="42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Risk</w:t>
            </w:r>
          </w:p>
        </w:tc>
        <w:tc>
          <w:tcPr>
            <w:tcW w:type="dxa" w:w="42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Why it is critical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RISK-002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A developer implements a gap.</w:t>
            </w:r>
            <w:r>
              <w:rPr>
                <w:i w:val="0"/>
                <w:sz w:val="18"/>
              </w:rPr>
              <w:t xml:space="preserve"> Faced with undecided behaviour, someone writes a reasonable-looking flow and business policy is set by default.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highest-severity risk in CMP-DOC-04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FRD-RISK-002</w:t>
            </w:r>
            <w:r>
              <w:rPr>
                <w:i w:val="0"/>
                <w:sz w:val="18"/>
              </w:rPr>
              <w:t xml:space="preserve">). The register carries implementation work only, so no gap can be picked up and built by mistake; the 29 functional gaps live on 09_Decisions.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RISK-003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The two live product defects ship.</w:t>
            </w:r>
            <w:r>
              <w:rPr>
                <w:i w:val="0"/>
                <w:sz w:val="18"/>
              </w:rPr>
              <w:t xml:space="preserve"> A driver strands passengers; the platform holds money it cannot return.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Both are reachable through </w:t>
            </w:r>
            <w:r>
              <w:rPr>
                <w:i/>
                <w:sz w:val="18"/>
              </w:rPr>
              <w:t xml:space="preserve">specified</w:t>
            </w:r>
            <w:r>
              <w:rPr>
                <w:i w:val="0"/>
                <w:sz w:val="18"/>
              </w:rPr>
              <w:t xml:space="preserve"> behaviour. Neither needs engineering to fix.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RISK-010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A structural rule is relaxed under delivery pressure.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most common severity-20 risk in the chain, recorded independently by six documents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TR-087</w:t>
            </w:r>
            <w:r>
              <w:rPr>
                <w:i w:val="0"/>
                <w:sz w:val="18"/>
              </w:rPr>
              <w:t xml:space="preserve">).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RISK-011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An unresolved decision is resolved by default rather than decided.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second most common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TR-088</w:t>
            </w:r>
            <w:r>
              <w:rPr>
                <w:i w:val="0"/>
                <w:sz w:val="18"/>
              </w:rPr>
              <w:t xml:space="preserve">), and §16 makes it likely.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RISK-013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The 15-day sprint is read as a capacity commitment.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2,540 hours in the window; no team size supplied. See §15 and §21.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RISK-014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Nothing can be provisioned.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21 of 21 sizing decisions open.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RISK-016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A safety responder can close an incident and take no action against the account involved.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ADM-196</w:t>
            </w:r>
            <w:r>
              <w:rPr>
                <w:i w:val="0"/>
                <w:sz w:val="18"/>
              </w:rPr>
              <w:t xml:space="preserve">. A live operational hole, not a missing feature.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RISK-019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Regulatory characterisation is unknown</w:t>
            </w:r>
            <w:r>
              <w:rPr>
                <w:i w:val="0"/>
                <w:sz w:val="18"/>
              </w:rPr>
              <w:t xml:space="preserve">, particularly if the platform sets fares or takes a fee.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BAD-RISK-001</w:t>
            </w:r>
            <w:r>
              <w:rPr>
                <w:i w:val="0"/>
                <w:sz w:val="18"/>
              </w:rPr>
              <w:t xml:space="preserve">. The legal opinion is MVP entry precondition 1 and is not held.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RISK-020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A passing test suite is read as readiness.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TR-121</w:t>
            </w:r>
            <w:r>
              <w:rPr>
                <w:i w:val="0"/>
                <w:sz w:val="18"/>
              </w:rPr>
              <w:t xml:space="preserve">. The largest known risks are undecided, not defective.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18. Existing partially implemented functionality</w:t>
      </w:r>
    </w:p>
    <w:p>
      <w:pPr>
        <w:spacing w:before="40" w:after="120"/>
      </w:pPr>
      <w:r>
        <w:rPr>
          <w:b/>
          <w:i w:val="0"/>
          <w:sz w:val="20"/>
        </w:rPr>
        <w:t xml:space="preserve">None. There is no application source code.</w:t>
      </w:r>
    </w:p>
    <w:p>
      <w:pPr>
        <w:spacing w:before="40" w:after="120"/>
      </w:pPr>
      <w:r>
        <w:rPr>
          <w:i w:val="0"/>
          <w:sz w:val="20"/>
        </w:rPr>
        <w:t xml:space="preserve">The repository contained only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Document/</w:t>
      </w:r>
      <w:r>
        <w:rPr>
          <w:i w:val="0"/>
          <w:sz w:val="20"/>
        </w:rPr>
        <w:t xml:space="preserve"> at the time of this analysis. Every one of the 507 work items is therefore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Not Started</w:t>
      </w:r>
      <w:r>
        <w:rPr>
          <w:i w:val="0"/>
          <w:sz w:val="20"/>
        </w:rPr>
        <w:t xml:space="preserve"> or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Blocked</w:t>
      </w:r>
      <w:r>
        <w:rPr>
          <w:i w:val="0"/>
          <w:sz w:val="20"/>
        </w:rPr>
        <w:t xml:space="preserve">; none is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Partially Implemented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Implemented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Deprecated</w:t>
      </w:r>
      <w:r>
        <w:rPr>
          <w:i w:val="0"/>
          <w:sz w:val="20"/>
        </w:rPr>
        <w:t xml:space="preserve"> or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Unknown</w:t>
      </w:r>
      <w:r>
        <w:rPr>
          <w:i w:val="0"/>
          <w:sz w:val="20"/>
        </w:rPr>
        <w:t xml:space="preserve">.</w:t>
      </w:r>
    </w:p>
    <w:p>
      <w:pPr>
        <w:spacing w:before="40" w:after="120"/>
      </w:pPr>
      <w:r>
        <w:rPr>
          <w:i w:val="0"/>
          <w:sz w:val="20"/>
        </w:rPr>
        <w:t xml:space="preserve">This is consistent with CMP-DOC-20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TR-132</w:t>
      </w:r>
      <w:r>
        <w:rPr>
          <w:i w:val="0"/>
          <w:sz w:val="20"/>
        </w:rPr>
        <w:t xml:space="preserve">: </w:t>
      </w:r>
      <w:r>
        <w:rPr>
          <w:i/>
          <w:sz w:val="20"/>
        </w:rPr>
        <w:t xml:space="preserve">the specification is complete and the platform does not exist.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19. Mock / placeholder functionality</w:t>
      </w:r>
    </w:p>
    <w:p>
      <w:pPr>
        <w:spacing w:before="40" w:after="120"/>
      </w:pPr>
      <w:r>
        <w:rPr>
          <w:b/>
          <w:i w:val="0"/>
          <w:sz w:val="20"/>
        </w:rPr>
        <w:t xml:space="preserve">None.</w:t>
      </w:r>
      <w:r>
        <w:rPr>
          <w:i w:val="0"/>
          <w:sz w:val="20"/>
        </w:rPr>
        <w:t xml:space="preserve"> There is no mock data, no fake API, no simulated GPS, no mock payment, no placeholder authentication, no temporary local storage, no hardcoded value and no demo UI — because there is no code.</w:t>
      </w:r>
    </w:p>
    <w:p>
      <w:pPr>
        <w:spacing w:before="40" w:after="120"/>
      </w:pPr>
      <w:r>
        <w:rPr>
          <w:i w:val="0"/>
          <w:sz w:val="20"/>
        </w:rPr>
        <w:t xml:space="preserve">There is therefore </w:t>
      </w:r>
      <w:r>
        <w:rPr>
          <w:b/>
          <w:i w:val="0"/>
          <w:sz w:val="20"/>
        </w:rPr>
        <w:t xml:space="preserve">no mock-to-production migration work</w:t>
      </w:r>
      <w:r>
        <w:rPr>
          <w:i w:val="0"/>
          <w:sz w:val="20"/>
        </w:rPr>
        <w:t xml:space="preserve"> in this plan, and none should appear later. Four documented positions make mock substitution actively dangerous here, and they should be treated as build-time constraints from the first commit: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6569"/>
        <w:gridCol w:w="2518"/>
      </w:tblGrid>
      <w:tr>
        <w:trPr>
          <w:tblHeader/>
        </w:trPr>
        <w:tc>
          <w:tcPr>
            <w:tcW w:type="dxa" w:w="6569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Constraint</w:t>
            </w:r>
          </w:p>
        </w:tc>
        <w:tc>
          <w:tcPr>
            <w:tcW w:type="dxa" w:w="251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Statement</w:t>
            </w:r>
          </w:p>
        </w:tc>
      </w:tr>
      <w:tr>
        <w:tc>
          <w:tcPr>
            <w:tcW w:type="dxa" w:w="65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UPI application response is </w:t>
            </w:r>
            <w:r>
              <w:rPr>
                <w:b/>
                <w:i w:val="0"/>
                <w:sz w:val="18"/>
              </w:rPr>
              <w:t xml:space="preserve">discarded</w:t>
            </w:r>
            <w:r>
              <w:rPr>
                <w:i w:val="0"/>
                <w:sz w:val="18"/>
              </w:rPr>
              <w:t xml:space="preserve">, not trusted</w:t>
            </w:r>
          </w:p>
        </w:tc>
        <w:tc>
          <w:tcPr>
            <w:tcW w:type="dxa" w:w="251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FRD-FR-124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PADR-03</w:t>
            </w:r>
          </w:p>
        </w:tc>
      </w:tr>
      <w:tr>
        <w:tc>
          <w:tcPr>
            <w:tcW w:type="dxa" w:w="65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Payment status is </w:t>
            </w:r>
            <w:r>
              <w:rPr>
                <w:b/>
                <w:i w:val="0"/>
                <w:sz w:val="18"/>
              </w:rPr>
              <w:t xml:space="preserve">never</w:t>
            </w:r>
            <w:r>
              <w:rPr>
                <w:i w:val="0"/>
                <w:sz w:val="18"/>
              </w:rPr>
              <w:t xml:space="preserve"> settable through the interface</w:t>
            </w:r>
          </w:p>
        </w:tc>
        <w:tc>
          <w:tcPr>
            <w:tcW w:type="dxa" w:w="2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API-153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DB-066</w:t>
            </w:r>
          </w:p>
        </w:tc>
      </w:tr>
      <w:tr>
        <w:tc>
          <w:tcPr>
            <w:tcW w:type="dxa" w:w="6569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 position is </w:t>
            </w:r>
            <w:r>
              <w:rPr>
                <w:b/>
                <w:i w:val="0"/>
                <w:sz w:val="18"/>
              </w:rPr>
              <w:t xml:space="preserve">never</w:t>
            </w:r>
            <w:r>
              <w:rPr>
                <w:i w:val="0"/>
                <w:sz w:val="18"/>
              </w:rPr>
              <w:t xml:space="preserve"> presented as current beyond its staleness bound</w:t>
            </w:r>
          </w:p>
        </w:tc>
        <w:tc>
          <w:tcPr>
            <w:tcW w:type="dxa" w:w="251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FRD-FR-150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API-161</w:t>
            </w:r>
          </w:p>
        </w:tc>
      </w:tr>
      <w:tr>
        <w:tc>
          <w:tcPr>
            <w:tcW w:type="dxa" w:w="6569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Failure-induction hooks are </w:t>
            </w:r>
            <w:r>
              <w:rPr>
                <w:b/>
                <w:i w:val="0"/>
                <w:sz w:val="18"/>
              </w:rPr>
              <w:t xml:space="preserve">absent</w:t>
            </w:r>
            <w:r>
              <w:rPr>
                <w:i w:val="0"/>
                <w:sz w:val="18"/>
              </w:rPr>
              <w:t xml:space="preserve"> from the production artefact, verified by static analysis</w:t>
            </w:r>
          </w:p>
        </w:tc>
        <w:tc>
          <w:tcPr>
            <w:tcW w:type="dxa" w:w="251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OPS-099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TC-155</w:t>
            </w:r>
          </w:p>
        </w:tc>
      </w:tr>
    </w:tbl>
    <w:p>
      <w:pPr>
        <w:spacing w:after="120"/>
      </w:pP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sz w:val="20"/>
        </w:rPr>
        <w:t xml:space="preserve">RECOMMENDATION.</w:t>
      </w:r>
      <w:r>
        <w:rPr>
          <w:i w:val="0"/>
          <w:sz w:val="20"/>
        </w:rPr>
        <w:t xml:space="preserve"> Because there is no legacy to migrate, the structural checks (FEAT-001, FEAT-002, FEAT-037) should be built in the first three days, before any feature code exists to violate them. They are cheap now and expensive to retrofit.</w:t>
      </w:r>
    </w:p>
    <w:p>
      <w:pPr>
        <w:spacing w:after="12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20. Recommended MVP cut line</w:t>
      </w: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sz w:val="20"/>
        </w:rPr>
        <w:t xml:space="preserve">Classification: RECOMMENDATION.</w:t>
      </w:r>
      <w:r>
        <w:rPr>
          <w:i w:val="0"/>
          <w:sz w:val="20"/>
        </w:rPr>
        <w:t xml:space="preserve"> The MVP scope itself is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BAD-DEC-020</w:t>
      </w:r>
      <w:r>
        <w:rPr>
          <w:i w:val="0"/>
          <w:sz w:val="20"/>
        </w:rPr>
        <w:t xml:space="preserve"> and is not approved. This is a delivery-sequencing recommendation, not a scope decision.</w:t>
      </w:r>
    </w:p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Build, in this order: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600"/>
        <w:gridCol w:w="2992"/>
        <w:gridCol w:w="2715"/>
        <w:gridCol w:w="3325"/>
      </w:tblGrid>
      <w:tr>
        <w:trPr>
          <w:tblHeader/>
        </w:trPr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#</w:t>
            </w:r>
          </w:p>
        </w:tc>
        <w:tc>
          <w:tcPr>
            <w:tcW w:type="dxa" w:w="2992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Body of work</w:t>
            </w:r>
          </w:p>
        </w:tc>
        <w:tc>
          <w:tcPr>
            <w:tcW w:type="dxa" w:w="271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Features</w:t>
            </w:r>
          </w:p>
        </w:tc>
        <w:tc>
          <w:tcPr>
            <w:tcW w:type="dxa" w:w="332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Rationale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  <w:tc>
          <w:tcPr>
            <w:tcW w:type="dxa" w:w="29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Foundations and structural enforcement</w:t>
            </w:r>
          </w:p>
        </w:tc>
        <w:tc>
          <w:tcPr>
            <w:tcW w:type="dxa" w:w="27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FEAT-001, 002, 003, 037</w:t>
            </w:r>
          </w:p>
        </w:tc>
        <w:tc>
          <w:tcPr>
            <w:tcW w:type="dxa" w:w="332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rules are cheap to install and expensive to retrofit.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</w:t>
            </w:r>
          </w:p>
        </w:tc>
        <w:tc>
          <w:tcPr>
            <w:tcW w:type="dxa" w:w="29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 authority, evidential log, API contract</w:t>
            </w:r>
          </w:p>
        </w:tc>
        <w:tc>
          <w:tcPr>
            <w:tcW w:type="dxa" w:w="27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FEAT-032, 033, 035</w:t>
            </w:r>
          </w:p>
        </w:tc>
        <w:tc>
          <w:tcPr>
            <w:tcW w:type="dxa" w:w="332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24 cross-cutting requirements, no open dependency. Every later feature inherits them.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</w:t>
            </w:r>
          </w:p>
        </w:tc>
        <w:tc>
          <w:tcPr>
            <w:tcW w:type="dxa" w:w="2992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The payment integrity chain</w:t>
            </w:r>
          </w:p>
        </w:tc>
        <w:tc>
          <w:tcPr>
            <w:tcW w:type="dxa" w:w="27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FEAT-016, 017, and the unblocked half of FEAT-015</w:t>
            </w:r>
          </w:p>
        </w:tc>
        <w:tc>
          <w:tcPr>
            <w:tcW w:type="dxa" w:w="332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CMP-DOC-04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FR-03</w:t>
            </w:r>
            <w:r>
              <w:rPr>
                <w:i w:val="0"/>
                <w:sz w:val="18"/>
              </w:rPr>
              <w:t xml:space="preserve">: complete, unblocked, and the code that prevents financial loss.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4</w:t>
            </w:r>
          </w:p>
        </w:tc>
        <w:tc>
          <w:tcPr>
            <w:tcW w:type="dxa" w:w="29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Identity, vehicles, publishing</w:t>
            </w:r>
          </w:p>
        </w:tc>
        <w:tc>
          <w:tcPr>
            <w:tcW w:type="dxa" w:w="27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FEAT-004 – 010</w:t>
            </w:r>
          </w:p>
        </w:tc>
        <w:tc>
          <w:tcPr>
            <w:tcW w:type="dxa" w:w="332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34 of 48 requirements are unblocked.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</w:t>
            </w:r>
          </w:p>
        </w:tc>
        <w:tc>
          <w:tcPr>
            <w:tcW w:type="dxa" w:w="2992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Search and route matching</w:t>
            </w:r>
          </w:p>
        </w:tc>
        <w:tc>
          <w:tcPr>
            <w:tcW w:type="dxa" w:w="27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FEAT-011, 012</w:t>
            </w:r>
          </w:p>
        </w:tc>
        <w:tc>
          <w:tcPr>
            <w:tcW w:type="dxa" w:w="332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24 requirements, no open dependency, and the platform's differentiator. Route the algorithm decision first.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  <w:tc>
          <w:tcPr>
            <w:tcW w:type="dxa" w:w="2992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Safety incident pipeline — </w:t>
            </w:r>
            <w:r>
              <w:rPr>
                <w:b/>
                <w:i w:val="0"/>
                <w:sz w:val="18"/>
              </w:rPr>
              <w:t xml:space="preserve">without the SOS control</w:t>
            </w:r>
          </w:p>
        </w:tc>
        <w:tc>
          <w:tcPr>
            <w:tcW w:type="dxa" w:w="27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FEAT-025</w:t>
            </w:r>
          </w:p>
        </w:tc>
        <w:tc>
          <w:tcPr>
            <w:tcW w:type="dxa" w:w="332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 requirements, fully specified.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FRD-FR-195</w:t>
            </w:r>
            <w:r>
              <w:rPr>
                <w:i w:val="0"/>
                <w:sz w:val="18"/>
              </w:rPr>
              <w:t xml:space="preserve"> keeps the control out, testably.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</w:t>
            </w:r>
          </w:p>
        </w:tc>
        <w:tc>
          <w:tcPr>
            <w:tcW w:type="dxa" w:w="2992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Notifications, administration</w:t>
            </w:r>
          </w:p>
        </w:tc>
        <w:tc>
          <w:tcPr>
            <w:tcW w:type="dxa" w:w="271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FEAT-023, 027 – 031</w:t>
            </w:r>
          </w:p>
        </w:tc>
        <w:tc>
          <w:tcPr>
            <w:tcW w:type="dxa" w:w="3325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12 and 28 requirements respectively, no open dependency.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Do not build, and do not stub, prototype or flag: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4296"/>
        <w:gridCol w:w="4791"/>
      </w:tblGrid>
      <w:tr>
        <w:trPr>
          <w:tblHeader/>
        </w:trPr>
        <w:tc>
          <w:tcPr>
            <w:tcW w:type="dxa" w:w="429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Area</w:t>
            </w:r>
          </w:p>
        </w:tc>
        <w:tc>
          <w:tcPr>
            <w:tcW w:type="dxa" w:w="479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Blocked by</w:t>
            </w:r>
          </w:p>
        </w:tc>
      </w:tr>
      <w:tr>
        <w:tc>
          <w:tcPr>
            <w:tcW w:type="dxa" w:w="429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Ratings and reviews</w:t>
            </w:r>
          </w:p>
        </w:tc>
        <w:tc>
          <w:tcPr>
            <w:tcW w:type="dxa" w:w="479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BAD-DEC-012</w:t>
            </w:r>
            <w:r>
              <w:rPr>
                <w:i w:val="0"/>
                <w:sz w:val="18"/>
              </w:rPr>
              <w:t xml:space="preserve"> — zero functional requirements</w:t>
            </w:r>
          </w:p>
        </w:tc>
      </w:tr>
      <w:tr>
        <w:tc>
          <w:tcPr>
            <w:tcW w:type="dxa" w:w="42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Wallet and rewards</w:t>
            </w:r>
          </w:p>
        </w:tc>
        <w:tc>
          <w:tcPr>
            <w:tcW w:type="dxa" w:w="479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BAD-DEC-013</w:t>
            </w:r>
            <w:r>
              <w:rPr>
                <w:i w:val="0"/>
                <w:sz w:val="18"/>
              </w:rPr>
              <w:t xml:space="preserve"> — zero functional requirements</w:t>
            </w:r>
          </w:p>
        </w:tc>
      </w:tr>
      <w:tr>
        <w:tc>
          <w:tcPr>
            <w:tcW w:type="dxa" w:w="429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Recurring commute</w:t>
            </w:r>
          </w:p>
        </w:tc>
        <w:tc>
          <w:tcPr>
            <w:tcW w:type="dxa" w:w="479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BAD-DEC-008</w:t>
            </w:r>
            <w:r>
              <w:rPr>
                <w:i w:val="0"/>
                <w:sz w:val="18"/>
              </w:rPr>
              <w:t xml:space="preserve"> — zero functional requirements</w:t>
            </w:r>
          </w:p>
        </w:tc>
      </w:tr>
      <w:tr>
        <w:tc>
          <w:tcPr>
            <w:tcW w:type="dxa" w:w="42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Refunds, cancellation consequence, driver settlement</w:t>
            </w:r>
          </w:p>
        </w:tc>
        <w:tc>
          <w:tcPr>
            <w:tcW w:type="dxa" w:w="479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BAD-DEC-009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BAD-DEC-010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BAD-DEC-003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BAD-DEC-004</w:t>
            </w:r>
          </w:p>
        </w:tc>
      </w:tr>
      <w:tr>
        <w:tc>
          <w:tcPr>
            <w:tcW w:type="dxa" w:w="429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SOS control and the safety response protocol</w:t>
            </w:r>
          </w:p>
        </w:tc>
        <w:tc>
          <w:tcPr>
            <w:tcW w:type="dxa" w:w="4791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BAD-DEC-011</w:t>
            </w:r>
            <w:r>
              <w:rPr>
                <w:i w:val="0"/>
                <w:sz w:val="18"/>
              </w:rPr>
              <w:t xml:space="preserve"> — and a staffed response capability</w:t>
            </w:r>
          </w:p>
        </w:tc>
      </w:tr>
      <w:tr>
        <w:tc>
          <w:tcPr>
            <w:tcW w:type="dxa" w:w="429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Verification adjudication; account state change</w:t>
            </w:r>
          </w:p>
        </w:tc>
        <w:tc>
          <w:tcPr>
            <w:tcW w:type="dxa" w:w="479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BAD-DEC-005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BAD-DEC-006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i w:val="0"/>
          <w:rFonts w:ascii="Consolas" w:hAnsi="Consolas"/>
          <w:sz w:val="19"/>
          <w:shd w:val="clear" w:color="auto" w:fill="F3F5F7"/>
        </w:rPr>
        <w:t xml:space="preserve">ADM-187</w:t>
      </w:r>
      <w:r>
        <w:rPr>
          <w:i w:val="0"/>
          <w:sz w:val="20"/>
        </w:rPr>
        <w:t xml:space="preserve"> and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ADM-191</w:t>
      </w:r>
      <w:r>
        <w:rPr>
          <w:i w:val="0"/>
          <w:sz w:val="20"/>
        </w:rPr>
        <w:t xml:space="preserve"> state the rule that matters here: none of these may be </w:t>
      </w:r>
      <w:r>
        <w:rPr>
          <w:i/>
          <w:sz w:val="20"/>
        </w:rPr>
        <w:t xml:space="preserve">presented disabled, hidden behind a role, or marked as forthcoming</w:t>
      </w:r>
      <w:r>
        <w:rPr>
          <w:i w:val="0"/>
          <w:sz w:val="20"/>
        </w:rPr>
        <w:t xml:space="preserve">, and none may be partially built or placed behind a flag.</w:t>
      </w:r>
    </w:p>
    <w:p>
      <w:pPr>
        <w:spacing w:before="40" w:after="120"/>
      </w:pPr>
      <w:r>
        <w:rPr>
          <w:b/>
          <w:i w:val="0"/>
          <w:sz w:val="20"/>
        </w:rPr>
        <w:t xml:space="preserve">Cut line for a first release, if one is forced:</w:t>
      </w:r>
      <w:r>
        <w:rPr>
          <w:i w:val="0"/>
          <w:sz w:val="20"/>
        </w:rPr>
        <w:t xml:space="preserve"> everything above the trip surface — identity through confirmed, paid booking, plus the administrative surface needed to operate it. Live tracking (FEAT-019, FEAT-020) is the natural cut point, because its retention rule does not exist and every tracked trip accumulates location history that nobody has decided how to remove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FRD-RISK-007</w:t>
      </w:r>
      <w:r>
        <w:rPr>
          <w:i w:val="0"/>
          <w:sz w:val="20"/>
        </w:rPr>
        <w:t xml:space="preserve">).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21. Items that cannot realistically fit in 15 days</w:t>
      </w:r>
    </w:p>
    <w:p>
      <w:pPr>
        <w:spacing w:before="40" w:after="120"/>
      </w:pPr>
      <w:r>
        <w:rPr>
          <w:b/>
          <w:i w:val="0"/>
          <w:sz w:val="20"/>
        </w:rPr>
        <w:t xml:space="preserve">Most of the plan.</w:t>
      </w:r>
      <w:r>
        <w:rPr>
          <w:i w:val="0"/>
          <w:sz w:val="20"/>
        </w:rPr>
        <w:t xml:space="preserve"> Stated precisely: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3398"/>
        <w:gridCol w:w="600"/>
        <w:gridCol w:w="600"/>
        <w:gridCol w:w="4741"/>
      </w:tblGrid>
      <w:tr>
        <w:trPr>
          <w:tblHeader/>
        </w:trPr>
        <w:tc>
          <w:tcPr>
            <w:tcW w:type="dxa" w:w="339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Category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Items</w:t>
            </w:r>
          </w:p>
        </w:tc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Effort</w:t>
            </w:r>
          </w:p>
        </w:tc>
        <w:tc>
          <w:tcPr>
            <w:tcW w:type="dxa" w:w="474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Why</w:t>
            </w:r>
          </w:p>
        </w:tc>
      </w:tr>
      <w:tr>
        <w:tc>
          <w:tcPr>
            <w:tcW w:type="dxa" w:w="33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Allocated to Day 1 – 15 by dependency order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336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2,540 h</w:t>
            </w:r>
          </w:p>
        </w:tc>
        <w:tc>
          <w:tcPr>
            <w:tcW w:type="dxa" w:w="47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Requires ~169 h/day — a team of roughly 21 at 8 h/day. No team size exists.</w:t>
            </w:r>
          </w:p>
        </w:tc>
      </w:tr>
      <w:tr>
        <w:tc>
          <w:tcPr>
            <w:tcW w:type="dxa" w:w="33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Explicitly deferred to Post-MVP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161</w:t>
            </w:r>
          </w:p>
        </w:tc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1,184 h</w:t>
            </w:r>
          </w:p>
        </w:tc>
        <w:tc>
          <w:tcPr>
            <w:tcW w:type="dxa" w:w="474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Trips, tracking, messaging, notifications, safety, and the whole administrative surface.</w:t>
            </w:r>
          </w:p>
        </w:tc>
      </w:tr>
      <w:tr>
        <w:tc>
          <w:tcPr>
            <w:tcW w:type="dxa" w:w="339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Unschedulable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10</w:t>
            </w:r>
          </w:p>
        </w:tc>
        <w:tc>
          <w:tcPr>
            <w:tcW w:type="dxa" w:w="60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78 h</w:t>
            </w:r>
          </w:p>
        </w:tc>
        <w:tc>
          <w:tcPr>
            <w:tcW w:type="dxa" w:w="474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Blocked on an unset value or an unselected supplier. No amount of capacity moves them.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What a genuinely 15-day-shaped scope looks like</w:t>
      </w:r>
      <w:r>
        <w:rPr>
          <w:i w:val="0"/>
          <w:sz w:val="20"/>
        </w:rPr>
        <w:t xml:space="preserve">, at a plausible small-team capacity of 5 engineers × 8 h × 15 days ≈ </w:t>
      </w:r>
      <w:r>
        <w:rPr>
          <w:b/>
          <w:i w:val="0"/>
          <w:sz w:val="20"/>
        </w:rPr>
        <w:t xml:space="preserve">600 hours</w:t>
      </w:r>
      <w:r>
        <w:rPr>
          <w:i w:val="0"/>
          <w:sz w:val="20"/>
        </w:rPr>
        <w:t xml:space="preserve">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6126"/>
        <w:gridCol w:w="2348"/>
        <w:gridCol w:w="613"/>
      </w:tblGrid>
      <w:tr>
        <w:trPr>
          <w:tblHeader/>
        </w:trPr>
        <w:tc>
          <w:tcPr>
            <w:tcW w:type="dxa" w:w="612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Included</w:t>
            </w:r>
          </w:p>
        </w:tc>
        <w:tc>
          <w:tcPr>
            <w:tcW w:type="dxa" w:w="234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Features</w:t>
            </w:r>
          </w:p>
        </w:tc>
        <w:tc>
          <w:tcPr>
            <w:tcW w:type="dxa" w:w="61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Effort</w:t>
            </w:r>
          </w:p>
        </w:tc>
      </w:tr>
      <w:tr>
        <w:tc>
          <w:tcPr>
            <w:tcW w:type="dxa" w:w="61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Foundations, structural enforcement, verification infrastructure</w:t>
            </w:r>
          </w:p>
        </w:tc>
        <w:tc>
          <w:tcPr>
            <w:tcW w:type="dxa" w:w="234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FEAT-001, 002, 003, 037</w:t>
            </w:r>
          </w:p>
        </w:tc>
        <w:tc>
          <w:tcPr>
            <w:tcW w:type="dxa" w:w="613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510 h</w:t>
            </w:r>
          </w:p>
        </w:tc>
      </w:tr>
      <w:tr>
        <w:tc>
          <w:tcPr>
            <w:tcW w:type="dxa" w:w="61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 authority and API contract</w:t>
            </w:r>
          </w:p>
        </w:tc>
        <w:tc>
          <w:tcPr>
            <w:tcW w:type="dxa" w:w="234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FEAT-032, 035</w:t>
            </w:r>
          </w:p>
        </w:tc>
        <w:tc>
          <w:tcPr>
            <w:tcW w:type="dxa" w:w="61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152 h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i w:val="0"/>
          <w:sz w:val="20"/>
        </w:rPr>
        <w:t xml:space="preserve">That is already over budget — and it delivers </w:t>
      </w:r>
      <w:r>
        <w:rPr>
          <w:b/>
          <w:i w:val="0"/>
          <w:sz w:val="20"/>
        </w:rPr>
        <w:t xml:space="preserve">no user-visible feature at all</w:t>
      </w:r>
      <w:r>
        <w:rPr>
          <w:i w:val="0"/>
          <w:sz w:val="20"/>
        </w:rPr>
        <w:t xml:space="preserve">. The honest conclusion is that a 15-day window at small-team scale buys the </w:t>
      </w:r>
      <w:r>
        <w:rPr>
          <w:i/>
          <w:sz w:val="20"/>
        </w:rPr>
        <w:t xml:space="preserve">platform skeleton and its structural guarantees</w:t>
      </w:r>
      <w:r>
        <w:rPr>
          <w:i w:val="0"/>
          <w:sz w:val="20"/>
        </w:rPr>
        <w:t xml:space="preserve">, and nothing else. Extending to the first user-visible loop (identity → vehicles → publishing → search) needs roughly </w:t>
      </w:r>
      <w:r>
        <w:rPr>
          <w:b/>
          <w:i w:val="0"/>
          <w:sz w:val="20"/>
        </w:rPr>
        <w:t xml:space="preserve">1,300 hours</w:t>
      </w:r>
      <w:r>
        <w:rPr>
          <w:i w:val="0"/>
          <w:sz w:val="20"/>
        </w:rPr>
        <w:t xml:space="preserve">.</w:t>
      </w: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i w:val="0"/>
          <w:sz w:val="20"/>
        </w:rPr>
        <w:t xml:space="preserve">This is not a criticism of the plan or of the sprint. It is the consequence of a 3,802-hour body of specified work meeting an unstated capacity. The value of stating it is that the Project Owner can now choose: extend the window, increase the team, or reduce the scope — rather than discover the shortfall on Day 12.</w:t>
      </w:r>
    </w:p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Additionally, and independently of capacity:</w:t>
      </w:r>
      <w:r>
        <w:rPr>
          <w:i w:val="0"/>
          <w:sz w:val="20"/>
        </w:rPr>
        <w:t xml:space="preserve"> criteria 7, 8 and 11 of CMP-DOC-20 §10.1 (non-suppressible obligations passing, structural rules enforced, instrumentation live) </w:t>
      </w:r>
      <w:r>
        <w:rPr>
          <w:i/>
          <w:sz w:val="20"/>
        </w:rPr>
        <w:t xml:space="preserve">cannot begin</w:t>
      </w:r>
      <w:r>
        <w:rPr>
          <w:i w:val="0"/>
          <w:sz w:val="20"/>
        </w:rPr>
        <w:t xml:space="preserve"> until criteria 2, 3 and 4 are met, because there is nothing to deploy onto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TR-126</w:t>
      </w:r>
      <w:r>
        <w:rPr>
          <w:i w:val="0"/>
          <w:sz w:val="20"/>
        </w:rPr>
        <w:t xml:space="preserve">).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22. Decisions required</w:t>
      </w:r>
    </w:p>
    <w:p>
      <w:pPr>
        <w:spacing w:before="40" w:after="120"/>
      </w:pPr>
      <w:r>
        <w:rPr>
          <w:i w:val="0"/>
          <w:sz w:val="20"/>
        </w:rPr>
        <w:t xml:space="preserve">Recorded in full on sheet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09_Decisions</w:t>
      </w:r>
      <w:r>
        <w:rPr>
          <w:i w:val="0"/>
          <w:sz w:val="20"/>
        </w:rPr>
        <w:t xml:space="preserve"> (40 entries). Ordered by how much each unblocks: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600"/>
        <w:gridCol w:w="4260"/>
        <w:gridCol w:w="4260"/>
      </w:tblGrid>
      <w:tr>
        <w:trPr>
          <w:tblHeader/>
        </w:trPr>
        <w:tc>
          <w:tcPr>
            <w:tcW w:type="dxa" w:w="60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Priority</w:t>
            </w:r>
          </w:p>
        </w:tc>
        <w:tc>
          <w:tcPr>
            <w:tcW w:type="dxa" w:w="42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Decision</w:t>
            </w:r>
          </w:p>
        </w:tc>
        <w:tc>
          <w:tcPr>
            <w:tcW w:type="dxa" w:w="4260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Unblocks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1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BAD-DEC-009</w:t>
            </w:r>
            <w:r>
              <w:rPr>
                <w:i w:val="0"/>
                <w:sz w:val="18"/>
              </w:rPr>
              <w:t xml:space="preserve"> cancellation +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BAD-DEC-010</w:t>
            </w:r>
            <w:r>
              <w:rPr>
                <w:i w:val="0"/>
                <w:sz w:val="18"/>
              </w:rPr>
              <w:t xml:space="preserve"> refund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two live product defects. </w:t>
            </w:r>
            <w:r>
              <w:rPr>
                <w:b/>
                <w:i w:val="0"/>
                <w:sz w:val="18"/>
              </w:rPr>
              <w:t xml:space="preserve">Neither requires engineering.</w:t>
            </w:r>
            <w:r>
              <w:rPr>
                <w:i w:val="0"/>
                <w:sz w:val="18"/>
              </w:rPr>
              <w:t xml:space="preserve"> Close before any real passenger books.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2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BAD-DEC-007</w:t>
            </w:r>
            <w:r>
              <w:rPr>
                <w:i w:val="0"/>
                <w:sz w:val="18"/>
              </w:rPr>
              <w:t xml:space="preserve"> booking model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Three critical gaps — driver acceptance, seat holding, payment timing. The narrow waist of the product.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3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BAD-DEC-018</w:t>
            </w:r>
            <w:r>
              <w:rPr>
                <w:i w:val="0"/>
                <w:sz w:val="18"/>
              </w:rPr>
              <w:t xml:space="preserve"> KPI and quality targets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69 quality targets, 11 sizing decisions, every alert threshold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4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BAD-DEP-009</w:t>
            </w:r>
            <w:r>
              <w:rPr>
                <w:i w:val="0"/>
                <w:sz w:val="18"/>
              </w:rPr>
              <w:t xml:space="preserve"> hosting provider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All provisioning, through the sizing register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5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BAD-DEC-005</w:t>
            </w:r>
            <w:r>
              <w:rPr>
                <w:i w:val="0"/>
                <w:sz w:val="18"/>
              </w:rPr>
              <w:t xml:space="preserve"> verification policy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Driver eligibility, vehicle capacity evidencing, the entire adjudication capability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6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BAD-DEC-021</w:t>
            </w:r>
            <w:r>
              <w:rPr>
                <w:i w:val="0"/>
                <w:sz w:val="18"/>
              </w:rPr>
              <w:t xml:space="preserve"> retention and closure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Position history growth today; the restore procedure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7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BAD-DEC-006</w:t>
            </w:r>
            <w:r>
              <w:rPr>
                <w:i w:val="0"/>
                <w:sz w:val="18"/>
              </w:rPr>
              <w:t xml:space="preserve"> account states and admin roles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administrative surface cannot deploy without one role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8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BAD-DEC-003</w:t>
            </w:r>
            <w:r>
              <w:rPr>
                <w:i w:val="0"/>
                <w:sz w:val="18"/>
              </w:rPr>
              <w:t xml:space="preserve"> fare +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BAD-DEC-004</w:t>
            </w:r>
            <w:r>
              <w:rPr>
                <w:i w:val="0"/>
                <w:sz w:val="18"/>
              </w:rPr>
              <w:t xml:space="preserve"> settlement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Screen 7 cannot state the amount payable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9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BAD-DEC-011</w:t>
            </w:r>
            <w:r>
              <w:rPr>
                <w:i w:val="0"/>
                <w:sz w:val="18"/>
              </w:rPr>
              <w:t xml:space="preserve"> safety response protocol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Launch gate. SOS cannot ship.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10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BAD-DEC-001</w:t>
            </w:r>
            <w:r>
              <w:rPr>
                <w:i w:val="0"/>
                <w:sz w:val="18"/>
              </w:rPr>
              <w:t xml:space="preserve"> legal opinion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MVP entry precondition 1.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BAD-DEC-003</w:t>
            </w:r>
            <w:r>
              <w:rPr>
                <w:i w:val="0"/>
                <w:sz w:val="18"/>
              </w:rPr>
              <w:t xml:space="preserve"> must not be taken without it.</w:t>
            </w:r>
          </w:p>
        </w:tc>
      </w:tr>
      <w:tr>
        <w:tc>
          <w:tcPr>
            <w:tcW w:type="dxa" w:w="60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11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BAD-DEC-022</w:t>
            </w:r>
            <w:r>
              <w:rPr>
                <w:i w:val="0"/>
                <w:sz w:val="18"/>
              </w:rPr>
              <w:t xml:space="preserve"> privacy boundaries</w:t>
            </w:r>
          </w:p>
        </w:tc>
        <w:tc>
          <w:tcPr>
            <w:tcW w:type="dxa" w:w="4260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Four gaps: disclosure, result precision, messaging availability, trip sharing</w:t>
            </w:r>
          </w:p>
        </w:tc>
      </w:tr>
      <w:tr>
        <w:tc>
          <w:tcPr>
            <w:tcW w:type="dxa" w:w="600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12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BAD-DEC-012</w:t>
            </w:r>
            <w:r>
              <w:rPr>
                <w:i w:val="0"/>
                <w:sz w:val="18"/>
              </w:rPr>
              <w:t xml:space="preserve"> ratings,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BAD-DEC-013</w:t>
            </w:r>
            <w:r>
              <w:rPr>
                <w:i w:val="0"/>
                <w:sz w:val="18"/>
              </w:rPr>
              <w:t xml:space="preserve"> rewards,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BAD-DEC-008</w:t>
            </w:r>
            <w:r>
              <w:rPr>
                <w:i w:val="0"/>
                <w:sz w:val="18"/>
              </w:rPr>
              <w:t xml:space="preserve"> recurring commute</w:t>
            </w:r>
          </w:p>
        </w:tc>
        <w:tc>
          <w:tcPr>
            <w:tcW w:type="dxa" w:w="4260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Three whole functional areas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Technical decisions raised or carried by this analysis: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1298"/>
        <w:gridCol w:w="5991"/>
        <w:gridCol w:w="1797"/>
      </w:tblGrid>
      <w:tr>
        <w:trPr>
          <w:tblHeader/>
        </w:trPr>
        <w:tc>
          <w:tcPr>
            <w:tcW w:type="dxa" w:w="129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ID</w:t>
            </w:r>
          </w:p>
        </w:tc>
        <w:tc>
          <w:tcPr>
            <w:tcW w:type="dxa" w:w="599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Decision</w:t>
            </w:r>
          </w:p>
        </w:tc>
        <w:tc>
          <w:tcPr>
            <w:tcW w:type="dxa" w:w="179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Owner</w:t>
            </w:r>
          </w:p>
        </w:tc>
      </w:tr>
      <w:tr>
        <w:tc>
          <w:tcPr>
            <w:tcW w:type="dxa" w:w="129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TECH-DEC-01</w:t>
            </w:r>
          </w:p>
        </w:tc>
        <w:tc>
          <w:tcPr>
            <w:tcW w:type="dxa" w:w="599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route-overlap algorithm and any minimum overlap threshold</w:t>
            </w:r>
          </w:p>
        </w:tc>
        <w:tc>
          <w:tcPr>
            <w:tcW w:type="dxa" w:w="17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</w:tr>
      <w:tr>
        <w:tc>
          <w:tcPr>
            <w:tcW w:type="dxa" w:w="12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TECH-DEC-02</w:t>
            </w:r>
          </w:p>
        </w:tc>
        <w:tc>
          <w:tcPr>
            <w:tcW w:type="dxa" w:w="599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Supported Android device range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MOB-OQ-001</w:t>
            </w:r>
            <w:r>
              <w:rPr>
                <w:i w:val="0"/>
                <w:sz w:val="18"/>
              </w:rPr>
              <w:t xml:space="preserve">)</w:t>
            </w:r>
          </w:p>
        </w:tc>
        <w:tc>
          <w:tcPr>
            <w:tcW w:type="dxa" w:w="17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</w:tr>
      <w:tr>
        <w:tc>
          <w:tcPr>
            <w:tcW w:type="dxa" w:w="129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TECH-DEC-03</w:t>
            </w:r>
          </w:p>
        </w:tc>
        <w:tc>
          <w:tcPr>
            <w:tcW w:type="dxa" w:w="599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Accessibility conformance standard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MOB-OQ-002</w:t>
            </w:r>
            <w:r>
              <w:rPr>
                <w:i w:val="0"/>
                <w:sz w:val="18"/>
              </w:rPr>
              <w:t xml:space="preserve">)</w:t>
            </w:r>
          </w:p>
        </w:tc>
        <w:tc>
          <w:tcPr>
            <w:tcW w:type="dxa" w:w="17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</w:tr>
      <w:tr>
        <w:tc>
          <w:tcPr>
            <w:tcW w:type="dxa" w:w="12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TECH-DEC-04</w:t>
            </w:r>
          </w:p>
        </w:tc>
        <w:tc>
          <w:tcPr>
            <w:tcW w:type="dxa" w:w="599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Monetary precision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DB-032</w:t>
            </w:r>
            <w:r>
              <w:rPr>
                <w:i w:val="0"/>
                <w:sz w:val="18"/>
              </w:rPr>
              <w:t xml:space="preserve">), which needs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GAP-016</w:t>
            </w:r>
          </w:p>
        </w:tc>
        <w:tc>
          <w:tcPr>
            <w:tcW w:type="dxa" w:w="17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</w:tr>
      <w:tr>
        <w:tc>
          <w:tcPr>
            <w:tcW w:type="dxa" w:w="129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TECH-DEC-05</w:t>
            </w:r>
          </w:p>
        </w:tc>
        <w:tc>
          <w:tcPr>
            <w:tcW w:type="dxa" w:w="599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Verification attempt limits and cool-off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FRD-OQ-003</w:t>
            </w:r>
            <w:r>
              <w:rPr>
                <w:i w:val="0"/>
                <w:sz w:val="18"/>
              </w:rPr>
              <w:t xml:space="preserve">)</w:t>
            </w:r>
          </w:p>
        </w:tc>
        <w:tc>
          <w:tcPr>
            <w:tcW w:type="dxa" w:w="17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 Analyst</w:t>
            </w:r>
          </w:p>
        </w:tc>
      </w:tr>
      <w:tr>
        <w:tc>
          <w:tcPr>
            <w:tcW w:type="dxa" w:w="12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TECH-DEC-06</w:t>
            </w:r>
          </w:p>
        </w:tc>
        <w:tc>
          <w:tcPr>
            <w:tcW w:type="dxa" w:w="599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Who owns incident response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SEC-OQ-07</w:t>
            </w:r>
            <w:r>
              <w:rPr>
                <w:i w:val="0"/>
                <w:sz w:val="18"/>
              </w:rPr>
              <w:t xml:space="preserve">)</w:t>
            </w:r>
          </w:p>
        </w:tc>
        <w:tc>
          <w:tcPr>
            <w:tcW w:type="dxa" w:w="17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Owner</w:t>
            </w:r>
          </w:p>
        </w:tc>
      </w:tr>
      <w:tr>
        <w:tc>
          <w:tcPr>
            <w:tcW w:type="dxa" w:w="129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GAP-013</w:t>
            </w:r>
          </w:p>
        </w:tc>
        <w:tc>
          <w:tcPr>
            <w:tcW w:type="dxa" w:w="599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Fraud detection and response — </w:t>
            </w:r>
            <w:r>
              <w:rPr>
                <w:b/>
                <w:i w:val="0"/>
                <w:sz w:val="18"/>
              </w:rPr>
              <w:t xml:space="preserve">unowned through the entire chain</w:t>
            </w:r>
          </w:p>
        </w:tc>
        <w:tc>
          <w:tcPr>
            <w:tcW w:type="dxa" w:w="17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Security Analyst</w:t>
            </w:r>
          </w:p>
        </w:tc>
      </w:tr>
      <w:tr>
        <w:tc>
          <w:tcPr>
            <w:tcW w:type="dxa" w:w="12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GAP-016</w:t>
            </w:r>
          </w:p>
        </w:tc>
        <w:tc>
          <w:tcPr>
            <w:tcW w:type="dxa" w:w="599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Launch scale figures</w:t>
            </w:r>
          </w:p>
        </w:tc>
        <w:tc>
          <w:tcPr>
            <w:tcW w:type="dxa" w:w="17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</w:tr>
      <w:tr>
        <w:tc>
          <w:tcPr>
            <w:tcW w:type="dxa" w:w="129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GAP-017</w:t>
            </w:r>
          </w:p>
        </w:tc>
        <w:tc>
          <w:tcPr>
            <w:tcW w:type="dxa" w:w="599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Pickup and drop sequencing on a multi-passenger trip</w:t>
            </w:r>
          </w:p>
        </w:tc>
        <w:tc>
          <w:tcPr>
            <w:tcW w:type="dxa" w:w="17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Product Owner</w:t>
            </w:r>
          </w:p>
        </w:tc>
      </w:tr>
      <w:tr>
        <w:tc>
          <w:tcPr>
            <w:tcW w:type="dxa" w:w="12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GAP-018</w:t>
            </w:r>
          </w:p>
        </w:tc>
        <w:tc>
          <w:tcPr>
            <w:tcW w:type="dxa" w:w="599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How user agreement to the rules of participation is recorded</w:t>
            </w:r>
          </w:p>
        </w:tc>
        <w:tc>
          <w:tcPr>
            <w:tcW w:type="dxa" w:w="17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</w:tr>
      <w:tr>
        <w:tc>
          <w:tcPr>
            <w:tcW w:type="dxa" w:w="129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GAP-019</w:t>
            </w:r>
          </w:p>
        </w:tc>
        <w:tc>
          <w:tcPr>
            <w:tcW w:type="dxa" w:w="599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Whether the evidential record carries the originating element</w:t>
            </w:r>
          </w:p>
        </w:tc>
        <w:tc>
          <w:tcPr>
            <w:tcW w:type="dxa" w:w="179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Solution Architect</w:t>
            </w:r>
          </w:p>
        </w:tc>
      </w:tr>
      <w:tr>
        <w:tc>
          <w:tcPr>
            <w:tcW w:type="dxa" w:w="129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GAP-020</w:t>
            </w:r>
          </w:p>
        </w:tc>
        <w:tc>
          <w:tcPr>
            <w:tcW w:type="dxa" w:w="599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Explicit statement of the seat-availability exclusion in search</w:t>
            </w:r>
          </w:p>
        </w:tc>
        <w:tc>
          <w:tcPr>
            <w:tcW w:type="dxa" w:w="179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Backend Lead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b/>
          <w:i w:val="0"/>
          <w:color w:val="1F3A5F"/>
          <w:sz w:val="24"/>
        </w:rPr>
        <w:t xml:space="preserve">22.1 One documentation conflict found during decomposition</w:t>
      </w: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rFonts w:ascii="Consolas" w:hAnsi="Consolas"/>
          <w:sz w:val="19"/>
          <w:shd w:val="clear" w:color="auto" w:fill="F3F5F7"/>
        </w:rPr>
        <w:t xml:space="preserve">DOC-CONFLICT-01</w:t>
      </w:r>
      <w:r>
        <w:rPr>
          <w:b/>
          <w:i w:val="0"/>
          <w:sz w:val="20"/>
        </w:rPr>
        <w:t xml:space="preserve"> — a ratings interface and table exist for an area with zero requirements.</w:t>
      </w:r>
    </w:p>
    <w:p>
      <w:pPr>
        <w:spacing w:before="40" w:after="60"/>
        <w:ind w:left="260"/>
        <w:pBdr>
          <w:left w:val="single" w:sz="18" w:space="8" w:color="1F3A5F"/>
        </w:pBdr>
        <w:shd w:val="clear" w:color="auto" w:fill="EEF2F7"/>
      </w:pPr>
      <w:r>
        <w:rPr>
          <w:i w:val="0"/>
          <w:sz w:val="20"/>
        </w:rPr>
        <w:t xml:space="preserve">CMP-DOC-10 §11.9 lists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POST /trips/{id}/ratings</w:t>
      </w:r>
      <w:r>
        <w:rPr>
          <w:i w:val="0"/>
          <w:sz w:val="20"/>
        </w:rPr>
        <w:t xml:space="preserve"> — </w:t>
      </w:r>
      <w:r>
        <w:rPr>
          <w:i/>
          <w:sz w:val="20"/>
        </w:rPr>
        <w:t xml:space="preserve">rate a counterparty</w:t>
      </w:r>
      <w:r>
        <w:rPr>
          <w:i w:val="0"/>
          <w:sz w:val="20"/>
        </w:rPr>
        <w:t xml:space="preserve"> — citing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FRD-FR-172</w:t>
      </w:r>
      <w:r>
        <w:rPr>
          <w:i w:val="0"/>
          <w:sz w:val="20"/>
        </w:rPr>
        <w:t xml:space="preserve">, which is in fact a </w:t>
      </w:r>
      <w:r>
        <w:rPr>
          <w:b/>
          <w:i w:val="0"/>
          <w:sz w:val="20"/>
        </w:rPr>
        <w:t xml:space="preserve">messaging</w:t>
      </w:r>
      <w:r>
        <w:rPr>
          <w:i w:val="0"/>
          <w:sz w:val="20"/>
        </w:rPr>
        <w:t xml:space="preserve"> requirement (</w:t>
      </w:r>
      <w:r>
        <w:rPr>
          <w:i/>
          <w:sz w:val="20"/>
        </w:rPr>
        <w:t xml:space="preserve">record every message against the conversation for its ride</w:t>
      </w:r>
      <w:r>
        <w:rPr>
          <w:i w:val="0"/>
          <w:sz w:val="20"/>
        </w:rPr>
        <w:t xml:space="preserve">). CMP-DOC-11 §6.7 and §6.10 list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op_trip_ratings</w:t>
      </w:r>
      <w:r>
        <w:rPr>
          <w:i w:val="0"/>
          <w:sz w:val="20"/>
        </w:rPr>
        <w:t xml:space="preserve"> among the tables realising the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Trip</w:t>
      </w:r>
      <w:r>
        <w:rPr>
          <w:i w:val="0"/>
          <w:sz w:val="20"/>
        </w:rPr>
        <w:t xml:space="preserve"> aggregate.</w:t>
      </w:r>
    </w:p>
    <w:p>
      <w:pPr>
        <w:spacing w:before="40" w:after="60"/>
        <w:ind w:left="260"/>
        <w:pBdr>
          <w:left w:val="single" w:sz="18" w:space="8" w:color="1F3A5F"/>
        </w:pBdr>
        <w:shd w:val="clear" w:color="auto" w:fill="EEF2F7"/>
      </w:pPr>
      <w:r>
        <w:rPr>
          <w:i w:val="0"/>
          <w:sz w:val="20"/>
        </w:rPr>
        <w:t xml:space="preserve">CMP-DOC-04 §1.2 and §9.2 record </w:t>
      </w:r>
      <w:r>
        <w:rPr>
          <w:b/>
          <w:i w:val="0"/>
          <w:sz w:val="20"/>
        </w:rPr>
        <w:t xml:space="preserve">Ratings &amp; Reviews as carrying zero functional requirements</w:t>
      </w:r>
      <w:r>
        <w:rPr>
          <w:i w:val="0"/>
          <w:sz w:val="20"/>
        </w:rPr>
        <w:t xml:space="preserve">, withheld pending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BAD-DEC-012</w:t>
      </w:r>
      <w:r>
        <w:rPr>
          <w:i w:val="0"/>
          <w:sz w:val="20"/>
        </w:rPr>
        <w:t xml:space="preserve">, and CMP-DOC-17 §15 withholds reputation records from the support case surface.</w:t>
      </w:r>
    </w:p>
    <w:p>
      <w:pPr>
        <w:spacing w:before="4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sz w:val="20"/>
        </w:rPr>
        <w:t xml:space="preserve">A developer working from CMP-DOC-10 would build a withheld feature.</w:t>
      </w:r>
      <w:r>
        <w:rPr>
          <w:i w:val="0"/>
          <w:sz w:val="20"/>
        </w:rPr>
        <w:t xml:space="preserve"> This is recorded on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09_Decisions</w:t>
      </w:r>
      <w:r>
        <w:rPr>
          <w:i w:val="0"/>
          <w:sz w:val="20"/>
        </w:rPr>
        <w:t xml:space="preserve"> and as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RISK-018</w:t>
      </w:r>
      <w:r>
        <w:rPr>
          <w:i w:val="0"/>
          <w:sz w:val="20"/>
        </w:rPr>
        <w:t xml:space="preserve">. It should be reconciled under change control before construction of the trip feature begins. This analysis does not choose which document is right.</w:t>
      </w:r>
    </w:p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23. How the workbook is meant to be used</w:t>
      </w:r>
    </w:p>
    <w:p>
      <w:pPr>
        <w:spacing w:before="40" w:after="120"/>
      </w:pPr>
      <w:r>
        <w:rPr>
          <w:i w:val="0"/>
          <w:rFonts w:ascii="Consolas" w:hAnsi="Consolas"/>
          <w:sz w:val="19"/>
          <w:shd w:val="clear" w:color="auto" w:fill="F3F5F7"/>
        </w:rPr>
        <w:t xml:space="preserve">CMP-Implementation-Tracker.xlsx</w:t>
      </w:r>
      <w:r>
        <w:rPr>
          <w:i w:val="0"/>
          <w:sz w:val="20"/>
        </w:rPr>
        <w:t xml:space="preserve"> sits beside this document. Thirteen sheets; one master work-item register; everything on the dashboard and the feature summary is a live formula.</w:t>
      </w:r>
    </w:p>
    <w:p>
      <w:pPr>
        <w:spacing w:before="40" w:after="120"/>
      </w:pPr>
      <w:r>
        <w:rPr>
          <w:b/>
          <w:i w:val="0"/>
          <w:rFonts w:ascii="Consolas" w:hAnsi="Consolas"/>
          <w:sz w:val="19"/>
          <w:shd w:val="clear" w:color="auto" w:fill="F3F5F7"/>
        </w:rPr>
        <w:t xml:space="preserve">02_Work_Items</w:t>
      </w:r>
      <w:r>
        <w:rPr>
          <w:b/>
          <w:i w:val="0"/>
          <w:sz w:val="20"/>
        </w:rPr>
        <w:t xml:space="preserve"> is implementation work only.</w:t>
      </w:r>
      <w:r>
        <w:rPr>
          <w:i w:val="0"/>
          <w:sz w:val="20"/>
        </w:rPr>
        <w:t xml:space="preserve"> If something cannot be built by an engineer it is not in that sheet. What is </w:t>
      </w:r>
      <w:r>
        <w:rPr>
          <w:i/>
          <w:sz w:val="20"/>
        </w:rPr>
        <w:t xml:space="preserve">not</w:t>
      </w:r>
      <w:r>
        <w:rPr>
          <w:i w:val="0"/>
          <w:sz w:val="20"/>
        </w:rPr>
        <w:t xml:space="preserve"> there, and where it lives instead: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3894"/>
        <w:gridCol w:w="5193"/>
      </w:tblGrid>
      <w:tr>
        <w:trPr>
          <w:tblHeader/>
        </w:trPr>
        <w:tc>
          <w:tcPr>
            <w:tcW w:type="dxa" w:w="3894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Not a work item</w:t>
            </w:r>
          </w:p>
        </w:tc>
        <w:tc>
          <w:tcPr>
            <w:tcW w:type="dxa" w:w="5193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Carried on</w:t>
            </w:r>
          </w:p>
        </w:tc>
      </w:tr>
      <w:tr>
        <w:tc>
          <w:tcPr>
            <w:tcW w:type="dxa" w:w="38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and technical decisions (40 entries)</w:t>
            </w:r>
          </w:p>
        </w:tc>
        <w:tc>
          <w:tcPr>
            <w:tcW w:type="dxa" w:w="519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09_Decisions</w:t>
            </w:r>
          </w:p>
        </w:tc>
      </w:tr>
      <w:tr>
        <w:tc>
          <w:tcPr>
            <w:tcW w:type="dxa" w:w="38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gaps and withheld areas</w:t>
            </w:r>
          </w:p>
        </w:tc>
        <w:tc>
          <w:tcPr>
            <w:tcW w:type="dxa" w:w="51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09_Decisions</w:t>
            </w:r>
            <w:r>
              <w:rPr>
                <w:i w:val="0"/>
                <w:sz w:val="18"/>
              </w:rPr>
              <w:t xml:space="preserve">, and named in the Notes of the work they block</w:t>
            </w:r>
          </w:p>
        </w:tc>
      </w:tr>
      <w:tr>
        <w:tc>
          <w:tcPr>
            <w:tcW w:type="dxa" w:w="38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Supplier selections and document approval</w:t>
            </w:r>
          </w:p>
        </w:tc>
        <w:tc>
          <w:tcPr>
            <w:tcW w:type="dxa" w:w="519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10_Dependencies</w:t>
            </w:r>
          </w:p>
        </w:tc>
      </w:tr>
      <w:tr>
        <w:tc>
          <w:tcPr>
            <w:tcW w:type="dxa" w:w="3894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Risks</w:t>
            </w:r>
          </w:p>
        </w:tc>
        <w:tc>
          <w:tcPr>
            <w:tcW w:type="dxa" w:w="5193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11_Risks</w:t>
            </w:r>
          </w:p>
        </w:tc>
      </w:tr>
      <w:tr>
        <w:tc>
          <w:tcPr>
            <w:tcW w:type="dxa" w:w="3894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The CMP-DOC-10 / CMP-DOC-11 ratings conflict</w:t>
            </w:r>
          </w:p>
        </w:tc>
        <w:tc>
          <w:tcPr>
            <w:tcW w:type="dxa" w:w="5193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09_Decisions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DOC-CONFLICT-01</w:t>
            </w:r>
            <w:r>
              <w:rPr>
                <w:i w:val="0"/>
                <w:sz w:val="18"/>
              </w:rPr>
              <w:t xml:space="preserve">),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11_Risks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RISK-018</w:t>
            </w:r>
            <w:r>
              <w:rPr>
                <w:i w:val="0"/>
                <w:sz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The six stages are deliberately separate, and nothing collapses them:</w:t>
      </w:r>
    </w:p>
    <w:p>
      <w:pPr>
        <w:spacing w:before="100" w:after="0"/>
        <w:ind w:left="220"/>
        <w:shd w:val="clear" w:color="auto" w:fill="F3F5F7"/>
        <w:pBdr>
          <w:top w:val="single" w:sz="4" w:space="2" w:color="B7C4D4"/>
          <w:left w:val="single" w:sz="4" w:space="4" w:color="B7C4D4"/>
          <w:right w:val="single" w:sz="4" w:space="4" w:color="B7C4D4"/>
        </w:pBdr>
      </w:pPr>
      <w:r>
        <w:rPr>
          <w:rFonts w:ascii="Consolas" w:hAnsi="Consolas"/>
          <w:sz w:val="17"/>
        </w:rPr>
        <w:t xml:space="preserve">Not Started → In Analysis → Ready → In Progress → Implemented → Committed</w:t>
      </w:r>
    </w:p>
    <w:p>
      <w:pPr>
        <w:spacing w:before="0" w:after="0"/>
        <w:ind w:left="220"/>
        <w:shd w:val="clear" w:color="auto" w:fill="F3F5F7"/>
        <w:pBdr>
          <w:left w:val="single" w:sz="4" w:space="4" w:color="B7C4D4"/>
          <w:right w:val="single" w:sz="4" w:space="4" w:color="B7C4D4"/>
          <w:bottom w:val="single" w:sz="4" w:space="2" w:color="B7C4D4"/>
        </w:pBdr>
      </w:pPr>
      <w:r>
        <w:rPr>
          <w:rFonts w:ascii="Consolas" w:hAnsi="Consolas"/>
          <w:sz w:val="17"/>
        </w:rPr>
        <w:t xml:space="preserve">            → Pushed → Testing → Tested → Reviewed → Completed</w:t>
      </w:r>
    </w:p>
    <w:p>
      <w:pPr>
        <w:spacing w:after="100"/>
      </w:pPr>
    </w:p>
    <w:p>
      <w:pPr>
        <w:spacing w:before="40" w:after="120"/>
      </w:pPr>
      <w:r>
        <w:rPr>
          <w:i w:val="0"/>
          <w:rFonts w:ascii="Consolas" w:hAnsi="Consolas"/>
          <w:sz w:val="19"/>
          <w:shd w:val="clear" w:color="auto" w:fill="F3F5F7"/>
        </w:rPr>
        <w:t xml:space="preserve">Implemented</w:t>
      </w:r>
      <w:r>
        <w:rPr>
          <w:i w:val="0"/>
          <w:sz w:val="20"/>
        </w:rPr>
        <w:t xml:space="preserve"> means code exists.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Committed</w:t>
      </w:r>
      <w:r>
        <w:rPr>
          <w:i w:val="0"/>
          <w:sz w:val="20"/>
        </w:rPr>
        <w:t xml:space="preserve"> means a Git commit exists.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Pushed</w:t>
      </w:r>
      <w:r>
        <w:rPr>
          <w:i w:val="0"/>
          <w:sz w:val="20"/>
        </w:rPr>
        <w:t xml:space="preserve"> means it reached the remote.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Tested</w:t>
      </w:r>
      <w:r>
        <w:rPr>
          <w:i w:val="0"/>
          <w:sz w:val="20"/>
        </w:rPr>
        <w:t xml:space="preserve"> means testing completed successfully.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Reviewed</w:t>
      </w:r>
      <w:r>
        <w:rPr>
          <w:i w:val="0"/>
          <w:sz w:val="20"/>
        </w:rPr>
        <w:t xml:space="preserve"> means the Project Owner or a code review accepted it.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Completed</w:t>
      </w:r>
      <w:r>
        <w:rPr>
          <w:i w:val="0"/>
          <w:sz w:val="20"/>
        </w:rPr>
        <w:t xml:space="preserve"> means the whole lifecycle was accepted — and </w:t>
      </w:r>
      <w:r>
        <w:rPr>
          <w:b/>
          <w:i w:val="0"/>
          <w:sz w:val="20"/>
        </w:rPr>
        <w:t xml:space="preserve">nothing in the workbook sets it automatically.</w:t>
      </w:r>
      <w:r>
        <w:rPr>
          <w:i w:val="0"/>
          <w:sz w:val="20"/>
        </w:rPr>
        <w:t xml:space="preserve"> A work item may be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Blocked</w:t>
      </w:r>
      <w:r>
        <w:rPr>
          <w:i w:val="0"/>
          <w:sz w:val="20"/>
        </w:rPr>
        <w:t xml:space="preserve"> at any stage.</w:t>
      </w:r>
    </w:p>
    <w:p>
      <w:pPr>
        <w:spacing w:before="40" w:after="120"/>
      </w:pPr>
      <w:r>
        <w:rPr>
          <w:i w:val="0"/>
          <w:rFonts w:ascii="Consolas" w:hAnsi="Consolas"/>
          <w:sz w:val="19"/>
          <w:shd w:val="clear" w:color="auto" w:fill="F3F5F7"/>
        </w:rPr>
        <w:t xml:space="preserve">TR-121</w:t>
      </w:r>
      <w:r>
        <w:rPr>
          <w:i w:val="0"/>
          <w:sz w:val="20"/>
        </w:rPr>
        <w:t xml:space="preserve"> is the reason the workbook is built this way: </w:t>
      </w:r>
      <w:r>
        <w:rPr>
          <w:i/>
          <w:sz w:val="20"/>
        </w:rPr>
        <w:t xml:space="preserve">a passing test suite is not readiness.</w:t>
      </w:r>
      <w:r>
        <w:rPr>
          <w:i w:val="0"/>
          <w:sz w:val="20"/>
        </w:rPr>
        <w:t xml:space="preserve"> Release readiness is assessed against the twelve criteria of CMP-DOC-20 §10.1, of which </w:t>
      </w:r>
      <w:r>
        <w:rPr>
          <w:b/>
          <w:i w:val="0"/>
          <w:sz w:val="20"/>
        </w:rPr>
        <w:t xml:space="preserve">one is currently met</w:t>
      </w:r>
      <w:r>
        <w:rPr>
          <w:i w:val="0"/>
          <w:sz w:val="20"/>
        </w:rPr>
        <w:t xml:space="preserve">, and any readiness statement must carry the untested-because-undecided set with it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TR-119</w:t>
      </w:r>
      <w:r>
        <w:rPr>
          <w:i w:val="0"/>
          <w:sz w:val="20"/>
        </w:rPr>
        <w:t xml:space="preserve">).</w:t>
      </w:r>
    </w:p>
    <w:p>
      <w:pPr>
        <w:pStyle w:val="Heading3"/>
      </w:pPr>
      <w:r>
        <w:rPr>
          <w:b/>
          <w:i w:val="0"/>
          <w:color w:val="1F3A5F"/>
          <w:sz w:val="24"/>
        </w:rPr>
        <w:t xml:space="preserve">23.1 Deviations from the requested workbook specification</w:t>
      </w:r>
    </w:p>
    <w:p>
      <w:pPr>
        <w:spacing w:before="40" w:after="120"/>
      </w:pPr>
      <w:r>
        <w:rPr>
          <w:i w:val="0"/>
          <w:sz w:val="20"/>
        </w:rPr>
        <w:t xml:space="preserve">Four, all disclosed:</w:t>
      </w:r>
    </w:p>
    <w:p>
      <w:pPr>
        <w:spacing w:before="20" w:after="40"/>
        <w:ind w:left="360" w:hanging="260"/>
      </w:pPr>
      <w:r>
        <w:rPr>
          <w:i w:val="0"/>
          <w:sz w:val="20"/>
        </w:rPr>
        <w:t xml:space="preserve">1.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03_Feature_Summary</w:t>
      </w:r>
      <w:r>
        <w:rPr>
          <w:i w:val="0"/>
          <w:sz w:val="20"/>
        </w:rPr>
        <w:t xml:space="preserve"> carries one column beyond those requested — </w:t>
      </w:r>
      <w:r>
        <w:rPr>
          <w:b/>
          <w:i w:val="0"/>
          <w:sz w:val="20"/>
        </w:rPr>
        <w:t xml:space="preserve">Other Statuses</w:t>
      </w:r>
      <w:r>
        <w:rPr>
          <w:i w:val="0"/>
          <w:sz w:val="20"/>
        </w:rPr>
        <w:t xml:space="preserve"> (</w:t>
      </w:r>
      <w:r>
        <w:rPr>
          <w:i w:val="0"/>
          <w:rFonts w:ascii="Consolas" w:hAnsi="Consolas"/>
          <w:sz w:val="19"/>
          <w:shd w:val="clear" w:color="auto" w:fill="F3F5F7"/>
        </w:rPr>
        <w:t xml:space="preserve">In Analysis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Ready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Cancelled</w:t>
      </w:r>
      <w:r>
        <w:rPr>
          <w:i w:val="0"/>
          <w:sz w:val="20"/>
        </w:rPr>
        <w:t xml:space="preserve">) — so that the status columns reconcile against the total rather than silently under-counting.</w:t>
      </w:r>
    </w:p>
    <w:p>
      <w:pPr>
        <w:spacing w:before="20" w:after="40"/>
        <w:ind w:left="360" w:hanging="260"/>
      </w:pPr>
      <w:r>
        <w:rPr>
          <w:i w:val="0"/>
          <w:sz w:val="20"/>
        </w:rPr>
        <w:t xml:space="preserve">2. The effort column is headed </w:t>
      </w:r>
      <w:r>
        <w:rPr>
          <w:b/>
          <w:i w:val="0"/>
          <w:sz w:val="20"/>
        </w:rPr>
        <w:t xml:space="preserve">Estimated Effort (h)</w:t>
      </w:r>
      <w:r>
        <w:rPr>
          <w:i w:val="0"/>
          <w:sz w:val="20"/>
        </w:rPr>
        <w:t xml:space="preserve"> rather than </w:t>
      </w:r>
      <w:r>
        <w:rPr>
          <w:i/>
          <w:sz w:val="20"/>
        </w:rPr>
        <w:t xml:space="preserve">Estimated Effort</w:t>
      </w:r>
      <w:r>
        <w:rPr>
          <w:i w:val="0"/>
          <w:sz w:val="20"/>
        </w:rPr>
        <w:t xml:space="preserve">, so the unit is unambiguous on the sheet.</w:t>
      </w:r>
    </w:p>
    <w:p>
      <w:pPr>
        <w:spacing w:before="20" w:after="40"/>
        <w:ind w:left="360" w:hanging="260"/>
      </w:pPr>
      <w:r>
        <w:rPr>
          <w:i w:val="0"/>
          <w:sz w:val="20"/>
        </w:rPr>
        <w:t xml:space="preserve">3.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04_Daily_Progress</w:t>
      </w:r>
      <w:r>
        <w:rPr>
          <w:i w:val="0"/>
          <w:sz w:val="20"/>
        </w:rPr>
        <w:t xml:space="preserve"> is </w:t>
      </w:r>
      <w:r>
        <w:rPr>
          <w:b/>
          <w:i w:val="0"/>
          <w:sz w:val="20"/>
        </w:rPr>
        <w:t xml:space="preserve">pre-seeded</w:t>
      </w:r>
      <w:r>
        <w:rPr>
          <w:i w:val="0"/>
          <w:sz w:val="20"/>
        </w:rPr>
        <w:t xml:space="preserve"> with the 336 Day 1 – Day 15 items rather than left empty, so the sheet opens as a usable daily plan. Every owner-maintained column on it is blank.</w:t>
      </w:r>
    </w:p>
    <w:p>
      <w:pPr>
        <w:spacing w:before="20" w:after="40"/>
        <w:ind w:left="360" w:hanging="260"/>
      </w:pPr>
      <w:r>
        <w:rPr>
          <w:i w:val="0"/>
          <w:sz w:val="20"/>
        </w:rPr>
        <w:t xml:space="preserve">4.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02_Work_Items</w:t>
      </w:r>
      <w:r>
        <w:rPr>
          <w:i w:val="0"/>
          <w:sz w:val="20"/>
        </w:rPr>
        <w:t xml:space="preserve"> has </w:t>
      </w:r>
      <w:r>
        <w:rPr>
          <w:b/>
          <w:i w:val="0"/>
          <w:sz w:val="20"/>
        </w:rPr>
        <w:t xml:space="preserve">55 vacant work IDs</w:t>
      </w:r>
      <w:r>
        <w:rPr>
          <w:i w:val="0"/>
          <w:sz w:val="20"/>
        </w:rPr>
        <w:t xml:space="preserve">. Work IDs were issued across the whole analysed set before the not-implementation-work rows were withdrawn, and the ID standard forbids reuse and renumbering. The gaps are deliberate and are itemised in §24.</w:t>
      </w:r>
    </w:p>
    <w:p>
      <w:pPr>
        <w:spacing w:after="80"/>
      </w:pPr>
    </w:p>
    <w:p>
      <w:pPr>
        <w:spacing w:before="120" w:after="120"/>
        <w:pBdr>
          <w:bottom w:val="single" w:sz="6" w:space="4" w:color="B7C4D4"/>
        </w:pBdr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24. Withdrawn work IDs — what was removed from the register, and where it went</w:t>
      </w:r>
    </w:p>
    <w:p>
      <w:pPr>
        <w:spacing w:before="40" w:after="120"/>
      </w:pPr>
      <w:r>
        <w:rPr>
          <w:i w:val="0"/>
          <w:sz w:val="20"/>
        </w:rPr>
        <w:t xml:space="preserve">Work IDs were issued across the whole analysed set. </w:t>
      </w:r>
      <w:r>
        <w:rPr>
          <w:b/>
          <w:i w:val="0"/>
          <w:sz w:val="20"/>
        </w:rPr>
        <w:t xml:space="preserve">55 of them describe things that cannot be built</w:t>
      </w:r>
      <w:r>
        <w:rPr>
          <w:i w:val="0"/>
          <w:sz w:val="20"/>
        </w:rPr>
        <w:t xml:space="preserve">: business decisions, functional gaps, withheld areas and one documentation conflict. They are withdrawn from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02_Work_Items</w:t>
      </w:r>
      <w:r>
        <w:rPr>
          <w:i w:val="0"/>
          <w:sz w:val="20"/>
        </w:rPr>
        <w:t xml:space="preserve"> and, per the ID standard, </w:t>
      </w:r>
      <w:r>
        <w:rPr>
          <w:b/>
          <w:i w:val="0"/>
          <w:sz w:val="20"/>
        </w:rPr>
        <w:t xml:space="preserve">never reissued and never renumbered</w:t>
      </w:r>
      <w:r>
        <w:rPr>
          <w:i w:val="0"/>
          <w:sz w:val="20"/>
        </w:rPr>
        <w:t xml:space="preserve"> — the register carries 507 rows and 55 vacant identifiers.</w:t>
      </w:r>
    </w:p>
    <w:p>
      <w:pPr>
        <w:spacing w:before="40" w:after="120"/>
      </w:pPr>
      <w:r>
        <w:rPr>
          <w:i w:val="0"/>
          <w:sz w:val="20"/>
        </w:rPr>
        <w:t xml:space="preserve">Nothing was lost. Every withdrawn item's content is carried on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09_Decisions</w:t>
      </w:r>
      <w:r>
        <w:rPr>
          <w:i w:val="0"/>
          <w:sz w:val="20"/>
        </w:rPr>
        <w:t xml:space="preserve">,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10_Dependencies</w:t>
      </w:r>
      <w:r>
        <w:rPr>
          <w:i w:val="0"/>
          <w:sz w:val="20"/>
        </w:rPr>
        <w:t xml:space="preserve"> or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11_Risks</w:t>
      </w:r>
      <w:r>
        <w:rPr>
          <w:i w:val="0"/>
          <w:sz w:val="20"/>
        </w:rPr>
        <w:t xml:space="preserve">, which is where a project owner acts on it.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938"/>
        <w:gridCol w:w="2308"/>
        <w:gridCol w:w="4327"/>
        <w:gridCol w:w="1515"/>
      </w:tblGrid>
      <w:tr>
        <w:trPr>
          <w:tblHeader/>
        </w:trPr>
        <w:tc>
          <w:tcPr>
            <w:tcW w:type="dxa" w:w="93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Withdrawn ID</w:t>
            </w:r>
          </w:p>
        </w:tc>
        <w:tc>
          <w:tcPr>
            <w:tcW w:type="dxa" w:w="2308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Why it is not work</w:t>
            </w:r>
          </w:p>
        </w:tc>
        <w:tc>
          <w:tcPr>
            <w:tcW w:type="dxa" w:w="4327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Subject</w:t>
            </w:r>
          </w:p>
        </w:tc>
        <w:tc>
          <w:tcPr>
            <w:tcW w:type="dxa" w:w="1515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Source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CMP-IMP-139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the fare on a published ride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FRD-GAP-005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CMP-IMP-140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Amend a published ride after bookings exist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FRD-GAP-007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CMP-IMP-196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whether a ride request requires driver acceptance, and the behaviour of that decision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FRD-GAP-009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CMP-IMP-197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whether requested seats are held pending payment, and for how long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FRD-GAP-010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CMP-IMP-198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whether payment is taken at booking or on trip completion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FRD-GAP-011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CMP-IMP-234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Establish the composition of the amount payable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FRD-GAP-013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CMP-IMP-258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or technical decision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the unresolved ledger counterparty position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PAY 12.1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CMP-IMP-271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Define the trip state model and its permitted transitions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FRD-GAP-016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CMP-IMP-272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Define the consequence of a trip beginning materially early or late, or ending without completing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FRD-GAP-017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CMP-IMP-319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Determine the point in the journey at which messaging becomes available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FRD-GAP-019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CMP-IMP-368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 a user agreement to a version of the rules of participation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GAP-018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CMP-IMP-369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the SOS control and the safety response protocol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FRD-GAP-020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CMP-IMP-370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live trip sharing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FRD-GAP-021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CMP-IMP-371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Build non-emergency safety reporting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FRD-GAP-022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CMP-IMP-428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KPI targets and alert thresholds for operational reporting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BAD-DEC-018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CMP-IMP-449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Carry the originating element on every evidential record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GAP-019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CMP-IMP-485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Own fraud detection and response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GAP-005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CMP-IMP-518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Select the hosting provider and resolve the twenty-one sizing decisions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BAD-DEP-009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CMP-IMP-526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or technical decision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alerting thresholds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OPS 12.4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CMP-IMP-527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or technical decision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operational log retention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OPS 12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CMP-IMP-528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or technical decision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Set the availability and maintenance window position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OPS 13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CMP-IMP-529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Rating, reviewing and reputation behaviour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CMP-DOC-04 9.2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CMP-IMP-530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 conflict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the conflict: CMP-DOC-10 and CMP-DOC-11 specify a ratings interface and table that CMP-DOC-04 withholds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API 11.9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CMP-IMP-531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Wallet balance, ledger view, credits, debits and transaction history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CMP-DOC-04 9.2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CMP-IMP-532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Reward points, earning, redemption, coupons and history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CMP-DOC-04 9.2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CMP-IMP-533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Operator adjustment of wallet or reward records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FRD-GAP-026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CMP-IMP-534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Recurring commute definition, control and generation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CMP-DOC-04 9.2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CMP-IMP-535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Recurring ride generation as scheduled work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BE-143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CMP-IMP-536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Driver cancellation of a ride carrying confirmed bookings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FRD-GAP-006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CMP-IMP-537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Return of value to a passenger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FRD-GAP-014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CMP-IMP-538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Passenger cancellation, no-show handling and their financial consequences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FRD-GAP-012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CMP-IMP-539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Recording driver earnings and settling funds to drivers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FRD-GAP-015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CMP-IMP-540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Financial consequence of an operator intervention or a support resolution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FRD-GAP-027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CMP-IMP-541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Identity and vehicle verification submission and adjudication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FRD-GAP-023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CMP-IMP-542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Changing a user account state, and any appeal from it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FRD-GAP-024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CMP-IMP-543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Moderating reported content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FRD-GAP-025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CMP-IMP-544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Account closure and the treatment of a closing user data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FRD-GAP-029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CMP-IMP-545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Data retention: what is held, for how long, and how removal reconciles with durability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FRD-GAP-028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CMP-IMP-546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Define the administrative role set from the twelve capabilities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ADM-166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CMP-IMP-547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Approve CMP-DOC-01 through CMP-DOC-20 in chain order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 10.1 criterion 1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CMP-IMP-548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the four decisions that block the majority of outstanding work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 8.4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CMP-IMP-549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BAD-DEC-009 cancellation and BAD-DEC-010 refund before any real passenger books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FR-01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CMP-IMP-550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BAD-DEC-007 the booking model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FRD-GAP-009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CMP-IMP-551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BAD-DEC-003 the fare model and BAD-DEC-004 driver settlement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FRD-GAP-005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CMP-IMP-552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BAD-DEC-005 the verification policy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FRD-GAP-002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CMP-IMP-553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BAD-DEC-011 the safety response protocol and staff a response capability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FRD-GAP-020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CMP-IMP-554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BAD-DEC-022 the privacy boundaries between users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FRD-GAP-001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CMP-IMP-555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Obtain the qualified legal opinion on the operating model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BAD-DEC-001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CMP-IMP-556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Select the six unselected suppliers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 10.1 criterion 3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CMP-IMP-557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Supply the launch scale figures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GAP-016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CMP-IMP-558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Resolve GAP-017 pickup and drop sequencing on a multi-passenger trip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GAP-017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CMP-IMP-559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Approve or amend the proposed MVP scope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BAD-DEC-020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CMP-IMP-560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Decide what constitutes a release gate beyond the non-suppressible set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TR-115</w:t>
            </w:r>
          </w:p>
        </w:tc>
      </w:tr>
      <w:tr>
        <w:tc>
          <w:tcPr>
            <w:tcW w:type="dxa" w:w="93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CMP-IMP-561</w:t>
            </w:r>
          </w:p>
        </w:tc>
        <w:tc>
          <w:tcPr>
            <w:tcW w:type="dxa" w:w="2308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Route the route-overlap algorithm to CMP-DOC-07 as a named technical decision</w:t>
            </w:r>
          </w:p>
        </w:tc>
        <w:tc>
          <w:tcPr>
            <w:tcW w:type="dxa" w:w="1515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FR-06</w:t>
            </w:r>
          </w:p>
        </w:tc>
      </w:tr>
      <w:tr>
        <w:tc>
          <w:tcPr>
            <w:tcW w:type="dxa" w:w="938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CMP-IMP-562</w:t>
            </w:r>
          </w:p>
        </w:tc>
        <w:tc>
          <w:tcPr>
            <w:tcW w:type="dxa" w:w="2308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 or precondition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Complete the forward traceability review of the 37 uncited integrity-critical requirements and the 146 remaining</w:t>
            </w:r>
          </w:p>
        </w:tc>
        <w:tc>
          <w:tcPr>
            <w:tcW w:type="dxa" w:w="1515"/>
          </w:tcPr>
          <w:p>
            <w:pPr>
              <w:spacing w:before="40" w:after="40"/>
            </w:pP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TR 6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i w:val="0"/>
          <w:sz w:val="20"/>
        </w:rPr>
        <w:t xml:space="preserve">Summary of withdrawals</w:t>
      </w:r>
    </w:p>
    <w:tbl>
      <w:tblPr>
        <w:tblW w:type="dxa" w:w="9087"/>
        <w:jc w:val="left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8261"/>
        <w:gridCol w:w="826"/>
      </w:tblGrid>
      <w:tr>
        <w:trPr>
          <w:tblHeader/>
        </w:trPr>
        <w:tc>
          <w:tcPr>
            <w:tcW w:type="dxa" w:w="8261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Category</w:t>
            </w:r>
          </w:p>
        </w:tc>
        <w:tc>
          <w:tcPr>
            <w:tcW w:type="dxa" w:w="826"/>
            <w:shd w:val="clear" w:color="auto" w:fill="EEF2F7"/>
          </w:tcPr>
          <w:p>
            <w:pPr>
              <w:spacing w:before="40" w:after="40"/>
            </w:pPr>
            <w:r>
              <w:rPr>
                <w:b/>
                <w:i w:val="0"/>
                <w:color w:val="1F3A5F"/>
                <w:sz w:val="18"/>
              </w:rPr>
              <w:t xml:space="preserve">IDs</w:t>
            </w:r>
          </w:p>
        </w:tc>
      </w:tr>
      <w:tr>
        <w:tc>
          <w:tcPr>
            <w:tcW w:type="dxa" w:w="82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Project decisions and preconditions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FEAT-045</w:t>
            </w:r>
            <w:r>
              <w:rPr>
                <w:i w:val="0"/>
                <w:sz w:val="18"/>
              </w:rPr>
              <w:t xml:space="preserve">)</w:t>
            </w:r>
          </w:p>
        </w:tc>
        <w:tc>
          <w:tcPr>
            <w:tcW w:type="dxa" w:w="8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16</w:t>
            </w:r>
          </w:p>
        </w:tc>
      </w:tr>
      <w:tr>
        <w:tc>
          <w:tcPr>
            <w:tcW w:type="dxa" w:w="82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Withheld areas (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FEAT-040</w:t>
            </w:r>
            <w:r>
              <w:rPr>
                <w:i w:val="0"/>
                <w:sz w:val="18"/>
              </w:rPr>
              <w:t xml:space="preserve"> … </w:t>
            </w:r>
            <w:r>
              <w:rPr>
                <w:i w:val="0"/>
                <w:rFonts w:ascii="Consolas" w:hAnsi="Consolas"/>
                <w:sz w:val="17"/>
                <w:shd w:val="clear" w:color="auto" w:fill="F3F5F7"/>
              </w:rPr>
              <w:t xml:space="preserve">FEAT-044</w:t>
            </w:r>
            <w:r>
              <w:rPr>
                <w:i w:val="0"/>
                <w:sz w:val="18"/>
              </w:rPr>
              <w:t xml:space="preserve">)</w:t>
            </w:r>
          </w:p>
        </w:tc>
        <w:tc>
          <w:tcPr>
            <w:tcW w:type="dxa" w:w="8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18</w:t>
            </w:r>
          </w:p>
        </w:tc>
      </w:tr>
      <w:tr>
        <w:tc>
          <w:tcPr>
            <w:tcW w:type="dxa" w:w="82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Functional gaps embedded in buildable features</w:t>
            </w:r>
          </w:p>
        </w:tc>
        <w:tc>
          <w:tcPr>
            <w:tcW w:type="dxa" w:w="8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14</w:t>
            </w:r>
          </w:p>
        </w:tc>
      </w:tr>
      <w:tr>
        <w:tc>
          <w:tcPr>
            <w:tcW w:type="dxa" w:w="8261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Business or technical decisions embedded in buildable features</w:t>
            </w:r>
          </w:p>
        </w:tc>
        <w:tc>
          <w:tcPr>
            <w:tcW w:type="dxa" w:w="826"/>
            <w:shd w:val="clear" w:color="auto" w:fill="F5F8FB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6</w:t>
            </w:r>
          </w:p>
        </w:tc>
      </w:tr>
      <w:tr>
        <w:tc>
          <w:tcPr>
            <w:tcW w:type="dxa" w:w="8261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Documentation conflict</w:t>
            </w:r>
          </w:p>
        </w:tc>
        <w:tc>
          <w:tcPr>
            <w:tcW w:type="dxa" w:w="826"/>
          </w:tcPr>
          <w:p>
            <w:pPr>
              <w:spacing w:before="40" w:after="40"/>
            </w:pPr>
            <w:r>
              <w:rPr>
                <w:i w:val="0"/>
                <w:sz w:val="18"/>
              </w:rPr>
              <w:t xml:space="preserve">1</w:t>
            </w:r>
          </w:p>
        </w:tc>
      </w:tr>
      <w:tr>
        <w:tc>
          <w:tcPr>
            <w:tcW w:type="dxa" w:w="8261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Total</w:t>
            </w:r>
          </w:p>
        </w:tc>
        <w:tc>
          <w:tcPr>
            <w:tcW w:type="dxa" w:w="826"/>
            <w:shd w:val="clear" w:color="auto" w:fill="F5F8FB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 xml:space="preserve">55</w:t>
            </w:r>
          </w:p>
        </w:tc>
      </w:tr>
    </w:tbl>
    <w:p>
      <w:pPr>
        <w:spacing w:after="120"/>
      </w:pPr>
    </w:p>
    <w:p>
      <w:pPr>
        <w:spacing w:before="120" w:after="60"/>
        <w:ind w:left="260"/>
        <w:pBdr>
          <w:left w:val="single" w:sz="18" w:space="8" w:color="1F3A5F"/>
        </w:pBdr>
        <w:shd w:val="clear" w:color="auto" w:fill="EEF2F7"/>
      </w:pPr>
      <w:r>
        <w:rPr>
          <w:b/>
          <w:i w:val="0"/>
          <w:sz w:val="20"/>
        </w:rPr>
        <w:t xml:space="preserve">The register got smaller and the plan did not.</w:t>
      </w:r>
      <w:r>
        <w:rPr>
          <w:i w:val="0"/>
          <w:sz w:val="20"/>
        </w:rPr>
        <w:t xml:space="preserve"> Total estimated effort is unchanged at </w:t>
      </w:r>
      <w:r>
        <w:rPr>
          <w:b/>
          <w:i w:val="0"/>
          <w:sz w:val="20"/>
        </w:rPr>
        <w:t xml:space="preserve">3,802 hours</w:t>
      </w:r>
      <w:r>
        <w:rPr>
          <w:i w:val="0"/>
          <w:sz w:val="20"/>
        </w:rPr>
        <w:t xml:space="preserve">, because every withdrawn row carried zero effort — there was never anything to build in them. What changed is that a developer opening </w:t>
      </w:r>
      <w:r>
        <w:rPr>
          <w:i w:val="0"/>
          <w:rFonts w:ascii="Consolas" w:hAnsi="Consolas"/>
          <w:sz w:val="19"/>
          <w:shd w:val="clear" w:color="auto" w:fill="F3F5F7"/>
        </w:rPr>
        <w:t xml:space="preserve">02_Work_Items</w:t>
      </w:r>
      <w:r>
        <w:rPr>
          <w:i w:val="0"/>
          <w:sz w:val="20"/>
        </w:rPr>
        <w:t xml:space="preserve"> can no longer pick up a gap and implement it.</w:t>
      </w:r>
    </w:p>
    <w:p>
      <w:pPr>
        <w:spacing w:after="120"/>
      </w:pPr>
    </w:p>
    <w:p>
      <w:pPr>
        <w:spacing w:before="120" w:after="120"/>
        <w:pBdr>
          <w:bottom w:val="single" w:sz="6" w:space="4" w:color="B7C4D4"/>
        </w:pBdr>
      </w:pPr>
    </w:p>
    <w:p>
      <w:pPr>
        <w:spacing w:before="40" w:after="120"/>
      </w:pPr>
      <w:r>
        <w:rPr>
          <w:b/>
          <w:i w:val="0"/>
          <w:sz w:val="20"/>
        </w:rPr>
        <w:t xml:space="preserve">End of CMP Implementation Analysis, version 0.1 (Draft).</w:t>
      </w:r>
    </w:p>
    <w:sectPr>
      <w:headerReference w:type="default" r:id="rId9"/>
      <w:footerReference w:type="default" r:id="rId10"/>
      <w:pgSz w:w="11909" w:h="16834"/>
      <w:pgMar w:top="1100" w:right="1411" w:bottom="1000" w:left="1411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r="http://schemas.openxmlformats.org/officeDocument/2006/relationships" xmlns:w="http://schemas.openxmlformats.org/wordprocessingml/2006/main">
  <w:p>
    <w:pPr>
      <w:pStyle w:val="Footer"/>
      <w:jc w:val="center"/>
    </w:pPr>
    <w:r>
      <w:rPr>
        <w:color w:val="5A6373"/>
        <w:sz w:val="17"/>
      </w:rPr>
      <w:t xml:space="preserve">Classification: Internal   ·   Brand: TBD   ·   Page </w:t>
    </w:r>
    <w:r>
      <w:rPr>
        <w:color w:val="5A6373"/>
        <w:sz w:val="17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5A6373"/>
        <w:sz w:val="17"/>
      </w:rPr>
      <w:t xml:space="preserve"> of </w:t>
    </w:r>
    <w:r>
      <w:rPr>
        <w:color w:val="5A6373"/>
        <w:sz w:val="17"/>
      </w:rP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r="http://schemas.openxmlformats.org/officeDocument/2006/relationships" xmlns:w="http://schemas.openxmlformats.org/wordprocessingml/2006/main">
  <w:p>
    <w:pPr>
      <w:pStyle w:val="Header"/>
      <w:jc w:val="left"/>
      <w:pBdr>
        <w:bottom w:val="single" w:sz="6" w:space="3" w:color="B7C4D4"/>
      </w:pBdr>
    </w:pPr>
    <w:r>
      <w:rPr>
        <w:b/>
        <w:color w:val="5A6373"/>
        <w:sz w:val="17"/>
      </w:rPr>
      <w:t>Carpool Mobility Platform (CMP)</w:t>
    </w:r>
    <w:r>
      <w:rPr>
        <w:color w:val="5A6373"/>
        <w:sz w:val="17"/>
      </w:rPr>
      <w:t xml:space="preserve">   |   Implementation Analysis   |   Version 0.1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  <w:keepNext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keepNext/>
    </w:pPr>
    <w:rPr>
      <w:rFonts w:asciiTheme="majorHAnsi" w:eastAsiaTheme="majorEastAsia" w:hAnsiTheme="majorHAnsi" w:cstheme="majorBidi" w:ascii="Calibri" w:hAnsi="Calibri"/>
      <w:b/>
      <w:bCs/>
      <w:color w:val="1F3A5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  <w:keepNext/>
    </w:pPr>
    <w:rPr>
      <w:rFonts w:asciiTheme="majorHAnsi" w:eastAsiaTheme="majorEastAsia" w:hAnsiTheme="majorHAnsi" w:cstheme="majorBidi" w:ascii="Calibri" w:hAnsi="Calibri"/>
      <w:b/>
      <w:bCs/>
      <w:color w:val="4A678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  <w:keepNext/>
    </w:pPr>
    <w:rPr>
      <w:rFonts w:asciiTheme="majorHAnsi" w:eastAsiaTheme="majorEastAsia" w:hAnsiTheme="majorHAnsi" w:cstheme="majorBidi" w:ascii="Calibri" w:hAnsi="Calibri"/>
      <w:b/>
      <w:bCs/>
      <w:i/>
      <w:iCs/>
      <w:color w:val="4A678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PCaption">
    <w:name w:val="CMPCaption"/>
    <w:basedOn w:val="Normal"/>
    <w:pPr>
      <w:keepNext/>
      <w:spacing w:before="40" w:after="160"/>
    </w:pPr>
    <w:rPr>
      <w:i/>
      <w:color w:val="5A63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CMP Documentation Toolchain</Application>
  <DocSecurity>0</DocSecurity>
  <ScaleCrop>false</ScaleCrop>
  <Company>Carpool Mobility Platform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Analysis</dc:title>
  <dc:subject>Carpool Mobility Platform (CMP)</dc:subject>
  <dc:creator>Technical Project Management (AI-assisted)</dc:creator>
  <cp:keywords>CMP; implementation planning</cp:keywords>
  <cp:category>Internal</cp:category>
  <cp:contentStatus>Draft</cp:contentStatus>
  <cp:revision>1</cp:revision>
  <dcterms:created xsi:type="dcterms:W3CDTF">2026-08-19T00:00:00Z</dcterms:created>
  <dcterms:modified xsi:type="dcterms:W3CDTF">2026-08-19T00:00:00Z</dcterms:modified>
</cp:coreProperties>
</file>