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đánh giá tác động Nghị định 357/2025/NĐ-CP tới hoạt động Tập đoàn Sun Group</w:t>
      </w:r>
    </w:p>
    <w:p>
      <w:r>
        <w:rPr>
          <w:b/>
        </w:rPr>
        <w:t>Loại tài liệu:</w:t>
      </w:r>
      <w:r>
        <w:t xml:space="preserve"> Báo cáo chiến lược nội bộ — MẬT</w:t>
      </w:r>
    </w:p>
    <w:p>
      <w:r>
        <w:rPr>
          <w:b/>
        </w:rPr>
        <w:t>Số hiệu:</w:t>
      </w:r>
      <w:r>
        <w:t xml:space="preserve"> SG-BC-2026/NĐ357</w:t>
      </w:r>
    </w:p>
    <w:p>
      <w:r>
        <w:rPr>
          <w:b/>
        </w:rPr>
        <w:t>Ngày:</w:t>
      </w:r>
      <w:r>
        <w:t xml:space="preserve"> 23/02/2026</w:t>
      </w:r>
    </w:p>
    <w:p>
      <w:r>
        <w:rPr>
          <w:b/>
        </w:rPr>
        <w:t>Trình:</w:t>
      </w:r>
      <w:r>
        <w:t xml:space="preserve"> Ban Tổng giám đốc (BOM)</w:t>
      </w:r>
    </w:p>
    <w:p>
      <w:r>
        <w:rPr>
          <w:b/>
        </w:rPr>
        <w:t>Đơn vị soạn thảo:</w:t>
      </w:r>
      <w:r>
        <w:t xml:space="preserve"> Ban Pháp chế &amp; Chiến lược</w:t>
      </w:r>
    </w:p>
    <w:p>
      <w:r>
        <w:rPr>
          <w:b/>
        </w:rPr>
        <w:t>Phương pháp:</w:t>
      </w:r>
      <w:r>
        <w:t xml:space="preserve"> Phân tích tác động theo chuỗi giá trị (Value Chain Impact Assessment)</w:t>
      </w:r>
    </w:p>
    <w:p>
      <w:r>
        <w:rPr>
          <w:b/>
        </w:rPr>
        <w:t>Căn cứ pháp lý:</w:t>
      </w:r>
      <w:r>
        <w:t xml:space="preserve"> Nghị định số 357/2025/NĐ-CP ngày 31/12/2025 của Chính phủ về xây dựng và quản lý hệ thống thông tin, cơ sở dữ liệu về nhà ở và thị trường bất động sản</w:t>
      </w:r>
    </w:p>
    <w:p>
      <w:pPr>
        <w:spacing w:before="80" w:after="80"/>
        <w:ind w:left="850"/>
        <w:pBdr>
          <w:left w:val="single" w:sz="18" w:space="8" w:color="D0D7DE"/>
        </w:pBdr>
      </w:pPr>
      <w:r>
        <w:rPr>
          <w:color w:val="6A737D"/>
        </w:rPr>
        <w:t>[!IMPORTANT]</w:t>
        <w:br/>
      </w:r>
      <w:r>
        <w:rPr>
          <w:b/>
          <w:color w:val="6A737D"/>
        </w:rPr>
        <w:t>KHUYẾN CÁO SỬ DỤNG BÁO CÁO (DISCLAIMER):</w:t>
      </w:r>
      <w:r>
        <w:rPr>
          <w:color w:val="6A737D"/>
        </w:rPr>
        <w:br/>
        <w:t>Các phân tích, nhận định và đề xuất trong tài liệu này là bước nhận diện ban đầu dựa trên góc nhìn độc lập của người soạn thảo/đơn vị soạn thảo đối với Nghị định 357/2025/NĐ-CP. Báo cáo mang tính chất cảnh báo sớm và cung cấp định hướng chiến lược sơ khởi. Để làm cơ sở ban hành các quyết định điều hành hoặc quy trình thực thi chính thức, mức độ tác động chuyên sâu tới từng nghiệp vụ cần tiếp tục được khảo sát, lượng hóa và thẩm định chéo bởi các Khối/Ban chuyên trách liên quan (Kinh doanh, Vận hành, Tài chính - Kế toán, Đầu tư, Công nghệ Thông tin) tại từng Công ty thành viên.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ĐIỀU HÀNH (EXECUTIVE SUMMARY)</w:t>
      </w:r>
    </w:p>
    <w:p>
      <w:pPr>
        <w:spacing w:before="80" w:after="80"/>
        <w:ind w:left="850"/>
        <w:pBdr>
          <w:left w:val="single" w:sz="18" w:space="8" w:color="D0D7DE"/>
        </w:pBdr>
      </w:pPr>
      <w:r>
        <w:rPr>
          <w:i/>
          <w:color w:val="6A737D"/>
        </w:rPr>
        <w:t>Tối đa 2 trang. Bản chắt lọc để BOM đọc và ra quyết định ngay.</w:t>
      </w:r>
    </w:p>
    <w:p>
      <w:pPr>
        <w:pStyle w:val="Heading3"/>
        <w:spacing w:before="240" w:after="160"/>
      </w:pPr>
      <w:r>
        <w:rPr>
          <w:rFonts w:ascii="Times New Roman" w:hAnsi="Times New Roman" w:eastAsia="Times New Roman"/>
          <w:color w:val="1A1A2E"/>
          <w:sz w:val="32"/>
        </w:rPr>
        <w:t>ES.1. Ba cốt lõi của Nghị định 357</w:t>
      </w:r>
    </w:p>
    <w:p>
      <w:r>
        <w:t>Nghị định 357/2025/NĐ-CP (sau đây gọi tắt là “NĐ 357”) có hiệu lực từ ngày 01/03/2026 (Điều 41 khoản 1), quy định chi tiết các Điều 72, 73, 74 và điểm a, b khoản 2 Điều 75 của Luật Kinh doanh bất động sản số 29/2023/QH15 (Điều 1). Ba trụ cột chính:</w:t>
      </w:r>
    </w:p>
    <w:p>
      <w:pPr>
        <w:spacing w:after="40" w:before="20"/>
        <w:ind w:left="720" w:hanging="357"/>
      </w:pPr>
      <w:r>
        <w:t xml:space="preserve">1. </w:t>
      </w:r>
      <w:r>
        <w:rPr>
          <w:b/>
        </w:rPr>
        <w:t>Định danh tài sản bất động sản:</w:t>
      </w:r>
      <w:r>
        <w:t xml:space="preserve"> 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pPr>
        <w:spacing w:after="40" w:before="20"/>
        <w:ind w:left="720" w:hanging="357"/>
      </w:pPr>
      <w:r>
        <w:t xml:space="preserve">2. </w:t>
      </w:r>
      <w:r>
        <w:rPr>
          <w:b/>
        </w:rPr>
        <w:t>Định danh chủ thể tham gia thị trường:</w:t>
      </w:r>
      <w:r>
        <w:t xml:space="preserve"> 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pPr>
        <w:spacing w:after="40" w:before="20"/>
        <w:ind w:left="720" w:hanging="357"/>
      </w:pPr>
      <w:r>
        <w:t xml:space="preserve">3. </w:t>
      </w:r>
      <w:r>
        <w:rPr>
          <w:b/>
        </w:rPr>
        <w:t>Liên thông cơ sở dữ liệu quốc gia:</w:t>
      </w:r>
      <w:r>
        <w:t xml:space="preserve"> Hệ thống kết nối API thời gian thực (Điều 31 khoản 2) với CSDL quốc gia về dân cư (Bộ Công an — Điều 28 khoản 1), đất đai (Bộ Nông nghiệp và Môi trường — Điều 28 khoản 2), thuế và FDI (Bộ Tài chính — Điều 28 khoản 3), tín dụng BĐS (Ngân hàng Nhà nước — Điều 28 khoản 4), và công chứng (Bộ Tư pháp — Điều 28 khoản 5).</w:t>
      </w:r>
    </w:p>
    <w:p>
      <w:pPr>
        <w:pStyle w:val="Heading3"/>
        <w:spacing w:before="240" w:after="160"/>
      </w:pPr>
      <w:r>
        <w:rPr>
          <w:rFonts w:ascii="Times New Roman" w:hAnsi="Times New Roman" w:eastAsia="Times New Roman"/>
          <w:color w:val="1A1A2E"/>
          <w:sz w:val="32"/>
        </w:rPr>
        <w:t>ES.2. Cảnh báo “điểm nghẽn” khẩn cấp</w:t>
      </w:r>
    </w:p>
    <w:p>
      <w:pPr>
        <w:spacing w:after="40" w:before="20"/>
        <w:ind w:left="720" w:hanging="357"/>
      </w:pPr>
      <w:r>
        <w:rPr>
          <w:sz w:val="20"/>
        </w:rPr>
        <w:t xml:space="preserve">• </w:t>
      </w:r>
      <w:r>
        <w:rPr>
          <w:b/>
        </w:rPr>
        <w:t>Rủi ro thanh khoản từ tâm lý tệp khách VIP:</w:t>
      </w:r>
      <w:r>
        <w:t xml:space="preserve"> Việc liên thông dữ liệu giao dịch với cơ quan Thuế (Điều 28 khoản 3) và lưu vết toàn bộ lịch sử giao dịch theo mã định danh (Điều 4 khoản 5; Phụ lục VI mục 5) khiến nhóm khách hàng sở hữu nhiều tài sản có tâm lý e ngại, dẫn đến sụt thanh khoản cục bộ trên phân khúc cao cấp.</w:t>
      </w:r>
    </w:p>
    <w:p>
      <w:pPr>
        <w:spacing w:after="40" w:before="20"/>
        <w:ind w:left="720" w:hanging="357"/>
      </w:pPr>
      <w:r>
        <w:rPr>
          <w:sz w:val="20"/>
        </w:rPr>
        <w:t xml:space="preserve">• </w:t>
      </w:r>
      <w:r>
        <w:rPr>
          <w:b/>
        </w:rPr>
        <w:t>Nguy cơ đứt gãy hệ thống phân phối đại lý:</w:t>
      </w:r>
      <w:r>
        <w:t xml:space="preserve"> Theo Điều 11, mọi môi giới BĐS phải có mã định danh điện tử chứng chỉ hành nghề. Theo Điều 22, sàn giao dịch phải cung cấp đầy đủ thông tin nhân sự có chứng chỉ. Hàng nghìn nhân viên bán hàng tại các đại lý F1, F2 hiện chưa có chứng chỉ sẽ không thể thực hiện giao dịch hợp pháp sau ngày 01/03/2026.</w:t>
      </w:r>
    </w:p>
    <w:p>
      <w:pPr>
        <w:pStyle w:val="Heading3"/>
        <w:spacing w:before="240" w:after="160"/>
      </w:pPr>
      <w:r>
        <w:rPr>
          <w:rFonts w:ascii="Times New Roman" w:hAnsi="Times New Roman" w:eastAsia="Times New Roman"/>
          <w:color w:val="1A1A2E"/>
          <w:sz w:val="32"/>
        </w:rPr>
        <w:t>ES.3. Nhận diện “cơ hội vàng”</w:t>
      </w:r>
    </w:p>
    <w:p>
      <w:pPr>
        <w:spacing w:after="40" w:before="20"/>
        <w:ind w:left="720" w:hanging="357"/>
      </w:pPr>
      <w:r>
        <w:rPr>
          <w:sz w:val="20"/>
        </w:rPr>
        <w:t xml:space="preserve">• </w:t>
      </w:r>
      <w:r>
        <w:rPr>
          <w:b/>
        </w:rPr>
        <w:t>Biến chi phí tuân thủ thành rào cản cạnh tranh:</w:t>
      </w:r>
      <w:r>
        <w:t xml:space="preserve"> Các chủ đầu tư nhỏ, yếu năng lực công nghệ và pháp lý sẽ không đáp ứng được yêu cầu chuẩn hóa dữ liệu trước thời hạn 01/07/2026 (Điều 40 khoản 1). Sun Group — với hệ sinh thái công nghệ sẵn có (Sun CRM, Sun Smart, SAP) — có lợi thế tiên phong.</w:t>
      </w:r>
    </w:p>
    <w:p>
      <w:pPr>
        <w:spacing w:after="40" w:before="20"/>
        <w:ind w:left="720" w:hanging="357"/>
      </w:pPr>
      <w:r>
        <w:rPr>
          <w:sz w:val="20"/>
        </w:rPr>
        <w:t xml:space="preserve">• </w:t>
      </w:r>
      <w:r>
        <w:rPr>
          <w:b/>
        </w:rPr>
        <w:t>Định vị BĐS Sun Group là “tài sản minh bạch, an toàn tuyệt đối”:</w:t>
      </w:r>
      <w:r>
        <w:t xml:space="preserve"> Mỗi sản phẩm được gắn mã định danh quốc gia, toàn bộ lịch sử pháp lý và giao dịch truy xuất tức thời — trở thành công cụ marketing mạnh mẽ cho phân khúc cao cấp.</w:t>
      </w:r>
    </w:p>
    <w:p>
      <w:pPr>
        <w:pStyle w:val="Heading3"/>
        <w:spacing w:before="240" w:after="160"/>
      </w:pPr>
      <w:r>
        <w:rPr>
          <w:rFonts w:ascii="Times New Roman" w:hAnsi="Times New Roman" w:eastAsia="Times New Roman"/>
          <w:color w:val="1A1A2E"/>
          <w:sz w:val="32"/>
        </w:rPr>
        <w:t>ES.4. Các quyết định yêu cầu BOM phê duyệt ngay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w:t>
            </w:r>
          </w:p>
        </w:tc>
        <w:tc>
          <w:tcPr>
            <w:tcW w:type="dxa" w:w="3120"/>
            <w:shd w:fill="E2E8F0" w:val="clear"/>
          </w:tcPr>
          <w:p>
            <w:pPr>
              <w:spacing w:before="60" w:after="60"/>
            </w:pPr>
            <w:r>
              <w:rPr>
                <w:rFonts w:ascii="Times New Roman" w:hAnsi="Times New Roman"/>
                <w:b/>
                <w:sz w:val="20"/>
              </w:rPr>
              <w:t>Nội dung</w:t>
            </w:r>
          </w:p>
        </w:tc>
        <w:tc>
          <w:tcPr>
            <w:tcW w:type="dxa" w:w="3120"/>
            <w:shd w:fill="E2E8F0" w:val="clear"/>
          </w:tcPr>
          <w:p>
            <w:pPr>
              <w:spacing w:before="60" w:after="60"/>
            </w:pPr>
            <w:r>
              <w:rPr>
                <w:rFonts w:ascii="Times New Roman" w:hAnsi="Times New Roman"/>
                <w:b/>
                <w:sz w:val="20"/>
              </w:rPr>
              <w:t>Hạn chót</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Ký quyết định thành lập Tổ công tác đặc biệt (Task Force 357)</w:t>
            </w:r>
          </w:p>
        </w:tc>
        <w:tc>
          <w:tcPr>
            <w:tcW w:type="dxa" w:w="3120"/>
          </w:tcPr>
          <w:p>
            <w:pPr>
              <w:spacing w:before="60" w:after="60"/>
            </w:pPr>
            <w:r>
              <w:rPr>
                <w:rFonts w:ascii="Times New Roman" w:hAnsi="Times New Roman"/>
                <w:sz w:val="20"/>
              </w:rPr>
              <w:t>Tuần này</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Ban hành tối hậu thư chuẩn hóa năng lực đại lý F1/F2</w:t>
            </w:r>
          </w:p>
        </w:tc>
        <w:tc>
          <w:tcPr>
            <w:tcW w:type="dxa" w:w="3120"/>
          </w:tcPr>
          <w:p>
            <w:pPr>
              <w:spacing w:before="60" w:after="60"/>
            </w:pPr>
            <w:r>
              <w:rPr>
                <w:rFonts w:ascii="Times New Roman" w:hAnsi="Times New Roman"/>
                <w:sz w:val="20"/>
              </w:rPr>
              <w:t>7 ngày</w:t>
            </w:r>
          </w:p>
        </w:tc>
      </w:tr>
      <w:tr>
        <w:tc>
          <w:tcPr>
            <w:tcW w:type="dxa" w:w="3120"/>
          </w:tcPr>
          <w:p>
            <w:pPr>
              <w:spacing w:before="60" w:after="60"/>
            </w:pPr>
            <w:r>
              <w:rPr>
                <w:rFonts w:ascii="Times New Roman" w:hAnsi="Times New Roman"/>
                <w:sz w:val="20"/>
              </w:rPr>
              <w:t>3</w:t>
            </w:r>
          </w:p>
        </w:tc>
        <w:tc>
          <w:tcPr>
            <w:tcW w:type="dxa" w:w="3120"/>
          </w:tcPr>
          <w:p>
            <w:pPr>
              <w:spacing w:before="60" w:after="60"/>
            </w:pPr>
            <w:r>
              <w:rPr>
                <w:rFonts w:ascii="Times New Roman" w:hAnsi="Times New Roman"/>
                <w:sz w:val="20"/>
              </w:rPr>
              <w:t>Phê duyệt ngân sách nâng cấp hạ tầng CNTT (API, CRM, ERP)</w:t>
            </w:r>
          </w:p>
        </w:tc>
        <w:tc>
          <w:tcPr>
            <w:tcW w:type="dxa" w:w="3120"/>
          </w:tcPr>
          <w:p>
            <w:pPr>
              <w:spacing w:before="60" w:after="60"/>
            </w:pPr>
            <w:r>
              <w:rPr>
                <w:rFonts w:ascii="Times New Roman" w:hAnsi="Times New Roman"/>
                <w:sz w:val="20"/>
              </w:rPr>
              <w:t>14 ngày</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1. Bối cảnh vĩ mô và ý đồ chiến lược của cơ quan quản lý nhà nước</w:t>
      </w:r>
    </w:p>
    <w:p>
      <w:pPr>
        <w:spacing w:before="80" w:after="80"/>
        <w:ind w:left="850"/>
        <w:pBdr>
          <w:left w:val="single" w:sz="18" w:space="8" w:color="D0D7DE"/>
        </w:pBdr>
      </w:pPr>
      <w:r>
        <w:rPr>
          <w:i/>
          <w:color w:val="6A737D"/>
        </w:rPr>
        <w:t>Giúp Tập đoàn “đọc vị” chính sách để nắn dòng truyền thông và định hướng chiến lược.</w:t>
      </w:r>
    </w:p>
    <w:p>
      <w:pPr>
        <w:pStyle w:val="Heading3"/>
        <w:spacing w:before="240" w:after="160"/>
      </w:pPr>
      <w:r>
        <w:rPr>
          <w:rFonts w:ascii="Times New Roman" w:hAnsi="Times New Roman" w:eastAsia="Times New Roman"/>
          <w:color w:val="1A1A2E"/>
          <w:sz w:val="32"/>
        </w:rPr>
        <w:t>1.1. Bức tranh toàn cảnh</w:t>
      </w:r>
    </w:p>
    <w:p>
      <w:r>
        <w:t xml:space="preserve">Thị trường bất động sản Việt Nam đang trải qua bước chuyển mình căn bản: từ mô hình quản lý </w:t>
      </w:r>
      <w:r>
        <w:rPr>
          <w:b/>
        </w:rPr>
        <w:t>“hồ sơ giấy phân mảnh”</w:t>
      </w:r>
      <w:r>
        <w:t xml:space="preserve"> — nơi dữ liệu về đất đai, nhà ở, giao dịch, thuế phân tán tại hàng chục cơ quan từ trung ương đến địa phương — sang </w:t>
      </w:r>
      <w:r>
        <w:rPr>
          <w:b/>
        </w:rPr>
        <w:t>“hệ sinh thái tài sản số tập trung”</w:t>
      </w:r>
      <w:r>
        <w:t>.</w:t>
      </w:r>
    </w:p>
    <w:p>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tại Trung tâm dữ liệu quốc gia (Điều 7 khoản 2), phần mềm do Bộ Xây dựng phát triển tập trung, thống nhất (Điều 7 khoản 3).</w:t>
      </w:r>
    </w:p>
    <w:p>
      <w:r>
        <w:t xml:space="preserve">Đây không phải một nghị định đơn lẻ. NĐ 357 nằm trong ma trận pháp lý đồng bộ với Luật Dữ liệu số 60/2024/QH15, Luật Bảo vệ dữ liệu cá nhân số 91/2025/QH15, và Đề án 06 về phát triển ứng dụng dữ liệu dân cư — tạo thành một </w:t>
      </w:r>
      <w:r>
        <w:rPr>
          <w:b/>
        </w:rPr>
        <w:t>hạ tầng quản trị số quốc gia</w:t>
      </w:r>
      <w:r>
        <w:t xml:space="preserve"> bao trùm toàn bộ vòng đời tài sản bất động sản.</w:t>
      </w:r>
    </w:p>
    <w:p>
      <w:pPr>
        <w:pStyle w:val="Heading3"/>
        <w:spacing w:before="240" w:after="160"/>
      </w:pPr>
      <w:r>
        <w:rPr>
          <w:rFonts w:ascii="Times New Roman" w:hAnsi="Times New Roman" w:eastAsia="Times New Roman"/>
          <w:color w:val="1A1A2E"/>
          <w:sz w:val="32"/>
        </w:rPr>
        <w:t>1.2. Giải mã 04 ý đồ ngầm định của Chính phủ khi ban hành NĐ 357</w:t>
      </w:r>
    </w:p>
    <w:p>
      <w:pPr>
        <w:pStyle w:val="Heading4"/>
        <w:spacing w:before="240" w:after="160"/>
      </w:pPr>
      <w:r>
        <w:rPr>
          <w:rFonts w:ascii="Times New Roman" w:hAnsi="Times New Roman" w:eastAsia="Times New Roman"/>
          <w:color w:val="1A1A2E"/>
          <w:sz w:val="28"/>
        </w:rPr>
        <w:t>1.2.1. Thiết lập CSDL lõi (Core Data) sạch để dọn đường ban hành Luật Thuế bất động sản</w:t>
      </w:r>
    </w:p>
    <w:p>
      <w:r>
        <w:t>Để đánh thuế tài sản (đặc biệt thuế BĐS thứ 2 trở lên), Nhà nước cần biết chính xác mỗi cá nhân sở hữu bao nhiêu tài sản, tại đâu, giá trị bao nhiêu. NĐ 357 xây dựng chính xác nền tảng dữ liệu này thông qua:</w:t>
      </w:r>
    </w:p>
    <w:p>
      <w:pPr>
        <w:spacing w:after="40" w:before="20"/>
        <w:ind w:left="720" w:hanging="357"/>
      </w:pPr>
      <w:r>
        <w:rPr>
          <w:sz w:val="20"/>
        </w:rPr>
        <w:t xml:space="preserve">• </w:t>
      </w:r>
      <w:r>
        <w:t>Thu thập thông tin sở hữu nhà ở của tổ chức, cá nhân trong nước và nước ngoài (Điều 20), bao gồm loại hình, địa chỉ, diện tích, số lượng, thời hạn sở hữu, tình trạng pháp lý.</w:t>
      </w:r>
    </w:p>
    <w:p>
      <w:pPr>
        <w:spacing w:after="40" w:before="20"/>
        <w:ind w:left="720" w:hanging="357"/>
      </w:pPr>
      <w:r>
        <w:rPr>
          <w:sz w:val="20"/>
        </w:rPr>
        <w:t xml:space="preserve">• </w:t>
      </w:r>
      <w:r>
        <w:t>Lưu trữ đầy đủ lịch sử giao dịch theo mã định danh: giá giao dịch (triệu đồng/m²), tổng giá trị, thông tin các bên (Điều 19).</w:t>
      </w:r>
    </w:p>
    <w:p>
      <w:pPr>
        <w:spacing w:after="40" w:before="20"/>
        <w:ind w:left="720" w:hanging="357"/>
      </w:pPr>
      <w:r>
        <w:rPr>
          <w:sz w:val="20"/>
        </w:rPr>
        <w:t xml:space="preserve">• </w:t>
      </w:r>
      <w:r>
        <w:t>Kết nối dữ liệu thuế chuyển nhượng BĐS từ Bộ Tài chính (Điều 28 khoản 3 điểm a).</w:t>
      </w:r>
    </w:p>
    <w:p>
      <w:pPr>
        <w:pStyle w:val="Heading4"/>
        <w:spacing w:before="240" w:after="160"/>
      </w:pPr>
      <w:r>
        <w:rPr>
          <w:rFonts w:ascii="Times New Roman" w:hAnsi="Times New Roman" w:eastAsia="Times New Roman"/>
          <w:color w:val="1A1A2E"/>
          <w:sz w:val="28"/>
        </w:rPr>
        <w:t>1.2.2. Minh bạch hóa dòng tiền, triệt tiêu giao dịch “hai giá”</w:t>
      </w:r>
    </w:p>
    <w:p>
      <w: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gần như tức thời.</w:t>
      </w:r>
    </w:p>
    <w:p>
      <w:pPr>
        <w:pStyle w:val="Heading4"/>
        <w:spacing w:before="240" w:after="160"/>
      </w:pPr>
      <w:r>
        <w:rPr>
          <w:rFonts w:ascii="Times New Roman" w:hAnsi="Times New Roman" w:eastAsia="Times New Roman"/>
          <w:color w:val="1A1A2E"/>
          <w:sz w:val="28"/>
        </w:rPr>
        <w:t>1.2.3. Quản trị rủi ro và chống rửa tiền (AML)</w:t>
      </w:r>
    </w:p>
    <w:p>
      <w:r>
        <w:t xml:space="preserve">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w:t>
      </w:r>
      <w:r>
        <w:rPr>
          <w:b/>
        </w:rPr>
        <w:t>toàn bộ lịch sử giao dịch</w:t>
      </w:r>
      <w:r>
        <w:t xml:space="preserve"> của một sản phẩm BĐS theo mã định danh — biến mỗi căn hộ thành một “hộ khẩu số” không thể giả mạo.</w:t>
      </w:r>
    </w:p>
    <w:p>
      <w:pPr>
        <w:pStyle w:val="Heading4"/>
        <w:spacing w:before="240" w:after="160"/>
      </w:pPr>
      <w:r>
        <w:rPr>
          <w:rFonts w:ascii="Times New Roman" w:hAnsi="Times New Roman" w:eastAsia="Times New Roman"/>
          <w:color w:val="1A1A2E"/>
          <w:sz w:val="28"/>
        </w:rPr>
        <w:t>1.2.4. Thanh lọc thị trường</w:t>
      </w:r>
    </w:p>
    <w:p>
      <w:r>
        <w:t>NĐ 357 tạo cơ chế sàng lọc tự nhiên:</w:t>
        <w:br/>
        <w:t xml:space="preserve">- </w:t>
      </w:r>
      <w:r>
        <w:rPr>
          <w:b/>
        </w:rPr>
        <w:t>Chủ đầu tư yếu kém pháp lý:</w:t>
      </w:r>
      <w:r>
        <w:t xml:space="preserve"> Không cung cấp đủ thông tin dự án theo Điều 15, Điều 30 → bị công bố vi phạm trên Cổng thông tin quốc gia (Điều 36 khoản 5).</w:t>
        <w:br/>
        <w:t xml:space="preserve">- </w:t>
      </w:r>
      <w:r>
        <w:rPr>
          <w:b/>
        </w:rPr>
        <w:t>Môi giới “tay ngang”:</w:t>
      </w:r>
      <w:r>
        <w:t xml:space="preserve"> Không có chứng chỉ → không có mã định danh (Điều 11) → không thể thực hiện giao dịch hợp pháp.</w:t>
        <w:br/>
        <w:t xml:space="preserve">- </w:t>
      </w:r>
      <w:r>
        <w:rPr>
          <w:b/>
        </w:rPr>
        <w:t>Sàn giao dịch không đạt chuẩn:</w:t>
      </w:r>
      <w:r>
        <w:t xml:space="preserve"> Phải báo cáo số lượng nhân viên có chứng chỉ, số lượng và giá trị giao dịch (Điều 22 khoản 1) — dữ liệu này được công khai.</w:t>
      </w:r>
    </w:p>
    <w:p>
      <w:pPr>
        <w:pStyle w:val="Heading3"/>
        <w:spacing w:before="240" w:after="160"/>
      </w:pPr>
      <w:r>
        <w:rPr>
          <w:rFonts w:ascii="Times New Roman" w:hAnsi="Times New Roman" w:eastAsia="Times New Roman"/>
          <w:color w:val="1A1A2E"/>
          <w:sz w:val="32"/>
        </w:rPr>
        <w:t>1.3. Vị thế của Sun Group trong “luật chơi mới”</w:t>
      </w:r>
    </w:p>
    <w:p>
      <w:r>
        <w:t xml:space="preserve">Sun Group cần chuyển tư duy từ </w:t>
      </w:r>
      <w:r>
        <w:rPr>
          <w:b/>
        </w:rPr>
        <w:t>“thích ứng thụ động”</w:t>
      </w:r>
      <w:r>
        <w:t xml:space="preserve"> sang </w:t>
      </w:r>
      <w:r>
        <w:rPr>
          <w:b/>
        </w:rPr>
        <w:t>“dẫn dắt cuộc chơi — dùng pháp lý làm vũ khí cạnh tranh”</w:t>
      </w:r>
      <w:r>
        <w:t>.</w:t>
      </w:r>
    </w:p>
    <w:p>
      <w:r>
        <w:rPr>
          <w:b/>
        </w:rPr>
        <w:t>Lợi thế sẵn có:</w:t>
      </w:r>
      <w:r>
        <w:br/>
        <w:t>- Hệ sinh thái công nghệ nội bộ (Sun CRM, SAP/ERP, Sun Smart Super App) — nền tảng tích hợp mã định danh nhanh nhất thị trường.</w:t>
        <w:br/>
        <w:t>- Năng lực pháp chế mạnh, quan hệ chặt chẽ với Bộ Xây dựng và UBND các tỉnh trọng điểm.</w:t>
        <w:br/>
        <w:t>- Khối lượng dự án lớn, đa dạng loại hình (nhà ở, du lịch nghỉ dưỡng, khu đô thị, BĐS công nghiệp) — tạo vị thế đàm phán về tiêu chuẩn cấp mã.</w:t>
      </w:r>
    </w:p>
    <w:p>
      <w:r>
        <w:rPr>
          <w:b/>
        </w:rPr>
        <w:t>Chiến lược đề xuất:</w:t>
      </w:r>
      <w:r>
        <w:t xml:space="preserve"> Trở thành chủ đầu tư đầu tiên hoàn tất 100% định danh toàn bộ giỏ hàng, biến thông điệp </w:t>
      </w:r>
      <w:r>
        <w:rPr>
          <w:i/>
        </w:rPr>
        <w:t>“Mỗi sản phẩm Sun Group — một mã định danh quốc gia”</w:t>
      </w:r>
      <w:r>
        <w:t xml:space="preserve"> thành USP (Unique Selling Proposition) trên toàn bộ kênh truyền thông.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2. Đánh giá tác động và kế hoạch hành động theo chuỗi giá trị</w:t>
      </w:r>
    </w:p>
    <w:p>
      <w:pPr>
        <w:spacing w:before="80" w:after="80"/>
        <w:ind w:left="850"/>
        <w:pBdr>
          <w:left w:val="single" w:sz="18" w:space="8" w:color="D0D7DE"/>
        </w:pBdr>
      </w:pPr>
      <w:r>
        <w:rPr>
          <w:i/>
          <w:color w:val="6A737D"/>
        </w:rPr>
        <w:t>Cấu trúc mỗi mục: Nhận diện vấn đề → Lượng hóa hậu quả → Đề xuất giải pháp (Action) &amp; Giao ban phụ trách.</w:t>
      </w:r>
    </w:p>
    <w:p>
      <w:pPr>
        <w:pStyle w:val="Heading3"/>
        <w:spacing w:before="240" w:after="160"/>
      </w:pPr>
      <w:r>
        <w:rPr>
          <w:rFonts w:ascii="Times New Roman" w:hAnsi="Times New Roman" w:eastAsia="Times New Roman"/>
          <w:color w:val="1A1A2E"/>
          <w:sz w:val="32"/>
        </w:rPr>
        <w:t>Bảng tổng hợp tác động nhanh (Impact Summary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Mắt xích</w:t>
            </w:r>
          </w:p>
        </w:tc>
        <w:tc>
          <w:tcPr>
            <w:tcW w:type="dxa" w:w="1872"/>
            <w:shd w:fill="E2E8F0" w:val="clear"/>
          </w:tcPr>
          <w:p>
            <w:pPr>
              <w:spacing w:before="60" w:after="60"/>
            </w:pPr>
            <w:r>
              <w:rPr>
                <w:rFonts w:ascii="Times New Roman" w:hAnsi="Times New Roman"/>
                <w:b/>
                <w:sz w:val="20"/>
              </w:rPr>
              <w:t>Mức độ</w:t>
            </w:r>
          </w:p>
        </w:tc>
        <w:tc>
          <w:tcPr>
            <w:tcW w:type="dxa" w:w="1872"/>
            <w:shd w:fill="E2E8F0" w:val="clear"/>
          </w:tcPr>
          <w:p>
            <w:pPr>
              <w:spacing w:before="60" w:after="60"/>
            </w:pPr>
            <w:r>
              <w:rPr>
                <w:rFonts w:ascii="Times New Roman" w:hAnsi="Times New Roman"/>
                <w:b/>
                <w:sz w:val="20"/>
              </w:rPr>
              <w:t>Rủi ro chính</w:t>
            </w:r>
          </w:p>
        </w:tc>
        <w:tc>
          <w:tcPr>
            <w:tcW w:type="dxa" w:w="1872"/>
            <w:shd w:fill="E2E8F0" w:val="clear"/>
          </w:tcPr>
          <w:p>
            <w:pPr>
              <w:spacing w:before="60" w:after="60"/>
            </w:pPr>
            <w:r>
              <w:rPr>
                <w:rFonts w:ascii="Times New Roman" w:hAnsi="Times New Roman"/>
                <w:b/>
                <w:sz w:val="20"/>
              </w:rPr>
              <w:t>Hành động ưu tiên</w:t>
            </w:r>
          </w:p>
        </w:tc>
        <w:tc>
          <w:tcPr>
            <w:tcW w:type="dxa" w:w="1872"/>
            <w:shd w:fill="E2E8F0" w:val="clear"/>
          </w:tcPr>
          <w:p>
            <w:pPr>
              <w:spacing w:before="60" w:after="60"/>
            </w:pPr>
            <w:r>
              <w:rPr>
                <w:rFonts w:ascii="Times New Roman" w:hAnsi="Times New Roman"/>
                <w:b/>
                <w:sz w:val="20"/>
              </w:rPr>
              <w:t>Lead</w:t>
            </w:r>
          </w:p>
        </w:tc>
      </w:tr>
      <w:tr>
        <w:tc>
          <w:tcPr>
            <w:tcW w:type="dxa" w:w="1872"/>
          </w:tcPr>
          <w:p>
            <w:pPr>
              <w:spacing w:before="60" w:after="60"/>
            </w:pPr>
            <w:r>
              <w:rPr>
                <w:rFonts w:ascii="Times New Roman" w:hAnsi="Times New Roman"/>
                <w:sz w:val="20"/>
              </w:rPr>
              <w:t>Khởi tạo dự án &amp; pháp lý</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Tăng lead-time, vướng sản phẩm đặc thù</w:t>
            </w:r>
          </w:p>
        </w:tc>
        <w:tc>
          <w:tcPr>
            <w:tcW w:type="dxa" w:w="1872"/>
          </w:tcPr>
          <w:p>
            <w:pPr>
              <w:spacing w:before="60" w:after="60"/>
            </w:pPr>
            <w:r>
              <w:rPr>
                <w:rFonts w:ascii="Times New Roman" w:hAnsi="Times New Roman"/>
                <w:sz w:val="20"/>
              </w:rPr>
              <w:t>Xin cấp mã hồi tố hàng loạt</w:t>
            </w:r>
          </w:p>
        </w:tc>
        <w:tc>
          <w:tcPr>
            <w:tcW w:type="dxa" w:w="1872"/>
          </w:tcPr>
          <w:p>
            <w:pPr>
              <w:spacing w:before="60" w:after="60"/>
            </w:pPr>
            <w:r>
              <w:rPr>
                <w:rFonts w:ascii="Times New Roman" w:hAnsi="Times New Roman"/>
                <w:sz w:val="20"/>
              </w:rPr>
              <w:t>Ban Pháp chế</w:t>
            </w:r>
          </w:p>
        </w:tc>
      </w:tr>
      <w:tr>
        <w:tc>
          <w:tcPr>
            <w:tcW w:type="dxa" w:w="1872"/>
          </w:tcPr>
          <w:p>
            <w:pPr>
              <w:spacing w:before="60" w:after="60"/>
            </w:pPr>
            <w:r>
              <w:rPr>
                <w:rFonts w:ascii="Times New Roman" w:hAnsi="Times New Roman"/>
                <w:sz w:val="20"/>
              </w:rPr>
              <w:t>Phân phối &amp; marketing</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Sụt thanh khoản VIP, đứt gãy đại lý</w:t>
            </w:r>
          </w:p>
        </w:tc>
        <w:tc>
          <w:tcPr>
            <w:tcW w:type="dxa" w:w="1872"/>
          </w:tcPr>
          <w:p>
            <w:pPr>
              <w:spacing w:before="60" w:after="60"/>
            </w:pPr>
            <w:r>
              <w:rPr>
                <w:rFonts w:ascii="Times New Roman" w:hAnsi="Times New Roman"/>
                <w:sz w:val="20"/>
              </w:rPr>
              <w:t>Tối hậu thư đại lý, xoay trục truyền thông</w:t>
            </w:r>
          </w:p>
        </w:tc>
        <w:tc>
          <w:tcPr>
            <w:tcW w:type="dxa" w:w="1872"/>
          </w:tcPr>
          <w:p>
            <w:pPr>
              <w:spacing w:before="60" w:after="60"/>
            </w:pPr>
            <w:r>
              <w:rPr>
                <w:rFonts w:ascii="Times New Roman" w:hAnsi="Times New Roman"/>
                <w:sz w:val="20"/>
              </w:rPr>
              <w:t>SPG</w:t>
            </w:r>
          </w:p>
        </w:tc>
      </w:tr>
      <w:tr>
        <w:tc>
          <w:tcPr>
            <w:tcW w:type="dxa" w:w="1872"/>
          </w:tcPr>
          <w:p>
            <w:pPr>
              <w:spacing w:before="60" w:after="60"/>
            </w:pPr>
            <w:r>
              <w:rPr>
                <w:rFonts w:ascii="Times New Roman" w:hAnsi="Times New Roman"/>
                <w:sz w:val="20"/>
              </w:rPr>
              <w:t>Bàn giao &amp; vận hành</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Rủi ro thuế rental pool</w:t>
            </w:r>
          </w:p>
        </w:tc>
        <w:tc>
          <w:tcPr>
            <w:tcW w:type="dxa" w:w="1872"/>
          </w:tcPr>
          <w:p>
            <w:pPr>
              <w:spacing w:before="60" w:after="60"/>
            </w:pPr>
            <w:r>
              <w:rPr>
                <w:rFonts w:ascii="Times New Roman" w:hAnsi="Times New Roman"/>
                <w:sz w:val="20"/>
              </w:rPr>
              <w:t>Tích hợp mã vào Sun Smart</w:t>
            </w:r>
          </w:p>
        </w:tc>
        <w:tc>
          <w:tcPr>
            <w:tcW w:type="dxa" w:w="1872"/>
          </w:tcPr>
          <w:p>
            <w:pPr>
              <w:spacing w:before="60" w:after="60"/>
            </w:pPr>
            <w:r>
              <w:rPr>
                <w:rFonts w:ascii="Times New Roman" w:hAnsi="Times New Roman"/>
                <w:sz w:val="20"/>
              </w:rPr>
              <w:t>SPM/SPL</w:t>
            </w:r>
          </w:p>
        </w:tc>
      </w:tr>
      <w:tr>
        <w:tc>
          <w:tcPr>
            <w:tcW w:type="dxa" w:w="1872"/>
          </w:tcPr>
          <w:p>
            <w:pPr>
              <w:spacing w:before="60" w:after="60"/>
            </w:pPr>
            <w:r>
              <w:rPr>
                <w:rFonts w:ascii="Times New Roman" w:hAnsi="Times New Roman"/>
                <w:sz w:val="20"/>
              </w:rPr>
              <w:t>Hạ tầng công nghệ</w:t>
            </w:r>
          </w:p>
        </w:tc>
        <w:tc>
          <w:tcPr>
            <w:tcW w:type="dxa" w:w="1872"/>
          </w:tcPr>
          <w:p>
            <w:pPr>
              <w:spacing w:before="60" w:after="60"/>
            </w:pPr>
            <w:r>
              <w:rPr>
                <w:rFonts w:ascii="Times New Roman" w:hAnsi="Times New Roman"/>
                <w:sz w:val="20"/>
              </w:rPr>
              <w:t>🟠 Cao vừa</w:t>
            </w:r>
          </w:p>
        </w:tc>
        <w:tc>
          <w:tcPr>
            <w:tcW w:type="dxa" w:w="1872"/>
          </w:tcPr>
          <w:p>
            <w:pPr>
              <w:spacing w:before="60" w:after="60"/>
            </w:pPr>
            <w:r>
              <w:rPr>
                <w:rFonts w:ascii="Times New Roman" w:hAnsi="Times New Roman"/>
                <w:sz w:val="20"/>
              </w:rPr>
              <w:t>Chưa có API, database chưa sẵn sàng</w:t>
            </w:r>
          </w:p>
        </w:tc>
        <w:tc>
          <w:tcPr>
            <w:tcW w:type="dxa" w:w="1872"/>
          </w:tcPr>
          <w:p>
            <w:pPr>
              <w:spacing w:before="60" w:after="60"/>
            </w:pPr>
            <w:r>
              <w:rPr>
                <w:rFonts w:ascii="Times New Roman" w:hAnsi="Times New Roman"/>
                <w:sz w:val="20"/>
              </w:rPr>
              <w:t>Tái cấu trúc CRM/ERP, xây API</w:t>
            </w:r>
          </w:p>
        </w:tc>
        <w:tc>
          <w:tcPr>
            <w:tcW w:type="dxa" w:w="1872"/>
          </w:tcPr>
          <w:p>
            <w:pPr>
              <w:spacing w:before="60" w:after="60"/>
            </w:pPr>
            <w:r>
              <w:rPr>
                <w:rFonts w:ascii="Times New Roman" w:hAnsi="Times New Roman"/>
                <w:sz w:val="20"/>
              </w:rPr>
              <w:t>Khối CNTT</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2.1. Mắt xích khởi tạo dự án, pháp lý và xử lý tồn kho</w:t>
      </w:r>
    </w:p>
    <w:p>
      <w:r>
        <w:rPr>
          <w:b/>
        </w:rPr>
        <w:t>Lead:</w:t>
      </w:r>
      <w:r>
        <w:t xml:space="preserve"> Ban Pháp chế &amp; Đầu tư</w:t>
      </w:r>
    </w:p>
    <w:p>
      <w:pPr>
        <w:pStyle w:val="Heading4"/>
        <w:spacing w:before="240" w:after="160"/>
      </w:pPr>
      <w:r>
        <w:rPr>
          <w:rFonts w:ascii="Times New Roman" w:hAnsi="Times New Roman" w:eastAsia="Times New Roman"/>
          <w:color w:val="1A1A2E"/>
          <w:sz w:val="28"/>
        </w:rPr>
        <w:t>2.1.1. Tác động đến quy trình</w:t>
      </w:r>
    </w:p>
    <w:p>
      <w:r>
        <w:t xml:space="preserve">NĐ 357 bổ sung một bước bắt buộc mới trong quy trình đưa sản phẩm ra thị trường: </w:t>
      </w:r>
      <w:r>
        <w:rPr>
          <w:b/>
        </w:rPr>
        <w:t>gắn mã định danh điện tử</w:t>
      </w:r>
      <w:r>
        <w:t xml:space="preserve"> trước khi được phép giao dịch.</w:t>
      </w:r>
    </w:p>
    <w:p>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r>
        <w:rPr>
          <w:b/>
        </w:rPr>
        <w:t>Rủi ro:</w:t>
      </w:r>
      <w:r>
        <w:t xml:space="preserve"> Quy trình phụ thuộc vào tốc độ xử lý của Sở Xây dựng địa phương. Nếu hệ thống phần mềm quốc gia chưa sẵn sàng hoặc quá tải, </w:t>
      </w:r>
      <w:r>
        <w:rPr>
          <w:b/>
        </w:rPr>
        <w:t>“độ trễ” (lead-time)</w:t>
      </w:r>
      <w:r>
        <w:t xml:space="preserve"> từ lúc dự án đủ điều kiện pháp lý đến lúc có mã định danh để bán hàng có thể kéo dài, ảnh hưởng trực tiếp đến doanh số các đợt mở bán (sales event).</w:t>
      </w:r>
    </w:p>
    <w:p>
      <w:r>
        <w:rPr>
          <w:b/>
        </w:rPr>
        <w:t>Đề xuất:</w:t>
      </w:r>
      <w:r>
        <w:br/>
        <w:t>- Phối hợp sớm với Sở Xây dựng các tỉnh trọng điểm (Quảng Ninh, Đà Nẵng, Phú Quốc, Thanh Hóa) để thống nhất quy trình cấp mã.</w:t>
        <w:br/>
        <w:t>- Chuẩn bị sẵn hồ sơ kỹ thuật (mã thửa đất, mã dự án, sơ đồ block/tầng/căn) theo đúng cấu trúc quy định tại Phụ lục I để rút ngắn thời gian xử lý.</w:t>
      </w:r>
    </w:p>
    <w:p>
      <w:pPr>
        <w:pStyle w:val="Heading4"/>
        <w:spacing w:before="240" w:after="160"/>
      </w:pPr>
      <w:r>
        <w:rPr>
          <w:rFonts w:ascii="Times New Roman" w:hAnsi="Times New Roman" w:eastAsia="Times New Roman"/>
          <w:color w:val="1A1A2E"/>
          <w:sz w:val="28"/>
        </w:rPr>
        <w:t>2.1.2. Kịch bản xử lý hồi tố</w:t>
      </w:r>
    </w:p>
    <w:p>
      <w:r>
        <w:t xml:space="preserve">NĐ 357 yêu cầu các bộ, ngành, UBND cấp tỉnh phải chuẩn hóa dữ liệu đã có trước khi nghị định có hiệu lực, đảm bảo tích hợp vào hệ thống chậm nhất đến ngày </w:t>
      </w:r>
      <w:r>
        <w:rPr>
          <w:b/>
        </w:rPr>
        <w:t>01/07/2026</w:t>
      </w:r>
      <w:r>
        <w:t xml:space="preserve"> (Điều 40 khoản 1). Đồng thời, chủ đầu tư dự án BĐS phải cung cấp thông tin dự án cho UBND cấp tỉnh (Điều 30 khoản 1).</w:t>
      </w:r>
    </w:p>
    <w:p>
      <w:r>
        <w:t>Sun Group cần lập kế hoạch xin cấp mã hàng loạt cho 3 nhóm tài sản: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Nhóm tài sản</w:t>
            </w:r>
          </w:p>
        </w:tc>
        <w:tc>
          <w:tcPr>
            <w:tcW w:type="dxa" w:w="1872"/>
            <w:shd w:fill="E2E8F0" w:val="clear"/>
          </w:tcPr>
          <w:p>
            <w:pPr>
              <w:spacing w:before="60" w:after="60"/>
            </w:pPr>
            <w:r>
              <w:rPr>
                <w:rFonts w:ascii="Times New Roman" w:hAnsi="Times New Roman"/>
                <w:b/>
                <w:sz w:val="20"/>
              </w:rPr>
              <w:t>Khối lượng ước tính</w:t>
            </w:r>
          </w:p>
        </w:tc>
        <w:tc>
          <w:tcPr>
            <w:tcW w:type="dxa" w:w="1872"/>
            <w:shd w:fill="E2E8F0" w:val="clear"/>
          </w:tcPr>
          <w:p>
            <w:pPr>
              <w:spacing w:before="60" w:after="60"/>
            </w:pPr>
            <w:r>
              <w:rPr>
                <w:rFonts w:ascii="Times New Roman" w:hAnsi="Times New Roman"/>
                <w:b/>
                <w:sz w:val="20"/>
              </w:rPr>
              <w:t>Ưu tiên</w:t>
            </w:r>
          </w:p>
        </w:tc>
        <w:tc>
          <w:tcPr>
            <w:tcW w:type="dxa" w:w="1872"/>
            <w:shd w:fill="E2E8F0" w:val="clear"/>
          </w:tcPr>
          <w:p>
            <w:pPr>
              <w:spacing w:before="60" w:after="60"/>
            </w:pPr>
            <w:r>
              <w:rPr>
                <w:rFonts w:ascii="Times New Roman" w:hAnsi="Times New Roman"/>
                <w:b/>
                <w:sz w:val="20"/>
              </w:rPr>
              <w:t>Căn cứ pháp lý</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Giỏ hàng tồn kho (inventory) — sản phẩm đủ điều kiện bán nhưng chưa giao dịch</w:t>
            </w:r>
          </w:p>
        </w:tc>
        <w:tc>
          <w:tcPr>
            <w:tcW w:type="dxa" w:w="1872"/>
          </w:tcPr>
          <w:p>
            <w:pPr>
              <w:spacing w:before="60" w:after="60"/>
            </w:pPr>
            <w:r>
              <w:rPr>
                <w:rFonts w:ascii="Times New Roman" w:hAnsi="Times New Roman"/>
                <w:sz w:val="20"/>
              </w:rPr>
              <w:t>Cần rà soát toàn bộ dự án đang mở bán</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Điều 3 khoản 1 (định nghĩa tồn kho BĐS)</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Hàng đã bán — đang chờ ra sổ</w:t>
            </w:r>
          </w:p>
        </w:tc>
        <w:tc>
          <w:tcPr>
            <w:tcW w:type="dxa" w:w="1872"/>
          </w:tcPr>
          <w:p>
            <w:pPr>
              <w:spacing w:before="60" w:after="60"/>
            </w:pPr>
            <w:r>
              <w:rPr>
                <w:rFonts w:ascii="Times New Roman" w:hAnsi="Times New Roman"/>
                <w:sz w:val="20"/>
              </w:rPr>
              <w:t>Tất cả sản phẩm đã ký HĐMB chưa cấp GCN</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20 (thông tin sở hữu nhà ở)</w:t>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Tài sản đang thế chấp ngân hàng</w:t>
            </w:r>
          </w:p>
        </w:tc>
        <w:tc>
          <w:tcPr>
            <w:tcW w:type="dxa" w:w="1872"/>
          </w:tcPr>
          <w:p>
            <w:pPr>
              <w:spacing w:before="60" w:after="60"/>
            </w:pPr>
            <w:r>
              <w:rPr>
                <w:rFonts w:ascii="Times New Roman" w:hAnsi="Times New Roman"/>
                <w:sz w:val="20"/>
              </w:rPr>
              <w:t>Sản phẩm có văn bản thế chấp/giải chấp</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15 khoản 2 điểm c</w:t>
            </w:r>
          </w:p>
        </w:tc>
      </w:tr>
    </w:tbl>
    <w:p>
      <w:pPr>
        <w:spacing w:before="0" w:after="80"/>
      </w:pPr>
    </w:p>
    <w:p>
      <w:r>
        <w:rPr>
          <w:b/>
        </w:rPr>
        <w:t>Quy trình đề xuất:</w:t>
      </w:r>
      <w:r>
        <w:br/>
        <w:t>1. Ban Pháp chế lập danh sách toàn bộ dự án theo từng tỉnh.</w:t>
        <w:br/>
        <w:t>2. Khối CNTT export dữ liệu sản phẩm từ Sun CRM theo đúng cấu trúc Phụ lục I.</w:t>
        <w:br/>
        <w:t>3. Nộp hồ sơ xin cấp mã hàng loạt cho Sở Xây dựng từng tỉnh trước ngày 15/04/2026.</w:t>
      </w:r>
    </w:p>
    <w:p>
      <w:pPr>
        <w:pStyle w:val="Heading4"/>
        <w:spacing w:before="240" w:after="160"/>
      </w:pPr>
      <w:r>
        <w:rPr>
          <w:rFonts w:ascii="Times New Roman" w:hAnsi="Times New Roman" w:eastAsia="Times New Roman"/>
          <w:color w:val="1A1A2E"/>
          <w:sz w:val="28"/>
        </w:rPr>
        <w:t>2.1.3. Gỡ vướng sản phẩm đặc thù</w:t>
      </w:r>
    </w:p>
    <w:p>
      <w:r>
        <w:t>Cấu trúc mã định danh theo Phụ lục I được thiết kế cho hai loại hình: nhà ở (chuỗi 8 ký tự tự nhiên — Phụ lục I mục 1a) và phần diện tích sàn xây dựng (chuỗi 6 ký tự — Phụ lục I mục 1b). Tuy nhiên, danh mục BĐS tại Điều 17 khoản 2 bao gồm cả dự án du lịch, lưu trú (điểm d) — đây chính là phân khúc chiến lược của Sun Group.</w:t>
      </w:r>
    </w:p>
    <w:p>
      <w:r>
        <w:rPr>
          <w:b/>
        </w:rPr>
        <w:t>Vướng mắc cần giải quyết: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hình</w:t>
            </w:r>
          </w:p>
        </w:tc>
        <w:tc>
          <w:tcPr>
            <w:tcW w:type="dxa" w:w="3120"/>
            <w:shd w:fill="E2E8F0" w:val="clear"/>
          </w:tcPr>
          <w:p>
            <w:pPr>
              <w:spacing w:before="60" w:after="60"/>
            </w:pPr>
            <w:r>
              <w:rPr>
                <w:rFonts w:ascii="Times New Roman" w:hAnsi="Times New Roman"/>
                <w:b/>
                <w:sz w:val="20"/>
              </w:rPr>
              <w:t>Vấn đề</w:t>
            </w:r>
          </w:p>
        </w:tc>
        <w:tc>
          <w:tcPr>
            <w:tcW w:type="dxa" w:w="3120"/>
            <w:shd w:fill="E2E8F0" w:val="clear"/>
          </w:tcPr>
          <w:p>
            <w:pPr>
              <w:spacing w:before="60" w:after="60"/>
            </w:pPr>
            <w:r>
              <w:rPr>
                <w:rFonts w:ascii="Times New Roman" w:hAnsi="Times New Roman"/>
                <w:b/>
                <w:sz w:val="20"/>
              </w:rPr>
              <w:t>Đề xuất</w:t>
            </w:r>
          </w:p>
        </w:tc>
      </w:tr>
      <w:tr>
        <w:tc>
          <w:tcPr>
            <w:tcW w:type="dxa" w:w="3120"/>
          </w:tcPr>
          <w:p>
            <w:pPr>
              <w:spacing w:before="60" w:after="60"/>
            </w:pPr>
            <w:r>
              <w:rPr>
                <w:rFonts w:ascii="Times New Roman" w:hAnsi="Times New Roman"/>
                <w:sz w:val="20"/>
              </w:rPr>
              <w:t>Condotel</w:t>
            </w:r>
          </w:p>
        </w:tc>
        <w:tc>
          <w:tcPr>
            <w:tcW w:type="dxa" w:w="3120"/>
          </w:tcPr>
          <w:p>
            <w:pPr>
              <w:spacing w:before="60" w:after="60"/>
            </w:pPr>
            <w:r>
              <w:rPr>
                <w:rFonts w:ascii="Times New Roman" w:hAnsi="Times New Roman"/>
                <w:sz w:val="20"/>
              </w:rPr>
              <w:t>Phân định mã cho phần sở hữu riêng vs. phần diện tích chung (pool, lobby)</w:t>
            </w:r>
          </w:p>
        </w:tc>
        <w:tc>
          <w:tcPr>
            <w:tcW w:type="dxa" w:w="3120"/>
          </w:tcPr>
          <w:p>
            <w:pPr>
              <w:spacing w:before="60" w:after="60"/>
            </w:pPr>
            <w:r>
              <w:rPr>
                <w:rFonts w:ascii="Times New Roman" w:hAnsi="Times New Roman"/>
                <w:sz w:val="20"/>
              </w:rPr>
              <w:t>Tham vấn Bộ Xây dựng về thuật toán cấp mã</w:t>
            </w:r>
          </w:p>
        </w:tc>
      </w:tr>
      <w:tr>
        <w:tc>
          <w:tcPr>
            <w:tcW w:type="dxa" w:w="3120"/>
          </w:tcPr>
          <w:p>
            <w:pPr>
              <w:spacing w:before="60" w:after="60"/>
            </w:pPr>
            <w:r>
              <w:rPr>
                <w:rFonts w:ascii="Times New Roman" w:hAnsi="Times New Roman"/>
                <w:sz w:val="20"/>
              </w:rPr>
              <w:t>Shophouse khối đế</w:t>
            </w:r>
          </w:p>
        </w:tc>
        <w:tc>
          <w:tcPr>
            <w:tcW w:type="dxa" w:w="3120"/>
          </w:tcPr>
          <w:p>
            <w:pPr>
              <w:spacing w:before="60" w:after="60"/>
            </w:pPr>
            <w:r>
              <w:rPr>
                <w:rFonts w:ascii="Times New Roman" w:hAnsi="Times New Roman"/>
                <w:sz w:val="20"/>
              </w:rPr>
              <w:t>Một block có thể chứa cả nhà ở (tầng trên) và thương mại (tầng dưới) — 2 loại mã khác nhau?</w:t>
            </w:r>
          </w:p>
        </w:tc>
        <w:tc>
          <w:tcPr>
            <w:tcW w:type="dxa" w:w="3120"/>
          </w:tcPr>
          <w:p>
            <w:pPr>
              <w:spacing w:before="60" w:after="60"/>
            </w:pPr>
            <w:r>
              <w:rPr>
                <w:rFonts w:ascii="Times New Roman" w:hAnsi="Times New Roman"/>
                <w:sz w:val="20"/>
              </w:rPr>
              <w:t>Đề xuất cơ chế mã “cha-con”</w:t>
            </w:r>
          </w:p>
        </w:tc>
      </w:tr>
      <w:tr>
        <w:tc>
          <w:tcPr>
            <w:tcW w:type="dxa" w:w="3120"/>
          </w:tcPr>
          <w:p>
            <w:pPr>
              <w:spacing w:before="60" w:after="60"/>
            </w:pPr>
            <w:r>
              <w:rPr>
                <w:rFonts w:ascii="Times New Roman" w:hAnsi="Times New Roman"/>
                <w:sz w:val="20"/>
              </w:rPr>
              <w:t>Biệt thự chia sẻ kỳ nghỉ (Timeshare)</w:t>
            </w:r>
          </w:p>
        </w:tc>
        <w:tc>
          <w:tcPr>
            <w:tcW w:type="dxa" w:w="3120"/>
          </w:tcPr>
          <w:p>
            <w:pPr>
              <w:spacing w:before="60" w:after="60"/>
            </w:pPr>
            <w:r>
              <w:rPr>
                <w:rFonts w:ascii="Times New Roman" w:hAnsi="Times New Roman"/>
                <w:sz w:val="20"/>
              </w:rPr>
              <w:t>Nhiều chủ sở hữu cùng một đơn vị BĐS — mã gắn cho tài sản hay cho từng suất sở hữu?</w:t>
            </w:r>
          </w:p>
        </w:tc>
        <w:tc>
          <w:tcPr>
            <w:tcW w:type="dxa" w:w="3120"/>
          </w:tcPr>
          <w:p>
            <w:pPr>
              <w:spacing w:before="60" w:after="60"/>
            </w:pPr>
            <w:r>
              <w:rPr>
                <w:rFonts w:ascii="Times New Roman" w:hAnsi="Times New Roman"/>
                <w:sz w:val="20"/>
              </w:rPr>
              <w:t>Xây dựng hồ sơ tham vấn kèm case study quốc tế</w:t>
            </w:r>
          </w:p>
        </w:tc>
      </w:tr>
    </w:tbl>
    <w:p>
      <w:pPr>
        <w:spacing w:before="0" w:after="80"/>
      </w:pPr>
    </w:p>
    <w:p>
      <w:r>
        <w:rPr>
          <w:b/>
        </w:rPr>
        <w:t>Hành động:</w:t>
      </w:r>
      <w:r>
        <w:t xml:space="preserve"> Ban Pháp chế xây dựng văn bản tham vấn chính thức gửi Bộ Xây dựng trong vòng 30 ngày, kèm đề xuất phương án kỹ thuật cho từng loại hình.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2.2. Mắt xích phân phối, marketing và giao dịch — TRỌNG ĐIỂM</w:t>
      </w:r>
    </w:p>
    <w:p>
      <w:r>
        <w:rPr>
          <w:b/>
        </w:rPr>
        <w:t>Lead:</w:t>
      </w:r>
      <w:r>
        <w:t xml:space="preserve"> Sun Property (SPG)</w:t>
      </w:r>
    </w:p>
    <w:p>
      <w:pPr>
        <w:spacing w:before="80" w:after="80"/>
        <w:ind w:left="850"/>
        <w:pBdr>
          <w:left w:val="single" w:sz="18" w:space="8" w:color="D0D7DE"/>
        </w:pBdr>
      </w:pPr>
      <w:r>
        <w:rPr>
          <w:i/>
          <w:color w:val="6A737D"/>
        </w:rPr>
        <w:t>Đây là mắt xích chịu tác động nặng nhất. Nếu không xử lý kịp thời, toàn bộ hệ thống bán hàng có thể tê liệt.</w:t>
      </w:r>
    </w:p>
    <w:p>
      <w:pPr>
        <w:pStyle w:val="Heading4"/>
        <w:spacing w:before="240" w:after="160"/>
      </w:pPr>
      <w:r>
        <w:rPr>
          <w:rFonts w:ascii="Times New Roman" w:hAnsi="Times New Roman" w:eastAsia="Times New Roman"/>
          <w:color w:val="1A1A2E"/>
          <w:sz w:val="28"/>
        </w:rPr>
        <w:t>2.2.1. Quản trị tâm lý khách hàng VIP/VVIP</w:t>
      </w:r>
    </w:p>
    <w:p>
      <w:r>
        <w:rPr>
          <w:b/>
        </w:rPr>
        <w:t>Tác động:</w:t>
      </w:r>
    </w:p>
    <w:p>
      <w:r>
        <w:t>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được lưu vĩnh viễn và có thể truy xuất theo mã định danh sản phẩm (Phụ lục VI mục 5).</w:t>
      </w:r>
    </w:p>
    <w:p>
      <w:r>
        <w:t xml:space="preserve">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w:t>
      </w:r>
      <w:r>
        <w:rPr>
          <w:b/>
        </w:rPr>
        <w:t>tổng tài sản BĐS, nguồn vốn vay, và lịch sử giao dịch</w:t>
      </w:r>
      <w:r>
        <w:t xml:space="preserve"> của mỗi cá nhân.</w:t>
      </w:r>
    </w:p>
    <w:p>
      <w:r>
        <w:rPr>
          <w:b/>
        </w:rPr>
        <w:t>Hậu quả dự kiến:</w:t>
      </w:r>
      <w:r>
        <w:t xml:space="preserve"> Nhóm khách hàng VIP/VVIP — đặc biệt những người sở hữu nhiều tài sản hoặc có cơ cấu sở hữu phức tạp (qua nhiều pháp nhân) — sẽ e ngại mua thêm BĐS do lo ngại bị truy thuế tài sản, thuế TNCN trên giao dịch thứ cấp trước đây.</w:t>
      </w:r>
    </w:p>
    <w:p>
      <w:r>
        <w:rPr>
          <w:b/>
        </w:rPr>
        <w:t>Giải pháp:</w:t>
      </w:r>
    </w:p>
    <w:p>
      <w:pPr>
        <w:spacing w:after="40" w:before="20"/>
        <w:ind w:left="720" w:hanging="357"/>
      </w:pPr>
      <w:r>
        <w:t xml:space="preserve">1. </w:t>
      </w:r>
      <w:r>
        <w:rPr>
          <w:b/>
        </w:rPr>
        <w:t>Xoay trục truyền thông:</w:t>
      </w:r>
      <w:r>
        <w:t xml:space="preserve"> Chuyển narrative từ </w:t>
      </w:r>
      <w:r>
        <w:rPr>
          <w:i/>
        </w:rPr>
        <w:t>“mua BĐS để đầu cơ”</w:t>
      </w:r>
      <w:r>
        <w:t xml:space="preserve"> sang </w:t>
      </w:r>
      <w:r>
        <w:rPr>
          <w:i/>
        </w:rPr>
        <w:t>“mua BĐS Sun Group — tài sản có chứng minh thư quốc gia, an toàn pháp lý trọn đời.”</w:t>
      </w:r>
      <w:r>
        <w:t xml:space="preserve"> Campaign đề xuất: </w:t>
      </w:r>
      <w:r>
        <w:rPr>
          <w:i/>
        </w:rPr>
        <w:t>“Định danh BĐS Sun Group — Bảo chứng hàng hiệu &amp; an toàn pháp lý.”</w:t>
      </w:r>
    </w:p>
    <w:p>
      <w:pPr>
        <w:spacing w:after="40" w:before="20"/>
        <w:ind w:left="720" w:hanging="357"/>
      </w:pPr>
      <w:r>
        <w:t xml:space="preserve">2. </w:t>
      </w:r>
      <w:r>
        <w:rPr>
          <w:b/>
        </w:rPr>
        <w:t>Cung cấp sale-kit xử lý từ chối:</w:t>
      </w:r>
      <w:r>
        <w:t xml:space="preserve"> Xây dựng bộ kịch bản (script) cho đội ngũ Sales, bao gồm:</w:t>
        <w:br/>
        <w:t xml:space="preserve">   - FAQ về quyền riêng tư dữ liệu (Điều 33 khoản 7: các thông tin liên quan đến dữ liệu định danh công dân không được khai thác trừ phục vụ cơ quan quản lý nhà nước).</w:t>
        <w:br/>
        <w:t xml:space="preserve">   - So sánh rủi ro: tài sản </w:t>
      </w:r>
      <w:r>
        <w:rPr>
          <w:i/>
        </w:rPr>
        <w:t>có</w:t>
      </w:r>
      <w:r>
        <w:t xml:space="preserve"> mã định danh (minh bạch, dễ giao dịch thứ cấp, được ngân hàng ưu tiên thẩm định) vs. tài sản </w:t>
      </w:r>
      <w:r>
        <w:rPr>
          <w:i/>
        </w:rPr>
        <w:t>không có</w:t>
      </w:r>
      <w:r>
        <w:t xml:space="preserve"> mã (rủi ro pháp lý, khó thanh khoản).</w:t>
      </w:r>
    </w:p>
    <w:p>
      <w:pPr>
        <w:spacing w:after="40" w:before="20"/>
        <w:ind w:left="720" w:hanging="357"/>
      </w:pPr>
      <w:r>
        <w:t xml:space="preserve">3. </w:t>
      </w:r>
      <w:r>
        <w:rPr>
          <w:b/>
        </w:rPr>
        <w:t>Tổ chức hội thảo VIP riêng:</w:t>
      </w:r>
      <w:r>
        <w:t xml:space="preserve"> Mời chuyên gia pháp lý phân tích NĐ 357, trấn an tâm lý và nhấn mạnh lợi ích của minh bạch hóa.</w:t>
      </w:r>
    </w:p>
    <w:p>
      <w:pPr>
        <w:pStyle w:val="Heading4"/>
        <w:spacing w:before="240" w:after="160"/>
      </w:pPr>
      <w:r>
        <w:rPr>
          <w:rFonts w:ascii="Times New Roman" w:hAnsi="Times New Roman" w:eastAsia="Times New Roman"/>
          <w:color w:val="1A1A2E"/>
          <w:sz w:val="28"/>
        </w:rPr>
        <w:t>2.2.2. Xử lý khủng hoảng mạng lưới đại lý (Agency F1, F2)</w:t>
      </w:r>
    </w:p>
    <w:p>
      <w:r>
        <w:rPr>
          <w:b/>
        </w:rPr>
        <w:t>Tác động:</w:t>
      </w:r>
    </w:p>
    <w:p>
      <w:r>
        <w:t>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dẫn đến:</w:t>
        <w:br/>
        <w:t>- Ách tắc hệ thống booking.</w:t>
        <w:br/>
        <w:t>- Rủi ro pháp lý nếu giao dịch được thực hiện bởi nhân viên không có mã.</w:t>
        <w:br/>
        <w:t>- Bộ Xây dựng và Sở Xây dựng công bố tổ chức, cá nhân vi phạm (Điều 36 khoản 5; Điều 38 khoản 5 điểm c).</w:t>
      </w:r>
    </w:p>
    <w:p>
      <w:r>
        <w:rPr>
          <w:b/>
        </w:rPr>
        <w:t>Giải pháp:</w:t>
      </w:r>
    </w:p>
    <w:p>
      <w:pPr>
        <w:spacing w:after="40" w:before="20"/>
        <w:ind w:left="720" w:hanging="357"/>
      </w:pPr>
      <w:r>
        <w:t xml:space="preserve">1. </w:t>
      </w:r>
      <w:r>
        <w:rPr>
          <w:b/>
        </w:rPr>
        <w:t>Ban hành “tối hậu thư” chuẩn hóa đại lý:</w:t>
      </w:r>
      <w:r>
        <w:t xml:space="preserve"> Thông báo chính thức yêu cầu tất cả F1/F2 cung cấp danh sách nhân viên có chứng chỉ hành nghề kèm mã định danh trong vòng 30 ngày. Sau thời hạn, các đại lý không đạt chuẩn sẽ bị tạm dừng hợp đồng phân phối.</w:t>
      </w:r>
    </w:p>
    <w:p>
      <w:pPr>
        <w:spacing w:after="40" w:before="20"/>
        <w:ind w:left="720" w:hanging="357"/>
      </w:pPr>
      <w:r>
        <w:t xml:space="preserve">2. </w:t>
      </w:r>
      <w:r>
        <w:rPr>
          <w:b/>
        </w:rPr>
        <w:t>Phối hợp tổ chức thi chứng chỉ cấp tốc:</w:t>
      </w:r>
      <w:r>
        <w:t xml:space="preserve"> Liên hệ với các cơ sở đào tạo được cấp phép (Điều 24) để tổ chức đợt thi/cấp chứng chỉ đặc biệt cho nhân viên hệ thống Sun Property.</w:t>
      </w:r>
    </w:p>
    <w:p>
      <w:pPr>
        <w:spacing w:after="40" w:before="20"/>
        <w:ind w:left="720" w:hanging="357"/>
      </w:pPr>
      <w:r>
        <w:t xml:space="preserve">3. </w:t>
      </w:r>
      <w:r>
        <w:rPr>
          <w:b/>
        </w:rPr>
        <w:t>Bổ sung chế tài vào hợp đồng phân phối:</w:t>
      </w:r>
      <w:r>
        <w:t xml:space="preserve"> Bổ sung điều khoản bắt buộc: </w:t>
      </w:r>
      <w:r>
        <w:rPr>
          <w:i/>
        </w:rPr>
        <w:t>“Đại lý cam kết 100% nhân viên tham gia giao dịch sản phẩm Sun Group phải có chứng chỉ hành nghề và mã định danh điện tử theo NĐ 357.”</w:t>
      </w:r>
    </w:p>
    <w:p>
      <w:pPr>
        <w:pStyle w:val="Heading4"/>
        <w:spacing w:before="240" w:after="160"/>
      </w:pPr>
      <w:r>
        <w:rPr>
          <w:rFonts w:ascii="Times New Roman" w:hAnsi="Times New Roman" w:eastAsia="Times New Roman"/>
          <w:color w:val="1A1A2E"/>
          <w:sz w:val="28"/>
        </w:rPr>
        <w:t>2.2.3. Cập nhật pháp lý thương mại</w:t>
      </w:r>
    </w:p>
    <w:p>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r>
        <w:rPr>
          <w:b/>
        </w:rPr>
        <w:t>Hành động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Biểu mẫu</w:t>
            </w:r>
          </w:p>
        </w:tc>
        <w:tc>
          <w:tcPr>
            <w:tcW w:type="dxa" w:w="3120"/>
            <w:shd w:fill="E2E8F0" w:val="clear"/>
          </w:tcPr>
          <w:p>
            <w:pPr>
              <w:spacing w:before="60" w:after="60"/>
            </w:pPr>
            <w:r>
              <w:rPr>
                <w:rFonts w:ascii="Times New Roman" w:hAnsi="Times New Roman"/>
                <w:b/>
                <w:sz w:val="20"/>
              </w:rPr>
              <w:t>Trường bổ sung bắt buộc</w:t>
            </w:r>
          </w:p>
        </w:tc>
        <w:tc>
          <w:tcPr>
            <w:tcW w:type="dxa" w:w="3120"/>
            <w:shd w:fill="E2E8F0" w:val="clear"/>
          </w:tcPr>
          <w:p>
            <w:pPr>
              <w:spacing w:before="60" w:after="60"/>
            </w:pPr>
            <w:r>
              <w:rPr>
                <w:rFonts w:ascii="Times New Roman" w:hAnsi="Times New Roman"/>
                <w:b/>
                <w:sz w:val="20"/>
              </w:rPr>
              <w:t>Hạn hoàn thành</w:t>
            </w:r>
          </w:p>
        </w:tc>
      </w:tr>
      <w:tr>
        <w:tc>
          <w:tcPr>
            <w:tcW w:type="dxa" w:w="3120"/>
          </w:tcPr>
          <w:p>
            <w:pPr>
              <w:spacing w:before="60" w:after="60"/>
            </w:pPr>
            <w:r>
              <w:rPr>
                <w:rFonts w:ascii="Times New Roman" w:hAnsi="Times New Roman"/>
                <w:sz w:val="20"/>
              </w:rPr>
              <w:t>Thỏa thuận đặt cọc</w:t>
            </w:r>
          </w:p>
        </w:tc>
        <w:tc>
          <w:tcPr>
            <w:tcW w:type="dxa" w:w="3120"/>
          </w:tcPr>
          <w:p>
            <w:pPr>
              <w:spacing w:before="60" w:after="60"/>
            </w:pPr>
            <w:r>
              <w:rPr>
                <w:rFonts w:ascii="Times New Roman" w:hAnsi="Times New Roman"/>
                <w:sz w:val="20"/>
              </w:rPr>
              <w:t>Mã định danh BĐS (tối đa 40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Hợp đồng mua bán (HĐMB)</w:t>
            </w:r>
          </w:p>
        </w:tc>
        <w:tc>
          <w:tcPr>
            <w:tcW w:type="dxa" w:w="3120"/>
          </w:tcPr>
          <w:p>
            <w:pPr>
              <w:spacing w:before="60" w:after="60"/>
            </w:pPr>
            <w:r>
              <w:rPr>
                <w:rFonts w:ascii="Times New Roman" w:hAnsi="Times New Roman"/>
                <w:sz w:val="20"/>
              </w:rPr>
              <w:t>Mã định danh BĐS + Mã môi giới (17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Văn bản chuyển nhượng</w:t>
            </w:r>
          </w:p>
        </w:tc>
        <w:tc>
          <w:tcPr>
            <w:tcW w:type="dxa" w:w="3120"/>
          </w:tcPr>
          <w:p>
            <w:pPr>
              <w:spacing w:before="60" w:after="60"/>
            </w:pPr>
            <w:r>
              <w:rPr>
                <w:rFonts w:ascii="Times New Roman" w:hAnsi="Times New Roman"/>
                <w:sz w:val="20"/>
              </w:rPr>
              <w:t>Mã định danh BĐS + Thông tin các bên (số định danh cá nhân/tổ chức)</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Phiếu booking nội bộ</w:t>
            </w:r>
          </w:p>
        </w:tc>
        <w:tc>
          <w:tcPr>
            <w:tcW w:type="dxa" w:w="3120"/>
          </w:tcPr>
          <w:p>
            <w:pPr>
              <w:spacing w:before="60" w:after="60"/>
            </w:pPr>
            <w:r>
              <w:rPr>
                <w:rFonts w:ascii="Times New Roman" w:hAnsi="Times New Roman"/>
                <w:sz w:val="20"/>
              </w:rPr>
              <w:t>Mã môi giới của nhân viên thực hiện giao dịch</w:t>
            </w:r>
          </w:p>
        </w:tc>
        <w:tc>
          <w:tcPr>
            <w:tcW w:type="dxa" w:w="3120"/>
          </w:tcPr>
          <w:p>
            <w:pPr>
              <w:spacing w:before="60" w:after="60"/>
            </w:pPr>
            <w:r>
              <w:rPr>
                <w:rFonts w:ascii="Times New Roman" w:hAnsi="Times New Roman"/>
                <w:sz w:val="20"/>
              </w:rPr>
              <w:t>01/03/2026</w:t>
            </w:r>
          </w:p>
        </w:tc>
      </w:tr>
    </w:tbl>
    <w:p>
      <w:pPr>
        <w:spacing w:before="0" w:after="80"/>
      </w:pPr>
    </w:p>
    <w:p>
      <w:r>
        <w:t>Ban Pháp chế phối hợp với SPG rà soát và cập nhật toàn bộ biểu mẫu trước ngày hiệu lực.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2.3. Mắt xích bàn giao, quản lý vận hành và hậu mãi</w:t>
      </w:r>
    </w:p>
    <w:p>
      <w:r>
        <w:rPr>
          <w:b/>
        </w:rPr>
        <w:t>Lead:</w:t>
      </w:r>
      <w:r>
        <w:t xml:space="preserve"> Sun Property Management (SPM / SPL)</w:t>
      </w:r>
    </w:p>
    <w:p>
      <w:pPr>
        <w:pStyle w:val="Heading4"/>
        <w:spacing w:before="240" w:after="160"/>
      </w:pPr>
      <w:r>
        <w:rPr>
          <w:rFonts w:ascii="Times New Roman" w:hAnsi="Times New Roman" w:eastAsia="Times New Roman"/>
          <w:color w:val="1A1A2E"/>
          <w:sz w:val="28"/>
        </w:rPr>
        <w:t>2.3.1. Tuân thủ pháp nhân quản lý vận hành</w:t>
      </w:r>
    </w:p>
    <w:p>
      <w:r>
        <w:t>Theo Điều 10, đơn vị quản lý vận hành nhà chung cư phải có mã định danh điện tử — chuỗi 15 ký tự bao gồm: 13 ký tự số định danh tổ chức + 2 ký tự nhận diện đơn vị cấp thông báo (Phụ lục I mục 2). Mã được gắn cùng thời điểm ban hành văn bản thông báo đủ điều kiện (Điều 10 khoản 2).</w:t>
      </w:r>
    </w:p>
    <w:p>
      <w:r>
        <w:t>Ngoài ra, phải cung cấp danh sách nhân viên trực tiếp tham gia quản lý vận hành trong các lĩnh vực: xây dựng, kỹ thuật điện nước, phòng cháy chữa cháy, vận hành thang máy — kèm họ tên và số định danh cá nhân (Điều 25 khoản 2).</w:t>
      </w:r>
    </w:p>
    <w:p>
      <w:r>
        <w:rPr>
          <w:b/>
        </w:rPr>
        <w:t>Hành động:</w:t>
      </w:r>
      <w:r>
        <w:br/>
        <w:t>- SPM lập hồ sơ đăng ký mã định danh cho tất cả pháp nhân quản lý vận hành thuộc hệ sinh thái Sun Group.</w:t>
        <w:br/>
        <w:t>- Cập nhật danh sách nhân viên kỹ thuật đủ điều kiện, nộp cho Sở Xây dựng từng địa phương.</w:t>
        <w:br/>
        <w:t>- Bổ sung quyết định công nhận ban quản trị nhà chung cư vào hệ thống (Điều 25 khoản 3).</w:t>
      </w:r>
    </w:p>
    <w:p>
      <w:pPr>
        <w:pStyle w:val="Heading4"/>
        <w:spacing w:before="240" w:after="160"/>
      </w:pPr>
      <w:r>
        <w:rPr>
          <w:rFonts w:ascii="Times New Roman" w:hAnsi="Times New Roman" w:eastAsia="Times New Roman"/>
          <w:color w:val="1A1A2E"/>
          <w:sz w:val="28"/>
        </w:rPr>
        <w:t>2.3.2. Cập nhật hệ sinh thái cư dân</w:t>
      </w:r>
    </w:p>
    <w:p>
      <w:r>
        <w:t>Sun Smart Super App hiện phục vụ cư dân quản lý căn hộ, thanh toán phí dịch vụ, đặt tiện ích. NĐ 357 mở ra cơ hội nâng cấp:</w:t>
      </w:r>
    </w:p>
    <w:p>
      <w:pPr>
        <w:spacing w:after="40" w:before="20"/>
        <w:ind w:left="720" w:hanging="357"/>
      </w:pPr>
      <w:r>
        <w:rPr>
          <w:sz w:val="20"/>
        </w:rPr>
        <w:t xml:space="preserve">• </w:t>
      </w:r>
      <w:r>
        <w:rPr>
          <w:b/>
        </w:rPr>
        <w:t>Tích hợp mã định danh BĐS (40 ký tự)</w:t>
      </w:r>
      <w:r>
        <w:t>vào hồ sơ căn hộ trên app, giúp cư dân tra cứu thông tin pháp lý, lịch sử giao dịch tức thời.</w:t>
      </w:r>
    </w:p>
    <w:p>
      <w:pPr>
        <w:spacing w:after="40" w:before="20"/>
        <w:ind w:left="720" w:hanging="357"/>
      </w:pPr>
      <w:r>
        <w:rPr>
          <w:sz w:val="20"/>
        </w:rPr>
        <w:t xml:space="preserve">• </w:t>
      </w:r>
      <w:r>
        <w:rPr>
          <w:b/>
        </w:rPr>
        <w:t>Hỗ trợ chuyển nhượng thứ cấp:</w:t>
      </w:r>
      <w:r>
        <w:t>Khi cư dân muốn bán/cho thuê, app tự động map mã định danh BĐS với thông tin giao dịch cần thiết theo Điều 19, giảm thời gian và chi phí giao dịch.</w:t>
      </w:r>
    </w:p>
    <w:p>
      <w:pPr>
        <w:spacing w:after="40" w:before="20"/>
        <w:ind w:left="720" w:hanging="357"/>
      </w:pPr>
      <w:r>
        <w:rPr>
          <w:sz w:val="20"/>
        </w:rPr>
        <w:t xml:space="preserve">• </w:t>
      </w:r>
      <w:r>
        <w:rPr>
          <w:b/>
        </w:rPr>
        <w:t>Kết nối cổng quốc gia:</w:t>
      </w:r>
      <w:r>
        <w:t>Liên thông với hệ thống thông tin về nhà ở qua API (Điều 31) để cập nhật trạng thái pháp lý thời gian thực.</w:t>
      </w:r>
    </w:p>
    <w:p>
      <w:pPr>
        <w:pStyle w:val="Heading4"/>
        <w:spacing w:before="240" w:after="160"/>
      </w:pPr>
      <w:r>
        <w:rPr>
          <w:rFonts w:ascii="Times New Roman" w:hAnsi="Times New Roman" w:eastAsia="Times New Roman"/>
          <w:color w:val="1A1A2E"/>
          <w:sz w:val="28"/>
        </w:rPr>
        <w:t>2.3.3. Quản trị rủi ro dòng tiền hậu mãi</w:t>
      </w:r>
    </w:p>
    <w:p>
      <w:r>
        <w:t>Đối với các sản phẩm có cơ chế chia sẻ doanh thu (rental pool / timeshare), NĐ 357 tạo rủi ro mới:</w:t>
      </w:r>
    </w:p>
    <w:p>
      <w:pPr>
        <w:spacing w:after="40" w:before="20"/>
        <w:ind w:left="720" w:hanging="357"/>
      </w:pPr>
      <w:r>
        <w:rPr>
          <w:sz w:val="20"/>
        </w:rPr>
        <w:t xml:space="preserve">• </w:t>
      </w:r>
      <w:r>
        <w:t>Dữ liệu giao dịch cho thuê, thuê lại được ghi nhận đầy đủ (Điều 19 khoản 3 điểm a: loại hợp đồng bao gồm “thuê, thuê lại”).</w:t>
      </w:r>
    </w:p>
    <w:p>
      <w:pPr>
        <w:spacing w:after="40" w:before="20"/>
        <w:ind w:left="720" w:hanging="357"/>
      </w:pPr>
      <w:r>
        <w:rPr>
          <w:sz w:val="20"/>
        </w:rPr>
        <w:t xml:space="preserve">• </w:t>
      </w:r>
      <w:r>
        <w:t>Ngân hàng Nhà nước chia sẻ dữ liệu dư nợ tín dụng đối với khu du lịch, sinh thái, nghỉ dưỡng (Điều 28 khoản 4 điểm a).</w:t>
      </w:r>
    </w:p>
    <w:p>
      <w:pPr>
        <w:spacing w:after="40" w:before="20"/>
        <w:ind w:left="720" w:hanging="357"/>
      </w:pPr>
      <w:r>
        <w:rPr>
          <w:sz w:val="20"/>
        </w:rPr>
        <w:t xml:space="preserve">• </w:t>
      </w:r>
      <w:r>
        <w:t>Bộ Tài chính chia sẻ dữ liệu thuế thu nhập (Điều 28 khoản 3 điểm a).</w:t>
      </w:r>
    </w:p>
    <w:p>
      <w:r>
        <w:rPr>
          <w:b/>
        </w:rPr>
        <w:t>Rủi ro:</w:t>
      </w:r>
      <w:r>
        <w:t xml:space="preserve"> Nếu doanh thu rental pool không được kê khai đầy đủ qua hệ thống quốc gia, cơ quan Thuế có thể truy thu thuế TNCN / thuế nhà thầu cho chủ sở hữu và đơn vị vận hành.</w:t>
      </w:r>
    </w:p>
    <w:p>
      <w:r>
        <w:rPr>
          <w:b/>
        </w:rPr>
        <w:t>Hành động:</w:t>
      </w:r>
      <w:r>
        <w:t xml:space="preserve"> SPM/SPL phối hợp với Ban Kế toán rà soát toàn bộ quy trình chia sẻ doanh thu, đảm bảo khớp nối dữ liệu với cơ quan Thuế. Mỗi giao dịch cho thuê phải map cứng với mã định danh BĐS.</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2.4. Mắt xích hạ tầng công nghệ, dữ liệu và tài chính</w:t>
      </w:r>
    </w:p>
    <w:p>
      <w:r>
        <w:rPr>
          <w:b/>
        </w:rPr>
        <w:t>Lead:</w:t>
      </w:r>
      <w:r>
        <w:t xml:space="preserve"> Khối CNTT / Sun Smart &amp; Ban Kế toán</w:t>
      </w:r>
    </w:p>
    <w:p>
      <w:pPr>
        <w:pStyle w:val="Heading4"/>
        <w:spacing w:before="240" w:after="160"/>
      </w:pPr>
      <w:r>
        <w:rPr>
          <w:rFonts w:ascii="Times New Roman" w:hAnsi="Times New Roman" w:eastAsia="Times New Roman"/>
          <w:color w:val="1A1A2E"/>
          <w:sz w:val="28"/>
        </w:rPr>
        <w:t>2.4.1. Tái cấu trúc database</w:t>
      </w:r>
    </w:p>
    <w:p>
      <w:r>
        <w:t>NĐ 357 đặt ra yêu cầu kỹ thuật cụ thể cho hệ thống nội bộ:</w:t>
      </w:r>
    </w:p>
    <w:p>
      <w:pPr>
        <w:spacing w:after="40" w:before="20"/>
        <w:ind w:left="720" w:hanging="357"/>
      </w:pPr>
      <w:r>
        <w:rPr>
          <w:sz w:val="20"/>
        </w:rPr>
        <w:t xml:space="preserve">• </w:t>
      </w:r>
      <w:r>
        <w:rPr>
          <w:b/>
        </w:rPr>
        <w:t>Mã định danh BĐS:</w:t>
      </w:r>
      <w:r>
        <w:t>Tối đa 40 ký tự (Điều 3 khoản 5), theo cấu trúc: [Mã thửa đất] - [Mã dự án] - [Mã địa điểm] - [Dãy ký tự tự nhiên] (Phụ lục I mục 1). Chỉ chứa chữ in hoa không dấu, số (A-Z, 0-9) và dấu gạch ngang.</w:t>
      </w:r>
    </w:p>
    <w:p>
      <w:pPr>
        <w:spacing w:after="40" w:before="20"/>
        <w:ind w:left="720" w:hanging="357"/>
      </w:pPr>
      <w:r>
        <w:rPr>
          <w:sz w:val="20"/>
        </w:rPr>
        <w:t xml:space="preserve">• </w:t>
      </w:r>
      <w:r>
        <w:rPr>
          <w:b/>
        </w:rPr>
        <w:t>Mã định danh môi giới:</w:t>
      </w:r>
      <w:r>
        <w:t>17 ký tự (Phụ lục I mục 3).</w:t>
      </w:r>
    </w:p>
    <w:p>
      <w:pPr>
        <w:spacing w:after="40" w:before="20"/>
        <w:ind w:left="720" w:hanging="357"/>
      </w:pPr>
      <w:r>
        <w:rPr>
          <w:sz w:val="20"/>
        </w:rPr>
        <w:t xml:space="preserve">• </w:t>
      </w:r>
      <w:r>
        <w:rPr>
          <w:b/>
        </w:rPr>
        <w:t>Mã đơn vị quản lý vận hành:</w:t>
      </w:r>
      <w:r>
        <w:t>15 ký tự (Phụ lục I mục 2).</w:t>
      </w:r>
    </w:p>
    <w:p>
      <w:r>
        <w:rPr>
          <w:b/>
        </w:rPr>
        <w:t>Hành động:</w:t>
      </w:r>
      <w:r>
        <w:br/>
        <w:t>- Bổ sung trường lưu trữ mã định danh (VARCHAR 50 — để dự phòng) vào các bảng dữ liệu lõi: danh mục sản phẩm, hồ sơ giao dịch, hợp đồng, nhân viên bán hàng trong Sun CRM / SAP / ERP.</w:t>
        <w:br/>
        <w:t xml:space="preserve">- Triển khai </w:t>
      </w:r>
      <w:r>
        <w:rPr>
          <w:b/>
        </w:rPr>
        <w:t>Rule-block an toàn:</w:t>
      </w:r>
      <w:r>
        <w:t xml:space="preserve"> Khi nhân viên thực hiện thao tác Lock căn / Booking, hệ thống yêu cầu nhập mã định danh BĐS và mã môi giới hợp lệ. Nếu thiếu → tự động từ chối thao tác.</w:t>
        <w:br/>
        <w:t>- Lập quy định nội bộ: không một giao dịch nào được ghi nhận trên hệ thống mà thiếu mã định danh.</w:t>
      </w:r>
    </w:p>
    <w:p>
      <w:pPr>
        <w:pStyle w:val="Heading4"/>
        <w:spacing w:before="240" w:after="160"/>
      </w:pPr>
      <w:r>
        <w:rPr>
          <w:rFonts w:ascii="Times New Roman" w:hAnsi="Times New Roman" w:eastAsia="Times New Roman"/>
          <w:color w:val="1A1A2E"/>
          <w:sz w:val="28"/>
        </w:rPr>
        <w:t>2.4.2. Xây dựng cổng kết nối (API Integration)</w:t>
      </w:r>
    </w:p>
    <w:p>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r>
        <w:t>Trước khi kết nối, các đơn vị phải đăng tải siêu dữ liệu (metadata) đầy đủ lên từ điển dữ liệu dùng chung (Điều 31 khoản 3).</w:t>
      </w:r>
    </w:p>
    <w:p>
      <w:r>
        <w:t>Chủ đầu tư cung cấp thông tin cho UBND cấp tỉnh qua hệ thống phần mềm (Điều 31 khoản 1 điểm b).</w:t>
      </w:r>
    </w:p>
    <w:p>
      <w:r>
        <w:rPr>
          <w:b/>
        </w:rPr>
        <w:t>Hành động:</w:t>
      </w:r>
      <w:r>
        <w:br/>
        <w:t xml:space="preserve">- Thiết kế và phát triển module API 2 chiều: </w:t>
      </w:r>
      <w:r>
        <w:rPr>
          <w:b/>
        </w:rPr>
        <w:t>Push</w:t>
      </w:r>
      <w:r>
        <w:t xml:space="preserve"> (đẩy dữ liệu giao dịch, cập nhật tồn kho lên Cổng quốc gia) và </w:t>
      </w:r>
      <w:r>
        <w:rPr>
          <w:b/>
        </w:rPr>
        <w:t>Pull</w:t>
      </w:r>
      <w:r>
        <w:t xml:space="preserve"> (kéo mã định danh BĐS, trạng thái pháp lý về hệ thống nội bộ).</w:t>
        <w:br/>
        <w:t>- Lập tài liệu metadata theo chuẩn quy định; phối hợp với Bộ Xây dựng để đăng ký kết nối thử nghiệm.</w:t>
        <w:br/>
        <w:t xml:space="preserve">- </w:t>
      </w:r>
      <w:r>
        <w:rPr>
          <w:b/>
        </w:rPr>
        <w:t>Tiến độ:</w:t>
      </w:r>
      <w:r>
        <w:t xml:space="preserve"> Hoàn thành thiết kế kiến trúc trong Phase 1 (tháng đầu), code và UAT trong Phase 2, go-live Phase 3.</w:t>
      </w:r>
    </w:p>
    <w:p>
      <w:pPr>
        <w:pStyle w:val="Heading4"/>
        <w:spacing w:before="240" w:after="160"/>
      </w:pPr>
      <w:r>
        <w:rPr>
          <w:rFonts w:ascii="Times New Roman" w:hAnsi="Times New Roman" w:eastAsia="Times New Roman"/>
          <w:color w:val="1A1A2E"/>
          <w:sz w:val="28"/>
        </w:rPr>
        <w:t>2.4.3. Chuyển đổi số kế toán</w:t>
      </w:r>
    </w:p>
    <w:p>
      <w:r>
        <w:t>NĐ 357 liên thông dữ liệu giao dịch với Bộ Tài chính (Điều 28 khoản 3). Mỗi giao dịch BĐS sẽ được đối chiếu tự động với hồ sơ thuế.</w:t>
      </w:r>
    </w:p>
    <w:p>
      <w:r>
        <w:rPr>
          <w:b/>
        </w:rPr>
        <w:t>Hành động:</w:t>
      </w:r>
      <w:r>
        <w:br/>
        <w:t xml:space="preserve">- Xây dựng cơ chế </w:t>
      </w:r>
      <w:r>
        <w:rPr>
          <w:b/>
        </w:rPr>
        <w:t>tự động xuất hóa đơn điện tử map cứng với mã định danh BĐS</w:t>
      </w:r>
      <w:r>
        <w:t xml:space="preserve"> — mỗi hóa đơn giao dịch (bán, cho thuê, chuyển nhượng) đều gắn mã sản phẩm trước khi gửi Tổng cục Thuế.</w:t>
        <w:br/>
        <w:t>- Rà soát lại quy trình ghi nhận doanh thu trên SAP: đảm bảo mỗi dòng doanh thu tương ứng với một mã định danh BĐS cụ thể.</w:t>
        <w:br/>
        <w:t>- Ban Kế toán phối hợp với Khối CNTT hoàn thành tích hợp trong Phase 2 (tháng hai).</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3. Kế hoạch dự phòng kinh doanh liên tục (Business Continuity Plan)</w:t>
      </w:r>
    </w:p>
    <w:p>
      <w:pPr>
        <w:spacing w:before="80" w:after="80"/>
        <w:ind w:left="850"/>
        <w:pBdr>
          <w:left w:val="single" w:sz="18" w:space="8" w:color="D0D7DE"/>
        </w:pBdr>
      </w:pPr>
      <w:r>
        <w:rPr>
          <w:i/>
          <w:color w:val="6A737D"/>
        </w:rPr>
        <w:t>Bắt buộc phải lường trước sự cố bất khả kháng từ hệ thống công.</w:t>
      </w:r>
    </w:p>
    <w:p>
      <w:pPr>
        <w:pStyle w:val="Heading3"/>
        <w:spacing w:before="240" w:after="160"/>
      </w:pPr>
      <w:r>
        <w:rPr>
          <w:rFonts w:ascii="Times New Roman" w:hAnsi="Times New Roman" w:eastAsia="Times New Roman"/>
          <w:color w:val="1A1A2E"/>
          <w:sz w:val="32"/>
        </w:rPr>
        <w:t>3.1. Kịch bản “sập/nghẽn” cổng dữ liệu (Downtime Risk)</w:t>
      </w:r>
    </w:p>
    <w:p>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cực lớn.</w:t>
      </w:r>
    </w:p>
    <w:p>
      <w:r>
        <w:rPr>
          <w:b/>
        </w:rPr>
        <w:t>Phương án dự phòng:</w:t>
      </w:r>
    </w:p>
    <w:p>
      <w:pPr>
        <w:spacing w:after="40" w:before="20"/>
        <w:ind w:left="720" w:hanging="357"/>
      </w:pPr>
      <w:r>
        <w:t xml:space="preserve">1. </w:t>
      </w:r>
      <w:r>
        <w:rPr>
          <w:b/>
        </w:rPr>
        <w:t>Xây dựng cơ chế “xử lý bất đồng bộ” (Asynchronous Queue)</w:t>
      </w:r>
      <w:r>
        <w:t xml:space="preserve"> trên hệ thống bán hàng nội bộ:</w:t>
        <w:br/>
        <w:t xml:space="preserve">   - Cho phép nhân viên thực hiện booking / ráp căn ở </w:t>
      </w:r>
      <w:r>
        <w:rPr>
          <w:b/>
        </w:rPr>
        <w:t>chế độ offline (Offline mode)</w:t>
      </w:r>
      <w:r>
        <w:t xml:space="preserve"> khi Cổng quốc gia không phản hồi.</w:t>
        <w:br/>
        <w:t xml:space="preserve">   - Hệ thống tự lưu đệm toàn bộ giao dịch vào hàng đợi nội bộ.</w:t>
        <w:br/>
        <w:t xml:space="preserve">   - Khi kết nối phục hồi, hệ thống tự động đồng bộ (sync) và xác nhận mã định danh cho từng giao dịch theo thứ tự thời gian.</w:t>
      </w:r>
    </w:p>
    <w:p>
      <w:pPr>
        <w:spacing w:after="40" w:before="20"/>
        <w:ind w:left="720" w:hanging="357"/>
      </w:pPr>
      <w:r>
        <w:t xml:space="preserve">2. </w:t>
      </w:r>
      <w:r>
        <w:rPr>
          <w:b/>
        </w:rPr>
        <w:t>Thiết lập SLA nội bộ:</w:t>
      </w:r>
      <w:r>
        <w:t xml:space="preserve"> Mọi giao dịch offline phải được đồng bộ trong vòng tối đa 24 giờ. Nếu quá hạn, tự động escalate lên trưởng bộ phận IT.</w:t>
      </w:r>
    </w:p>
    <w:p>
      <w:pPr>
        <w:spacing w:after="40" w:before="20"/>
        <w:ind w:left="720" w:hanging="357"/>
      </w:pPr>
      <w:r>
        <w:t xml:space="preserve">3. </w:t>
      </w:r>
      <w:r>
        <w:rPr>
          <w:b/>
        </w:rPr>
        <w:t>Chuẩn bị phương án báo cáo thủ công:</w:t>
      </w:r>
      <w:r>
        <w:t xml:space="preserve"> Theo Điều 40 khoản 2, nếu hệ thống chưa đáp ứng yêu cầu kết nối, các đơn vị tiếp tục thực hiện chế độ báo cáo theo NĐ 94/2024/NĐ-CP. Sun Group cần duy trì song song hệ thống báo cáo cũ cho đến khi kết nối ổn định.</w:t>
      </w:r>
    </w:p>
    <w:p>
      <w:pPr>
        <w:pStyle w:val="Heading3"/>
        <w:spacing w:before="240" w:after="160"/>
      </w:pPr>
      <w:r>
        <w:rPr>
          <w:rFonts w:ascii="Times New Roman" w:hAnsi="Times New Roman" w:eastAsia="Times New Roman"/>
          <w:color w:val="1A1A2E"/>
          <w:sz w:val="32"/>
        </w:rPr>
        <w:t>3.2. Kịch bản bảo mật an toàn thông tin (Data Security)</w:t>
      </w:r>
    </w:p>
    <w:p>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r>
        <w:t>Sun Group quản lý dữ liệu giao dịch của hàng chục nghìn khách hàng, bao gồm nhiều cá nhân có giá trị tài sản lớn. Rò rỉ dữ liệu định danh và lịch sử giao dịch sẽ gây tổn thương uy tín nghiêm trọng.</w:t>
      </w:r>
    </w:p>
    <w:p>
      <w:r>
        <w:rPr>
          <w:b/>
        </w:rPr>
        <w:t>Phương án:</w:t>
      </w:r>
    </w:p>
    <w:p>
      <w:pPr>
        <w:spacing w:after="40" w:before="20"/>
        <w:ind w:left="720" w:hanging="357"/>
      </w:pPr>
      <w:r>
        <w:rPr>
          <w:sz w:val="20"/>
        </w:rPr>
        <w:t xml:space="preserve">• </w:t>
      </w:r>
      <w:r>
        <w:t>Áp dụng mã hóa đầu cuối (end-to-end encryption) cho toàn bộ dữ liệu mã định danh BĐS và lịch sử giao dịch trên Sun CRM.</w:t>
      </w:r>
    </w:p>
    <w:p>
      <w:pPr>
        <w:spacing w:after="40" w:before="20"/>
        <w:ind w:left="720" w:hanging="357"/>
      </w:pPr>
      <w:r>
        <w:rPr>
          <w:sz w:val="20"/>
        </w:rPr>
        <w:t xml:space="preserve">• </w:t>
      </w:r>
      <w:r>
        <w:t>Phân quyền truy cập theo nguyên tắc “need-to-know”: chỉ nhân viên được phân công mới xem được thông tin chi tiết giao dịch.</w:t>
      </w:r>
    </w:p>
    <w:p>
      <w:pPr>
        <w:spacing w:after="40" w:before="20"/>
        <w:ind w:left="720" w:hanging="357"/>
      </w:pPr>
      <w:r>
        <w:rPr>
          <w:sz w:val="20"/>
        </w:rPr>
        <w:t xml:space="preserve">• </w:t>
      </w:r>
      <w:r>
        <w:t>Kiểm toán log truy cập (audit log) theo yêu cầu tại Điều 4 khoản 5: mọi bản ghi được lưu vết.</w:t>
      </w:r>
    </w:p>
    <w:p>
      <w:pPr>
        <w:spacing w:after="40" w:before="20"/>
        <w:ind w:left="720" w:hanging="357"/>
      </w:pPr>
      <w:r>
        <w:rPr>
          <w:sz w:val="20"/>
        </w:rPr>
        <w:t xml:space="preserve">• </w:t>
      </w:r>
      <w:r>
        <w:t>Không chia sẻ dữ liệu cho bên thứ ba khi chưa được cơ quan quản lý cho phép (Điều 39 khoản 1 điểm e).</w:t>
      </w:r>
    </w:p>
    <w:p>
      <w:pPr>
        <w:pStyle w:val="Heading3"/>
        <w:spacing w:before="240" w:after="160"/>
      </w:pPr>
      <w:r>
        <w:rPr>
          <w:rFonts w:ascii="Times New Roman" w:hAnsi="Times New Roman" w:eastAsia="Times New Roman"/>
          <w:color w:val="1A1A2E"/>
          <w:sz w:val="32"/>
        </w:rPr>
        <w:t>3.3. Kịch bản xử lý sai lệch dữ liệu (Data Reconciliation)</w:t>
      </w:r>
    </w:p>
    <w:p>
      <w:r>
        <w:rPr>
          <w:b/>
        </w:rPr>
        <w:t>Bối cảnh rủi ro:</w:t>
      </w:r>
      <w:r>
        <w:t xml:space="preserve"> Dữ liệu trên Cổng quốc gia có thể bị sai lệch so với bản vẽ thực tế của Sun Group (sai diện tích, sai mã block, sai loại hình sản phẩm). Theo Điều 32 khoản 3, việc chỉnh sửa thông tin trên hệ thống phải có sự phối hợp kiểm tra, rà soát của cơ quan quản lý CSDL tại địa phương, trên cơ sở đề nghị bằng văn bản.</w:t>
      </w:r>
    </w:p>
    <w:p>
      <w:r>
        <w:rPr>
          <w:b/>
        </w:rPr>
        <w:t>Phương án:</w:t>
      </w:r>
    </w:p>
    <w:p>
      <w:pPr>
        <w:spacing w:after="40" w:before="20"/>
        <w:ind w:left="720" w:hanging="357"/>
      </w:pPr>
      <w:r>
        <w:rPr>
          <w:sz w:val="20"/>
        </w:rPr>
        <w:t xml:space="preserve">• </w:t>
      </w:r>
      <w:r>
        <w:t>Xây dựng quy trình</w:t>
      </w:r>
      <w:r>
        <w:rPr>
          <w:b/>
        </w:rPr>
        <w:t>đối soát chéo định kỳ</w:t>
      </w:r>
      <w:r>
        <w:t>(hàng tháng) giữa dữ liệu Sun CRM và dữ liệu trên Cổng quốc gia.</w:t>
      </w:r>
    </w:p>
    <w:p>
      <w:pPr>
        <w:spacing w:after="40" w:before="20"/>
        <w:ind w:left="720" w:hanging="357"/>
      </w:pPr>
      <w:r>
        <w:rPr>
          <w:sz w:val="20"/>
        </w:rPr>
        <w:t xml:space="preserve">• </w:t>
      </w:r>
      <w:r>
        <w:t>Thiết lập đầu mối chuyên trách tại Ban Pháp chế để tiếp nhận và xử lý các trường hợp sai lệch.</w:t>
      </w:r>
    </w:p>
    <w:p>
      <w:pPr>
        <w:spacing w:after="40" w:before="20"/>
        <w:ind w:left="720" w:hanging="357"/>
      </w:pPr>
      <w:r>
        <w:rPr>
          <w:sz w:val="20"/>
        </w:rPr>
        <w:t xml:space="preserve">• </w:t>
      </w:r>
      <w:r>
        <w:t>Lập biểu mẫu khiếu nại chuẩn gửi Sở Xây dựng, kèm bảng đối chiếu dữ liệu chi tiết.</w:t>
      </w:r>
    </w:p>
    <w:p>
      <w:pPr>
        <w:spacing w:after="40" w:before="20"/>
        <w:ind w:left="720" w:hanging="357"/>
      </w:pPr>
      <w:r>
        <w:rPr>
          <w:sz w:val="20"/>
        </w:rPr>
        <w:t xml:space="preserve">• </w:t>
      </w:r>
      <w:r>
        <w:t>Mục tiêu SLA: sai lệch phải được gửi khiếu nại trong vòng 5 ngày làm việc kể từ khi phát hiện.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4. Tổ chức thực thi và phân bổ nguồn lực</w:t>
      </w:r>
    </w:p>
    <w:p>
      <w:pPr>
        <w:pStyle w:val="Heading3"/>
        <w:spacing w:before="240" w:after="160"/>
      </w:pPr>
      <w:r>
        <w:rPr>
          <w:rFonts w:ascii="Times New Roman" w:hAnsi="Times New Roman" w:eastAsia="Times New Roman"/>
          <w:color w:val="1A1A2E"/>
          <w:sz w:val="32"/>
        </w:rPr>
        <w:t>4.1. Khởi tạo tổ chức — Tổ công tác đặc biệt (Task Force 357)</w:t>
      </w:r>
    </w:p>
    <w:p>
      <w:r>
        <w:rPr>
          <w:b/>
        </w:rPr>
        <w:t>Đề xuất cơ cấu nhân sự:</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Vai trò</w:t>
            </w:r>
          </w:p>
        </w:tc>
        <w:tc>
          <w:tcPr>
            <w:tcW w:type="dxa" w:w="3120"/>
            <w:shd w:fill="E2E8F0" w:val="clear"/>
          </w:tcPr>
          <w:p>
            <w:pPr>
              <w:spacing w:before="60" w:after="60"/>
            </w:pPr>
            <w:r>
              <w:rPr>
                <w:rFonts w:ascii="Times New Roman" w:hAnsi="Times New Roman"/>
                <w:b/>
                <w:sz w:val="20"/>
              </w:rPr>
              <w:t>Đơn vị</w:t>
            </w:r>
          </w:p>
        </w:tc>
        <w:tc>
          <w:tcPr>
            <w:tcW w:type="dxa" w:w="3120"/>
            <w:shd w:fill="E2E8F0" w:val="clear"/>
          </w:tcPr>
          <w:p>
            <w:pPr>
              <w:spacing w:before="60" w:after="60"/>
            </w:pPr>
            <w:r>
              <w:rPr>
                <w:rFonts w:ascii="Times New Roman" w:hAnsi="Times New Roman"/>
                <w:b/>
                <w:sz w:val="20"/>
              </w:rPr>
              <w:t>Trách nhiệm chính</w:t>
            </w:r>
          </w:p>
        </w:tc>
      </w:tr>
      <w:tr>
        <w:tc>
          <w:tcPr>
            <w:tcW w:type="dxa" w:w="3120"/>
          </w:tcPr>
          <w:p>
            <w:pPr>
              <w:spacing w:before="60" w:after="60"/>
            </w:pPr>
            <w:r>
              <w:rPr>
                <w:rFonts w:ascii="Times New Roman" w:hAnsi="Times New Roman"/>
                <w:sz w:val="20"/>
              </w:rPr>
              <w:t>Trưởng tổ</w:t>
            </w:r>
          </w:p>
        </w:tc>
        <w:tc>
          <w:tcPr>
            <w:tcW w:type="dxa" w:w="3120"/>
          </w:tcPr>
          <w:p>
            <w:pPr>
              <w:spacing w:before="60" w:after="60"/>
            </w:pPr>
            <w:r>
              <w:rPr>
                <w:rFonts w:ascii="Times New Roman" w:hAnsi="Times New Roman"/>
                <w:sz w:val="20"/>
              </w:rPr>
              <w:t>Phó TGĐ phụ trách pháp chế</w:t>
            </w:r>
          </w:p>
        </w:tc>
        <w:tc>
          <w:tcPr>
            <w:tcW w:type="dxa" w:w="3120"/>
          </w:tcPr>
          <w:p>
            <w:pPr>
              <w:spacing w:before="60" w:after="60"/>
            </w:pPr>
            <w:r>
              <w:rPr>
                <w:rFonts w:ascii="Times New Roman" w:hAnsi="Times New Roman"/>
                <w:sz w:val="20"/>
              </w:rPr>
              <w:t>Quyết định chiến lược, phê duyệt ngân sách</w:t>
            </w:r>
          </w:p>
        </w:tc>
      </w:tr>
      <w:tr>
        <w:tc>
          <w:tcPr>
            <w:tcW w:type="dxa" w:w="3120"/>
          </w:tcPr>
          <w:p>
            <w:pPr>
              <w:spacing w:before="60" w:after="60"/>
            </w:pPr>
            <w:r>
              <w:rPr>
                <w:rFonts w:ascii="Times New Roman" w:hAnsi="Times New Roman"/>
                <w:sz w:val="20"/>
              </w:rPr>
              <w:t>Phó tổ — Pháp lý</w:t>
            </w:r>
          </w:p>
        </w:tc>
        <w:tc>
          <w:tcPr>
            <w:tcW w:type="dxa" w:w="3120"/>
          </w:tcPr>
          <w:p>
            <w:pPr>
              <w:spacing w:before="60" w:after="60"/>
            </w:pPr>
            <w:r>
              <w:rPr>
                <w:rFonts w:ascii="Times New Roman" w:hAnsi="Times New Roman"/>
                <w:sz w:val="20"/>
              </w:rPr>
              <w:t>Trưởng Ban Pháp chế</w:t>
            </w:r>
          </w:p>
        </w:tc>
        <w:tc>
          <w:tcPr>
            <w:tcW w:type="dxa" w:w="3120"/>
          </w:tcPr>
          <w:p>
            <w:pPr>
              <w:spacing w:before="60" w:after="60"/>
            </w:pPr>
            <w:r>
              <w:rPr>
                <w:rFonts w:ascii="Times New Roman" w:hAnsi="Times New Roman"/>
                <w:sz w:val="20"/>
              </w:rPr>
              <w:t>Xin cấp mã hồi tố, tham vấn Bộ XD, cập nhật biểu mẫu</w:t>
            </w:r>
          </w:p>
        </w:tc>
      </w:tr>
      <w:tr>
        <w:tc>
          <w:tcPr>
            <w:tcW w:type="dxa" w:w="3120"/>
          </w:tcPr>
          <w:p>
            <w:pPr>
              <w:spacing w:before="60" w:after="60"/>
            </w:pPr>
            <w:r>
              <w:rPr>
                <w:rFonts w:ascii="Times New Roman" w:hAnsi="Times New Roman"/>
                <w:sz w:val="20"/>
              </w:rPr>
              <w:t>Phó tổ — Kinh doanh</w:t>
            </w:r>
          </w:p>
        </w:tc>
        <w:tc>
          <w:tcPr>
            <w:tcW w:type="dxa" w:w="3120"/>
          </w:tcPr>
          <w:p>
            <w:pPr>
              <w:spacing w:before="60" w:after="60"/>
            </w:pPr>
            <w:r>
              <w:rPr>
                <w:rFonts w:ascii="Times New Roman" w:hAnsi="Times New Roman"/>
                <w:sz w:val="20"/>
              </w:rPr>
              <w:t>Tổng giám đốc SPG</w:t>
            </w:r>
          </w:p>
        </w:tc>
        <w:tc>
          <w:tcPr>
            <w:tcW w:type="dxa" w:w="3120"/>
          </w:tcPr>
          <w:p>
            <w:pPr>
              <w:spacing w:before="60" w:after="60"/>
            </w:pPr>
            <w:r>
              <w:rPr>
                <w:rFonts w:ascii="Times New Roman" w:hAnsi="Times New Roman"/>
                <w:sz w:val="20"/>
              </w:rPr>
              <w:t>Quản trị đại lý, truyền thông, sale-kit</w:t>
            </w:r>
          </w:p>
        </w:tc>
      </w:tr>
      <w:tr>
        <w:tc>
          <w:tcPr>
            <w:tcW w:type="dxa" w:w="3120"/>
          </w:tcPr>
          <w:p>
            <w:pPr>
              <w:spacing w:before="60" w:after="60"/>
            </w:pPr>
            <w:r>
              <w:rPr>
                <w:rFonts w:ascii="Times New Roman" w:hAnsi="Times New Roman"/>
                <w:sz w:val="20"/>
              </w:rPr>
              <w:t>TV — Công nghệ</w:t>
            </w:r>
          </w:p>
        </w:tc>
        <w:tc>
          <w:tcPr>
            <w:tcW w:type="dxa" w:w="3120"/>
          </w:tcPr>
          <w:p>
            <w:pPr>
              <w:spacing w:before="60" w:after="60"/>
            </w:pPr>
            <w:r>
              <w:rPr>
                <w:rFonts w:ascii="Times New Roman" w:hAnsi="Times New Roman"/>
                <w:sz w:val="20"/>
              </w:rPr>
              <w:t>Giám đốc CNTT</w:t>
            </w:r>
          </w:p>
        </w:tc>
        <w:tc>
          <w:tcPr>
            <w:tcW w:type="dxa" w:w="3120"/>
          </w:tcPr>
          <w:p>
            <w:pPr>
              <w:spacing w:before="60" w:after="60"/>
            </w:pPr>
            <w:r>
              <w:rPr>
                <w:rFonts w:ascii="Times New Roman" w:hAnsi="Times New Roman"/>
                <w:sz w:val="20"/>
              </w:rPr>
              <w:t>Tái cấu trúc CRM/ERP, xây API, bảo mật</w:t>
            </w:r>
          </w:p>
        </w:tc>
      </w:tr>
      <w:tr>
        <w:tc>
          <w:tcPr>
            <w:tcW w:type="dxa" w:w="3120"/>
          </w:tcPr>
          <w:p>
            <w:pPr>
              <w:spacing w:before="60" w:after="60"/>
            </w:pPr>
            <w:r>
              <w:rPr>
                <w:rFonts w:ascii="Times New Roman" w:hAnsi="Times New Roman"/>
                <w:sz w:val="20"/>
              </w:rPr>
              <w:t>TV — Vận hành</w:t>
            </w:r>
          </w:p>
        </w:tc>
        <w:tc>
          <w:tcPr>
            <w:tcW w:type="dxa" w:w="3120"/>
          </w:tcPr>
          <w:p>
            <w:pPr>
              <w:spacing w:before="60" w:after="60"/>
            </w:pPr>
            <w:r>
              <w:rPr>
                <w:rFonts w:ascii="Times New Roman" w:hAnsi="Times New Roman"/>
                <w:sz w:val="20"/>
              </w:rPr>
              <w:t>Giám đốc SPM</w:t>
            </w:r>
          </w:p>
        </w:tc>
        <w:tc>
          <w:tcPr>
            <w:tcW w:type="dxa" w:w="3120"/>
          </w:tcPr>
          <w:p>
            <w:pPr>
              <w:spacing w:before="60" w:after="60"/>
            </w:pPr>
            <w:r>
              <w:rPr>
                <w:rFonts w:ascii="Times New Roman" w:hAnsi="Times New Roman"/>
                <w:sz w:val="20"/>
              </w:rPr>
              <w:t>Đăng ký mã pháp nhân, tích hợp Sun Smart</w:t>
            </w:r>
          </w:p>
        </w:tc>
      </w:tr>
      <w:tr>
        <w:tc>
          <w:tcPr>
            <w:tcW w:type="dxa" w:w="3120"/>
          </w:tcPr>
          <w:p>
            <w:pPr>
              <w:spacing w:before="60" w:after="60"/>
            </w:pPr>
            <w:r>
              <w:rPr>
                <w:rFonts w:ascii="Times New Roman" w:hAnsi="Times New Roman"/>
                <w:sz w:val="20"/>
              </w:rPr>
              <w:t>TV — Tài chính</w:t>
            </w:r>
          </w:p>
        </w:tc>
        <w:tc>
          <w:tcPr>
            <w:tcW w:type="dxa" w:w="3120"/>
          </w:tcPr>
          <w:p>
            <w:pPr>
              <w:spacing w:before="60" w:after="60"/>
            </w:pPr>
            <w:r>
              <w:rPr>
                <w:rFonts w:ascii="Times New Roman" w:hAnsi="Times New Roman"/>
                <w:sz w:val="20"/>
              </w:rPr>
              <w:t>Kế toán trưởng</w:t>
            </w:r>
          </w:p>
        </w:tc>
        <w:tc>
          <w:tcPr>
            <w:tcW w:type="dxa" w:w="3120"/>
          </w:tcPr>
          <w:p>
            <w:pPr>
              <w:spacing w:before="60" w:after="60"/>
            </w:pPr>
            <w:r>
              <w:rPr>
                <w:rFonts w:ascii="Times New Roman" w:hAnsi="Times New Roman"/>
                <w:sz w:val="20"/>
              </w:rPr>
              <w:t>Map hóa đơn↔mã BĐS, đối soát thuế</w:t>
            </w:r>
          </w:p>
        </w:tc>
      </w:tr>
      <w:tr>
        <w:tc>
          <w:tcPr>
            <w:tcW w:type="dxa" w:w="3120"/>
          </w:tcPr>
          <w:p>
            <w:pPr>
              <w:spacing w:before="60" w:after="60"/>
            </w:pPr>
            <w:r>
              <w:rPr>
                <w:rFonts w:ascii="Times New Roman" w:hAnsi="Times New Roman"/>
                <w:sz w:val="20"/>
              </w:rPr>
              <w:t>Thư ký</w:t>
            </w:r>
          </w:p>
        </w:tc>
        <w:tc>
          <w:tcPr>
            <w:tcW w:type="dxa" w:w="3120"/>
          </w:tcPr>
          <w:p>
            <w:pPr>
              <w:spacing w:before="60" w:after="60"/>
            </w:pPr>
            <w:r>
              <w:rPr>
                <w:rFonts w:ascii="Times New Roman" w:hAnsi="Times New Roman"/>
                <w:sz w:val="20"/>
              </w:rPr>
              <w:t>Ban Pháp chế</w:t>
            </w:r>
          </w:p>
        </w:tc>
        <w:tc>
          <w:tcPr>
            <w:tcW w:type="dxa" w:w="3120"/>
          </w:tcPr>
          <w:p>
            <w:pPr>
              <w:spacing w:before="60" w:after="60"/>
            </w:pPr>
            <w:r>
              <w:rPr>
                <w:rFonts w:ascii="Times New Roman" w:hAnsi="Times New Roman"/>
                <w:sz w:val="20"/>
              </w:rPr>
              <w:t>Theo dõi tiến độ, minutes cuộc họp</w:t>
            </w:r>
          </w:p>
        </w:tc>
      </w:tr>
    </w:tbl>
    <w:p>
      <w:pPr>
        <w:spacing w:before="0" w:after="80"/>
      </w:pPr>
    </w:p>
    <w:p>
      <w:r>
        <w:rPr>
          <w:b/>
        </w:rPr>
        <w:t>Cơ chế “vượt tuyến”:</w:t>
      </w:r>
      <w:r>
        <w:t xml:space="preserve"> Task Force 357 được quyền trình trực tiếp lên TGĐ khi gặp vướng mắc vượt thẩm quyền, không cần qua quy trình duyệt thông thường.</w:t>
      </w:r>
    </w:p>
    <w:p>
      <w:pPr>
        <w:pStyle w:val="Heading3"/>
        <w:spacing w:before="240" w:after="160"/>
      </w:pPr>
      <w:r>
        <w:rPr>
          <w:rFonts w:ascii="Times New Roman" w:hAnsi="Times New Roman" w:eastAsia="Times New Roman"/>
          <w:color w:val="1A1A2E"/>
          <w:sz w:val="32"/>
        </w:rPr>
        <w:t>4.2. Ma trận trách nhiệm (RACI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Hạng mục</w:t>
            </w:r>
          </w:p>
        </w:tc>
        <w:tc>
          <w:tcPr>
            <w:tcW w:type="dxa" w:w="1872"/>
            <w:shd w:fill="E2E8F0" w:val="clear"/>
          </w:tcPr>
          <w:p>
            <w:pPr>
              <w:spacing w:before="60" w:after="60"/>
            </w:pPr>
            <w:r>
              <w:rPr>
                <w:rFonts w:ascii="Times New Roman" w:hAnsi="Times New Roman"/>
                <w:b/>
                <w:sz w:val="20"/>
              </w:rPr>
              <w:t>R (thực hiện)</w:t>
            </w:r>
          </w:p>
        </w:tc>
        <w:tc>
          <w:tcPr>
            <w:tcW w:type="dxa" w:w="1872"/>
            <w:shd w:fill="E2E8F0" w:val="clear"/>
          </w:tcPr>
          <w:p>
            <w:pPr>
              <w:spacing w:before="60" w:after="60"/>
            </w:pPr>
            <w:r>
              <w:rPr>
                <w:rFonts w:ascii="Times New Roman" w:hAnsi="Times New Roman"/>
                <w:b/>
                <w:sz w:val="20"/>
              </w:rPr>
              <w:t>A (phê duyệt)</w:t>
            </w:r>
          </w:p>
        </w:tc>
        <w:tc>
          <w:tcPr>
            <w:tcW w:type="dxa" w:w="1872"/>
            <w:shd w:fill="E2E8F0" w:val="clear"/>
          </w:tcPr>
          <w:p>
            <w:pPr>
              <w:spacing w:before="60" w:after="60"/>
            </w:pPr>
            <w:r>
              <w:rPr>
                <w:rFonts w:ascii="Times New Roman" w:hAnsi="Times New Roman"/>
                <w:b/>
                <w:sz w:val="20"/>
              </w:rPr>
              <w:t>C (tham vấn)</w:t>
            </w:r>
          </w:p>
        </w:tc>
        <w:tc>
          <w:tcPr>
            <w:tcW w:type="dxa" w:w="1872"/>
            <w:shd w:fill="E2E8F0" w:val="clear"/>
          </w:tcPr>
          <w:p>
            <w:pPr>
              <w:spacing w:before="60" w:after="60"/>
            </w:pPr>
            <w:r>
              <w:rPr>
                <w:rFonts w:ascii="Times New Roman" w:hAnsi="Times New Roman"/>
                <w:b/>
                <w:sz w:val="20"/>
              </w:rPr>
              <w:t>I (nhận thông tin)</w:t>
            </w:r>
          </w:p>
        </w:tc>
      </w:tr>
      <w:tr>
        <w:tc>
          <w:tcPr>
            <w:tcW w:type="dxa" w:w="1872"/>
          </w:tcPr>
          <w:p>
            <w:pPr>
              <w:spacing w:before="60" w:after="60"/>
            </w:pPr>
            <w:r>
              <w:rPr>
                <w:rFonts w:ascii="Times New Roman" w:hAnsi="Times New Roman"/>
                <w:sz w:val="20"/>
              </w:rPr>
              <w:t>Xin cấp mã hồi tố giỏ hàng</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Cập nhật biểu mẫu HĐMB</w:t>
            </w:r>
          </w:p>
        </w:tc>
        <w:tc>
          <w:tcPr>
            <w:tcW w:type="dxa" w:w="1872"/>
          </w:tcPr>
          <w:p>
            <w:pPr>
              <w:spacing w:before="60" w:after="60"/>
            </w:pPr>
            <w:r>
              <w:rPr>
                <w:rFonts w:ascii="Times New Roman" w:hAnsi="Times New Roman"/>
                <w:sz w:val="20"/>
              </w:rPr>
              <w:t>Ban Pháp chế + 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Đại lý F1/F2</w:t>
            </w:r>
          </w:p>
        </w:tc>
      </w:tr>
      <w:tr>
        <w:tc>
          <w:tcPr>
            <w:tcW w:type="dxa" w:w="1872"/>
          </w:tcPr>
          <w:p>
            <w:pPr>
              <w:spacing w:before="60" w:after="60"/>
            </w:pPr>
            <w:r>
              <w:rPr>
                <w:rFonts w:ascii="Times New Roman" w:hAnsi="Times New Roman"/>
                <w:sz w:val="20"/>
              </w:rPr>
              <w:t>Ban hành tối hậu thư đại lý</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Tái cấu trúc CRM/ERP + API</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Task Force</w:t>
            </w:r>
          </w:p>
        </w:tc>
      </w:tr>
      <w:tr>
        <w:tc>
          <w:tcPr>
            <w:tcW w:type="dxa" w:w="1872"/>
          </w:tcPr>
          <w:p>
            <w:pPr>
              <w:spacing w:before="60" w:after="60"/>
            </w:pPr>
            <w:r>
              <w:rPr>
                <w:rFonts w:ascii="Times New Roman" w:hAnsi="Times New Roman"/>
                <w:sz w:val="20"/>
              </w:rPr>
              <w:t>Đăng ký mã pháp nhân QLVH</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Tích hợp Sun Smart</w:t>
            </w:r>
          </w:p>
        </w:tc>
        <w:tc>
          <w:tcPr>
            <w:tcW w:type="dxa" w:w="1872"/>
          </w:tcPr>
          <w:p>
            <w:pPr>
              <w:spacing w:before="60" w:after="60"/>
            </w:pPr>
            <w:r>
              <w:rPr>
                <w:rFonts w:ascii="Times New Roman" w:hAnsi="Times New Roman"/>
                <w:sz w:val="20"/>
              </w:rPr>
              <w:t>Khối CNTT + SPM</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Cư dân</w:t>
            </w:r>
          </w:p>
        </w:tc>
      </w:tr>
      <w:tr>
        <w:tc>
          <w:tcPr>
            <w:tcW w:type="dxa" w:w="1872"/>
          </w:tcPr>
          <w:p>
            <w:pPr>
              <w:spacing w:before="60" w:after="60"/>
            </w:pPr>
            <w:r>
              <w:rPr>
                <w:rFonts w:ascii="Times New Roman" w:hAnsi="Times New Roman"/>
                <w:sz w:val="20"/>
              </w:rPr>
              <w:t>Map hóa đơn ↔ mã BĐS</w:t>
            </w:r>
          </w:p>
        </w:tc>
        <w:tc>
          <w:tcPr>
            <w:tcW w:type="dxa" w:w="1872"/>
          </w:tcPr>
          <w:p>
            <w:pPr>
              <w:spacing w:before="60" w:after="60"/>
            </w:pPr>
            <w:r>
              <w:rPr>
                <w:rFonts w:ascii="Times New Roman" w:hAnsi="Times New Roman"/>
                <w:sz w:val="20"/>
              </w:rPr>
              <w:t>Ban Kế toán</w:t>
            </w:r>
          </w:p>
        </w:tc>
        <w:tc>
          <w:tcPr>
            <w:tcW w:type="dxa" w:w="1872"/>
          </w:tcPr>
          <w:p>
            <w:pPr>
              <w:spacing w:before="60" w:after="60"/>
            </w:pPr>
            <w:r>
              <w:rPr>
                <w:rFonts w:ascii="Times New Roman" w:hAnsi="Times New Roman"/>
                <w:sz w:val="20"/>
              </w:rPr>
              <w:t>Kế toán trưởng</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Truyền thông NĐ 357</w:t>
            </w:r>
          </w:p>
        </w:tc>
        <w:tc>
          <w:tcPr>
            <w:tcW w:type="dxa" w:w="1872"/>
          </w:tcPr>
          <w:p>
            <w:pPr>
              <w:spacing w:before="60" w:after="60"/>
            </w:pPr>
            <w:r>
              <w:rPr>
                <w:rFonts w:ascii="Times New Roman" w:hAnsi="Times New Roman"/>
                <w:sz w:val="20"/>
              </w:rPr>
              <w:t>SPG Marketing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Khách hàng</w:t>
            </w:r>
          </w:p>
        </w:tc>
      </w:tr>
      <w:tr>
        <w:tc>
          <w:tcPr>
            <w:tcW w:type="dxa" w:w="1872"/>
          </w:tcPr>
          <w:p>
            <w:pPr>
              <w:spacing w:before="60" w:after="60"/>
            </w:pPr>
            <w:r>
              <w:rPr>
                <w:rFonts w:ascii="Times New Roman" w:hAnsi="Times New Roman"/>
                <w:sz w:val="20"/>
              </w:rPr>
              <w:t>Xây dựng BCP (3 kịch bản)</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Task Force</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BOM</w:t>
            </w:r>
          </w:p>
        </w:tc>
      </w:tr>
    </w:tbl>
    <w:p>
      <w:pPr>
        <w:spacing w:before="0" w:after="80"/>
      </w:pPr>
    </w:p>
    <w:p>
      <w:pPr>
        <w:pStyle w:val="Heading3"/>
        <w:spacing w:before="240" w:after="160"/>
      </w:pPr>
      <w:r>
        <w:rPr>
          <w:rFonts w:ascii="Times New Roman" w:hAnsi="Times New Roman" w:eastAsia="Times New Roman"/>
          <w:color w:val="1A1A2E"/>
          <w:sz w:val="32"/>
        </w:rPr>
        <w:t>4.3. Lộ trình “chiến dịch thần tốc” (30-60-90 ngày)</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Phase</w:t>
            </w:r>
          </w:p>
        </w:tc>
        <w:tc>
          <w:tcPr>
            <w:tcW w:type="dxa" w:w="2340"/>
            <w:shd w:fill="E2E8F0" w:val="clear"/>
          </w:tcPr>
          <w:p>
            <w:pPr>
              <w:spacing w:before="60" w:after="60"/>
            </w:pPr>
            <w:r>
              <w:rPr>
                <w:rFonts w:ascii="Times New Roman" w:hAnsi="Times New Roman"/>
                <w:b/>
                <w:sz w:val="20"/>
              </w:rPr>
              <w:t>Thời gian</w:t>
            </w:r>
          </w:p>
        </w:tc>
        <w:tc>
          <w:tcPr>
            <w:tcW w:type="dxa" w:w="2340"/>
            <w:shd w:fill="E2E8F0" w:val="clear"/>
          </w:tcPr>
          <w:p>
            <w:pPr>
              <w:spacing w:before="60" w:after="60"/>
            </w:pPr>
            <w:r>
              <w:rPr>
                <w:rFonts w:ascii="Times New Roman" w:hAnsi="Times New Roman"/>
                <w:b/>
                <w:sz w:val="20"/>
              </w:rPr>
              <w:t>Nội dung chính</w:t>
            </w:r>
          </w:p>
        </w:tc>
        <w:tc>
          <w:tcPr>
            <w:tcW w:type="dxa" w:w="2340"/>
            <w:shd w:fill="E2E8F0" w:val="clear"/>
          </w:tcPr>
          <w:p>
            <w:pPr>
              <w:spacing w:before="60" w:after="60"/>
            </w:pPr>
            <w:r>
              <w:rPr>
                <w:rFonts w:ascii="Times New Roman" w:hAnsi="Times New Roman"/>
                <w:b/>
                <w:sz w:val="20"/>
              </w:rPr>
              <w:t>Kết quả đầu ra</w:t>
            </w:r>
          </w:p>
        </w:tc>
      </w:tr>
      <w:tr>
        <w:tc>
          <w:tcPr>
            <w:tcW w:type="dxa" w:w="2340"/>
          </w:tcPr>
          <w:p>
            <w:pPr>
              <w:spacing w:before="60" w:after="60"/>
            </w:pPr>
            <w:r>
              <w:rPr>
                <w:rFonts w:ascii="Times New Roman" w:hAnsi="Times New Roman"/>
                <w:sz w:val="20"/>
              </w:rPr>
              <w:t>Phase 1— Quick-wins</w:t>
            </w:r>
          </w:p>
        </w:tc>
        <w:tc>
          <w:tcPr>
            <w:tcW w:type="dxa" w:w="2340"/>
          </w:tcPr>
          <w:p>
            <w:pPr>
              <w:spacing w:before="60" w:after="60"/>
            </w:pPr>
            <w:r>
              <w:rPr>
                <w:rFonts w:ascii="Times New Roman" w:hAnsi="Times New Roman"/>
                <w:sz w:val="20"/>
              </w:rPr>
              <w:t>Ngày 1-30 (01/03 → 31/03)</w:t>
            </w:r>
          </w:p>
        </w:tc>
        <w:tc>
          <w:tcPr>
            <w:tcW w:type="dxa" w:w="2340"/>
          </w:tcPr>
          <w:p>
            <w:pPr>
              <w:spacing w:before="60" w:after="60"/>
            </w:pPr>
            <w:r>
              <w:rPr>
                <w:rFonts w:ascii="Times New Roman" w:hAnsi="Times New Roman"/>
                <w:sz w:val="20"/>
              </w:rPr>
              <w:t>Ban hành tối hậu thư đại lý; chốt biểu mẫu HĐMB mới; thiết kế kiến trúc IT; nộp văn bản tham vấn Bộ XD về sản phẩm đặc thù</w:t>
            </w:r>
          </w:p>
        </w:tc>
        <w:tc>
          <w:tcPr>
            <w:tcW w:type="dxa" w:w="2340"/>
          </w:tcPr>
          <w:p>
            <w:pPr>
              <w:spacing w:before="60" w:after="60"/>
            </w:pPr>
            <w:r>
              <w:rPr>
                <w:rFonts w:ascii="Times New Roman" w:hAnsi="Times New Roman"/>
                <w:sz w:val="20"/>
              </w:rPr>
              <w:t>Tối hậu thư ban hành; biểu mẫu mới đưa vào sử dụng; tài liệu kiến trúc API</w:t>
            </w:r>
          </w:p>
        </w:tc>
      </w:tr>
      <w:tr>
        <w:tc>
          <w:tcPr>
            <w:tcW w:type="dxa" w:w="2340"/>
          </w:tcPr>
          <w:p>
            <w:pPr>
              <w:spacing w:before="60" w:after="60"/>
            </w:pPr>
            <w:r>
              <w:rPr>
                <w:rFonts w:ascii="Times New Roman" w:hAnsi="Times New Roman"/>
                <w:sz w:val="20"/>
              </w:rPr>
              <w:t>Phase 2— Chuyển đổi</w:t>
            </w:r>
          </w:p>
        </w:tc>
        <w:tc>
          <w:tcPr>
            <w:tcW w:type="dxa" w:w="2340"/>
          </w:tcPr>
          <w:p>
            <w:pPr>
              <w:spacing w:before="60" w:after="60"/>
            </w:pPr>
            <w:r>
              <w:rPr>
                <w:rFonts w:ascii="Times New Roman" w:hAnsi="Times New Roman"/>
                <w:sz w:val="20"/>
              </w:rPr>
              <w:t>Ngày 31-60 (01/04 → 30/04)</w:t>
            </w:r>
          </w:p>
        </w:tc>
        <w:tc>
          <w:tcPr>
            <w:tcW w:type="dxa" w:w="2340"/>
          </w:tcPr>
          <w:p>
            <w:pPr>
              <w:spacing w:before="60" w:after="60"/>
            </w:pPr>
            <w:r>
              <w:rPr>
                <w:rFonts w:ascii="Times New Roman" w:hAnsi="Times New Roman"/>
                <w:sz w:val="20"/>
              </w:rPr>
              <w:t>Code API &amp; Test (UAT); xin cấp mã hồi tố giỏ hàng tồn; đào tạo Sales; tích hợp hóa đơn→mã BĐS</w:t>
            </w:r>
          </w:p>
        </w:tc>
        <w:tc>
          <w:tcPr>
            <w:tcW w:type="dxa" w:w="2340"/>
          </w:tcPr>
          <w:p>
            <w:pPr>
              <w:spacing w:before="60" w:after="60"/>
            </w:pPr>
            <w:r>
              <w:rPr>
                <w:rFonts w:ascii="Times New Roman" w:hAnsi="Times New Roman"/>
                <w:sz w:val="20"/>
              </w:rPr>
              <w:t>API hoàn thành UAT; ≥80% giỏ hàng có mã; 100% Sales được đào tạo</w:t>
            </w:r>
          </w:p>
        </w:tc>
      </w:tr>
      <w:tr>
        <w:tc>
          <w:tcPr>
            <w:tcW w:type="dxa" w:w="2340"/>
          </w:tcPr>
          <w:p>
            <w:pPr>
              <w:spacing w:before="60" w:after="60"/>
            </w:pPr>
            <w:r>
              <w:rPr>
                <w:rFonts w:ascii="Times New Roman" w:hAnsi="Times New Roman"/>
                <w:sz w:val="20"/>
              </w:rPr>
              <w:t>Phase 3— Go-live</w:t>
            </w:r>
          </w:p>
        </w:tc>
        <w:tc>
          <w:tcPr>
            <w:tcW w:type="dxa" w:w="2340"/>
          </w:tcPr>
          <w:p>
            <w:pPr>
              <w:spacing w:before="60" w:after="60"/>
            </w:pPr>
            <w:r>
              <w:rPr>
                <w:rFonts w:ascii="Times New Roman" w:hAnsi="Times New Roman"/>
                <w:sz w:val="20"/>
              </w:rPr>
              <w:t>Ngày 61-90 (01/05 → 31/05)</w:t>
            </w:r>
          </w:p>
        </w:tc>
        <w:tc>
          <w:tcPr>
            <w:tcW w:type="dxa" w:w="2340"/>
          </w:tcPr>
          <w:p>
            <w:pPr>
              <w:spacing w:before="60" w:after="60"/>
            </w:pPr>
            <w:r>
              <w:rPr>
                <w:rFonts w:ascii="Times New Roman" w:hAnsi="Times New Roman"/>
                <w:sz w:val="20"/>
              </w:rPr>
              <w:t>Vận hành chính thức hệ thống mới; lập tổ trực chiến Helpdesk 24/7; đối soát dữ liệu lần 1</w:t>
            </w:r>
          </w:p>
        </w:tc>
        <w:tc>
          <w:tcPr>
            <w:tcW w:type="dxa" w:w="2340"/>
          </w:tcPr>
          <w:p>
            <w:pPr>
              <w:spacing w:before="60" w:after="60"/>
            </w:pPr>
            <w:r>
              <w:rPr>
                <w:rFonts w:ascii="Times New Roman" w:hAnsi="Times New Roman"/>
                <w:sz w:val="20"/>
              </w:rPr>
              <w:t>Hệ thống go-live; Helpdesk hoạt động; báo cáo đối soát</w:t>
            </w:r>
          </w:p>
        </w:tc>
      </w:tr>
    </w:tbl>
    <w:p>
      <w:pPr>
        <w:spacing w:before="0" w:after="80"/>
      </w:pPr>
    </w:p>
    <w:p>
      <w:pPr>
        <w:pStyle w:val="Heading3"/>
        <w:spacing w:before="240" w:after="160"/>
      </w:pPr>
      <w:r>
        <w:rPr>
          <w:rFonts w:ascii="Times New Roman" w:hAnsi="Times New Roman" w:eastAsia="Times New Roman"/>
          <w:color w:val="1A1A2E"/>
          <w:sz w:val="32"/>
        </w:rPr>
        <w:t>4.4. Dự toán ngân sách (Budget Plan)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Nâng cấp server / hạ tầng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dữ liệu thực tế</w:t>
            </w:r>
          </w:p>
        </w:tc>
      </w:tr>
      <w:tr>
        <w:tc>
          <w:tcPr>
            <w:tcW w:type="dxa" w:w="3120"/>
          </w:tcPr>
          <w:p>
            <w:pPr>
              <w:spacing w:before="60" w:after="60"/>
            </w:pPr>
            <w:r>
              <w:rPr>
                <w:rFonts w:ascii="Times New Roman" w:hAnsi="Times New Roman"/>
                <w:sz w:val="20"/>
              </w:rPr>
              <w:t>Phát triển module API (outsource + in-house)</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Ưu tiên đội ngũ nội bộ, outsource phần UAT</w:t>
            </w:r>
          </w:p>
        </w:tc>
      </w:tr>
      <w:tr>
        <w:tc>
          <w:tcPr>
            <w:tcW w:type="dxa" w:w="3120"/>
          </w:tcPr>
          <w:p>
            <w:pPr>
              <w:spacing w:before="60" w:after="60"/>
            </w:pPr>
            <w:r>
              <w:rPr>
                <w:rFonts w:ascii="Times New Roman" w:hAnsi="Times New Roman"/>
                <w:sz w:val="20"/>
              </w:rPr>
              <w:t>Chi phí truyền thông NĐ 357</w:t>
            </w:r>
          </w:p>
        </w:tc>
        <w:tc>
          <w:tcPr>
            <w:tcW w:type="dxa" w:w="3120"/>
          </w:tcPr>
          <w:p>
            <w:pPr>
              <w:spacing w:before="60" w:after="60"/>
            </w:pPr>
            <w:r>
              <w:rPr>
                <w:rFonts w:ascii="Times New Roman" w:hAnsi="Times New Roman"/>
                <w:sz w:val="20"/>
              </w:rPr>
              <w:t>Theo đề xuất SPG Marketing</w:t>
            </w:r>
          </w:p>
        </w:tc>
        <w:tc>
          <w:tcPr>
            <w:tcW w:type="dxa" w:w="3120"/>
          </w:tcPr>
          <w:p>
            <w:pPr>
              <w:spacing w:before="60" w:after="60"/>
            </w:pPr>
            <w:r>
              <w:rPr>
                <w:rFonts w:ascii="Times New Roman" w:hAnsi="Times New Roman"/>
                <w:sz w:val="20"/>
              </w:rPr>
              <w:t>Campaign “Định danh BĐS” trên kênh digital + offline</w:t>
            </w:r>
          </w:p>
        </w:tc>
      </w:tr>
      <w:tr>
        <w:tc>
          <w:tcPr>
            <w:tcW w:type="dxa" w:w="3120"/>
          </w:tcPr>
          <w:p>
            <w:pPr>
              <w:spacing w:before="60" w:after="60"/>
            </w:pPr>
            <w:r>
              <w:rPr>
                <w:rFonts w:ascii="Times New Roman" w:hAnsi="Times New Roman"/>
                <w:sz w:val="20"/>
              </w:rPr>
              <w:t>Tổ chức thi chứng chỉ môi giới</w:t>
            </w:r>
          </w:p>
        </w:tc>
        <w:tc>
          <w:tcPr>
            <w:tcW w:type="dxa" w:w="3120"/>
          </w:tcPr>
          <w:p>
            <w:pPr>
              <w:spacing w:before="60" w:after="60"/>
            </w:pPr>
            <w:r>
              <w:rPr>
                <w:rFonts w:ascii="Times New Roman" w:hAnsi="Times New Roman"/>
                <w:sz w:val="20"/>
              </w:rPr>
              <w:t>Phối hợp cơ sở đào tạo</w:t>
            </w:r>
          </w:p>
        </w:tc>
        <w:tc>
          <w:tcPr>
            <w:tcW w:type="dxa" w:w="3120"/>
          </w:tcPr>
          <w:p>
            <w:pPr>
              <w:spacing w:before="60" w:after="60"/>
            </w:pPr>
            <w:r>
              <w:rPr>
                <w:rFonts w:ascii="Times New Roman" w:hAnsi="Times New Roman"/>
                <w:sz w:val="20"/>
              </w:rPr>
              <w:t>Đàm phán gói đào tạo theo số lượng</w:t>
            </w:r>
          </w:p>
        </w:tc>
      </w:tr>
      <w:tr>
        <w:tc>
          <w:tcPr>
            <w:tcW w:type="dxa" w:w="3120"/>
          </w:tcPr>
          <w:p>
            <w:pPr>
              <w:spacing w:before="60" w:after="60"/>
            </w:pPr>
            <w:r>
              <w:rPr>
                <w:rFonts w:ascii="Times New Roman" w:hAnsi="Times New Roman"/>
                <w:sz w:val="20"/>
              </w:rPr>
              <w:t>Tư vấn pháp lý ngoại vi</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tư vấn sản phẩm đặc thù (condotel, timeshare)</w:t>
            </w:r>
          </w:p>
        </w:tc>
      </w:tr>
      <w:tr>
        <w:tc>
          <w:tcPr>
            <w:tcW w:type="dxa" w:w="3120"/>
          </w:tcPr>
          <w:p>
            <w:pPr>
              <w:spacing w:before="60" w:after="60"/>
            </w:pPr>
            <w:r>
              <w:rPr>
                <w:rFonts w:ascii="Times New Roman" w:hAnsi="Times New Roman"/>
                <w:sz w:val="20"/>
              </w:rPr>
              <w:t>Vận hành Task Force 357 (3 tháng)</w:t>
            </w:r>
          </w:p>
        </w:tc>
        <w:tc>
          <w:tcPr>
            <w:tcW w:type="dxa" w:w="3120"/>
          </w:tcPr>
          <w:p>
            <w:pPr>
              <w:spacing w:before="60" w:after="60"/>
            </w:pPr>
            <w:r>
              <w:rPr>
                <w:rFonts w:ascii="Times New Roman" w:hAnsi="Times New Roman"/>
                <w:sz w:val="20"/>
              </w:rPr>
              <w:t>Theo đề xuất</w:t>
            </w:r>
          </w:p>
        </w:tc>
        <w:tc>
          <w:tcPr>
            <w:tcW w:type="dxa" w:w="3120"/>
          </w:tcPr>
          <w:p>
            <w:pPr>
              <w:spacing w:before="60" w:after="60"/>
            </w:pPr>
            <w:r>
              <w:rPr>
                <w:rFonts w:ascii="Times New Roman" w:hAnsi="Times New Roman"/>
                <w:sz w:val="20"/>
              </w:rPr>
              <w:t>Phụ cấp, chi phí họp, công tác phí</w:t>
            </w:r>
          </w:p>
        </w:tc>
      </w:tr>
    </w:tbl>
    <w:p>
      <w:pPr>
        <w:spacing w:before="0" w:after="80"/>
      </w:pPr>
    </w:p>
    <w:p>
      <w:r>
        <w:rPr>
          <w:i/>
        </w:rPr>
        <w:t>Kính đề nghị BOM phê duyệt ngân sách tổng thể trong vòng 14 ngày kể từ ngày trình.</w:t>
      </w:r>
    </w:p>
    <w:p>
      <w:pPr>
        <w:pStyle w:val="Heading3"/>
        <w:spacing w:before="240" w:after="160"/>
      </w:pPr>
      <w:r>
        <w:rPr>
          <w:rFonts w:ascii="Times New Roman" w:hAnsi="Times New Roman" w:eastAsia="Times New Roman"/>
          <w:color w:val="1A1A2E"/>
          <w:sz w:val="32"/>
        </w:rPr>
        <w:t>4.5. Cơ chế báo cáo tiến độ và theo dõi</w:t>
      </w:r>
    </w:p>
    <w:p>
      <w:pPr>
        <w:spacing w:after="40" w:before="20"/>
        <w:ind w:left="720" w:hanging="357"/>
      </w:pPr>
      <w:r>
        <w:rPr>
          <w:sz w:val="20"/>
        </w:rPr>
        <w:t xml:space="preserve">• </w:t>
      </w:r>
      <w:r>
        <w:rPr>
          <w:b/>
        </w:rPr>
        <w:t>Tần suất báo cáo:</w:t>
      </w:r>
      <w:r>
        <w:t>Hằng tuần (Phase 1), 2 tuần/lần (Phase 2-3).</w:t>
      </w:r>
    </w:p>
    <w:p>
      <w:pPr>
        <w:spacing w:after="40" w:before="20"/>
        <w:ind w:left="720" w:hanging="357"/>
      </w:pPr>
      <w:r>
        <w:rPr>
          <w:sz w:val="20"/>
        </w:rPr>
        <w:t xml:space="preserve">• </w:t>
      </w:r>
      <w:r>
        <w:rPr>
          <w:b/>
        </w:rPr>
        <w:t>Dashboard theo dõi:</w:t>
      </w:r>
      <w:r>
        <w:t>% hoàn thành theo RACI Matrix, số lượng mã đã cấp, số đại lý đạt chuẩn, trạng thái API.</w:t>
      </w:r>
    </w:p>
    <w:p>
      <w:pPr>
        <w:spacing w:after="40" w:before="20"/>
        <w:ind w:left="720" w:hanging="357"/>
      </w:pPr>
      <w:r>
        <w:rPr>
          <w:sz w:val="20"/>
        </w:rPr>
        <w:t xml:space="preserve">• </w:t>
      </w:r>
      <w:r>
        <w:rPr>
          <w:b/>
        </w:rPr>
        <w:t>Escalation path:</w:t>
      </w:r>
      <w:r>
        <w:t>Task Force 357 → Phó TGĐ phụ trách → TGĐ.</w:t>
      </w:r>
    </w:p>
    <w:p>
      <w:pPr>
        <w:spacing w:after="40" w:before="20"/>
        <w:ind w:left="720" w:hanging="357"/>
      </w:pPr>
      <w:r>
        <w:rPr>
          <w:sz w:val="20"/>
        </w:rPr>
        <w:t xml:space="preserve">• </w:t>
      </w:r>
      <w:r>
        <w:rPr>
          <w:b/>
        </w:rPr>
        <w:t>Cuộc họp review:</w:t>
      </w:r>
      <w:r>
        <w:t>Mỗi cuối Phase, Task Force trình báo cáo tổng hợp lên BOM.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5. Đánh giá tính tương thích giữa công nghệ blockchain và hệ thống định danh BĐS theo NĐ 357</w:t>
      </w:r>
    </w:p>
    <w:p>
      <w:pPr>
        <w:spacing w:before="80" w:after="80"/>
        <w:ind w:left="850"/>
        <w:pBdr>
          <w:left w:val="single" w:sz="18" w:space="8" w:color="D0D7DE"/>
        </w:pBdr>
      </w:pPr>
      <w:r>
        <w:rPr>
          <w:i/>
          <w:color w:val="6A737D"/>
        </w:rPr>
        <w:t>Phần này phân tích khả năng ứng dụng công nghệ blockchain vào hệ thống định danh bất động sản theo NĐ 357, đồng thời đánh giá cơ hội chiến lược cho Tập đoàn Sun Group thông qua Công ty cổ phần Tài sản số Việt Nam (VNDA).</w:t>
      </w:r>
    </w:p>
    <w:p>
      <w:pPr>
        <w:pStyle w:val="Heading3"/>
        <w:spacing w:before="240" w:after="160"/>
      </w:pPr>
      <w:r>
        <w:rPr>
          <w:rFonts w:ascii="Times New Roman" w:hAnsi="Times New Roman" w:eastAsia="Times New Roman"/>
          <w:color w:val="1A1A2E"/>
          <w:sz w:val="32"/>
        </w:rPr>
        <w:t>5.1. Tại sao blockchain là hạ tầng phù hợp tự nhiên cho định danh BĐS</w:t>
      </w:r>
    </w:p>
    <w:p>
      <w: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r>
        <w:rPr>
          <w:b/>
        </w:rPr>
        <w:t>Thứ nhất, tính bất biến dữ liệu (Immutability).</w:t>
      </w:r>
      <w: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lịch sử thay đổi và biến động (Điều 4 khoản 5). Đây chính xác là đặc tính cốt lõi của blockchain — mỗi khối dữ liệu (block) sau khi được ghi nhận sẽ không thể bị thay đổi hoặc xóa bỏ mà không để lại dấu vết trên toàn mạng lưới.</w:t>
      </w:r>
    </w:p>
    <w:p>
      <w:r>
        <w:rPr>
          <w:b/>
        </w:rPr>
        <w:t>Thứ hai, truy xuất nguồn gốc trọn vòng đời (Provenance).</w:t>
      </w:r>
      <w:r>
        <w:t xml:space="preserve"> Phụ lục VI mục 5 cho phép truy xuất toàn bộ lịch sử giao dịch của một sản phẩm BĐS theo mã định danh — từ lúc hình thành, qua các lần mua bán, chuyển nhượng, thế chấp, cho thuê. Blockchain vốn được thiết kế để giải quyết chính xác bài toán này: chuỗi sổ cái phân tán (distributed ledger) lưu trữ liên tục, theo trình tự thời gian, tạo thành “lý lịch số” bất biến cho mỗi tài sản.</w:t>
      </w:r>
    </w:p>
    <w:p>
      <w:r>
        <w:rPr>
          <w:b/>
        </w:rPr>
        <w:t>Thứ ba, xác thực bằng chữ ký số và dấu thời gian.</w:t>
      </w:r>
      <w:r>
        <w:t xml:space="preserve"> NĐ 357 yêu cầu dữ liệu được xác thực bằng chữ ký số, cấp dấu thời gian (Điều 32 khoản 2 điểm b, c). Blockchain sử dụng cơ chế mã hóa bất đối xứng (asymmetric cryptography) và hàm băm (hash function) tương tự, trong đó mỗi giao dịch được ký số bởi người gửi và gắn dấu thời gian chính xác đến từng giây — đáp ứng tự nhiên các yêu cầu bảo mật và xác thực của Nghị định.</w:t>
      </w:r>
    </w:p>
    <w:p>
      <w:pPr>
        <w:pStyle w:val="Heading3"/>
        <w:spacing w:before="240" w:after="160"/>
      </w:pPr>
      <w:r>
        <w:rPr>
          <w:rFonts w:ascii="Times New Roman" w:hAnsi="Times New Roman" w:eastAsia="Times New Roman"/>
          <w:color w:val="1A1A2E"/>
          <w:sz w:val="32"/>
        </w:rPr>
        <w:t>5.2. Phân tích tương thích theo từng yêu cầu kỹ thuật của NĐ 357</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Yêu cầu NĐ 357</w:t>
            </w:r>
          </w:p>
        </w:tc>
        <w:tc>
          <w:tcPr>
            <w:tcW w:type="dxa" w:w="2340"/>
            <w:shd w:fill="E2E8F0" w:val="clear"/>
          </w:tcPr>
          <w:p>
            <w:pPr>
              <w:spacing w:before="60" w:after="60"/>
            </w:pPr>
            <w:r>
              <w:rPr>
                <w:rFonts w:ascii="Times New Roman" w:hAnsi="Times New Roman"/>
                <w:b/>
                <w:sz w:val="20"/>
              </w:rPr>
              <w:t>Căn cứ pháp lý</w:t>
            </w:r>
          </w:p>
        </w:tc>
        <w:tc>
          <w:tcPr>
            <w:tcW w:type="dxa" w:w="2340"/>
            <w:shd w:fill="E2E8F0" w:val="clear"/>
          </w:tcPr>
          <w:p>
            <w:pPr>
              <w:spacing w:before="60" w:after="60"/>
            </w:pPr>
            <w:r>
              <w:rPr>
                <w:rFonts w:ascii="Times New Roman" w:hAnsi="Times New Roman"/>
                <w:b/>
                <w:sz w:val="20"/>
              </w:rPr>
              <w:t>Giải pháp blockchain tương ứng</w:t>
            </w:r>
          </w:p>
        </w:tc>
        <w:tc>
          <w:tcPr>
            <w:tcW w:type="dxa" w:w="2340"/>
            <w:shd w:fill="E2E8F0" w:val="clear"/>
          </w:tcPr>
          <w:p>
            <w:pPr>
              <w:spacing w:before="60" w:after="60"/>
            </w:pPr>
            <w:r>
              <w:rPr>
                <w:rFonts w:ascii="Times New Roman" w:hAnsi="Times New Roman"/>
                <w:b/>
                <w:sz w:val="20"/>
              </w:rPr>
              <w:t>Mức độ tương thích</w:t>
            </w:r>
          </w:p>
        </w:tc>
      </w:tr>
      <w:tr>
        <w:tc>
          <w:tcPr>
            <w:tcW w:type="dxa" w:w="2340"/>
          </w:tcPr>
          <w:p>
            <w:pPr>
              <w:spacing w:before="60" w:after="60"/>
            </w:pPr>
            <w:r>
              <w:rPr>
                <w:rFonts w:ascii="Times New Roman" w:hAnsi="Times New Roman"/>
                <w:sz w:val="20"/>
              </w:rPr>
              <w:t>Mã định danh duy nhất, tối đa 40 ký tự, không thể tẩy xóa</w:t>
            </w:r>
          </w:p>
        </w:tc>
        <w:tc>
          <w:tcPr>
            <w:tcW w:type="dxa" w:w="2340"/>
          </w:tcPr>
          <w:p>
            <w:pPr>
              <w:spacing w:before="60" w:after="60"/>
            </w:pPr>
            <w:r>
              <w:rPr>
                <w:rFonts w:ascii="Times New Roman" w:hAnsi="Times New Roman"/>
                <w:sz w:val="20"/>
              </w:rPr>
              <w:t>Điều 3 khoản 5; Điều 8; Điều 9</w:t>
            </w:r>
          </w:p>
        </w:tc>
        <w:tc>
          <w:tcPr>
            <w:tcW w:type="dxa" w:w="2340"/>
          </w:tcPr>
          <w:p>
            <w:pPr>
              <w:spacing w:before="60" w:after="60"/>
            </w:pPr>
            <w:r>
              <w:rPr>
                <w:rFonts w:ascii="Times New Roman" w:hAnsi="Times New Roman"/>
                <w:sz w:val="20"/>
              </w:rPr>
              <w:t>On-chain identity: Mã định danh ghi trực tiếp lên blockchain dưới dạng Non-Fungible Token (NFT) hoặc Soulbound Token (SBT). Mỗi mã là duy nhất, bất biến, có thể xác minh công khai</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Lịch sử giao dịch truy xuất theo mã</w:t>
            </w:r>
          </w:p>
        </w:tc>
        <w:tc>
          <w:tcPr>
            <w:tcW w:type="dxa" w:w="2340"/>
          </w:tcPr>
          <w:p>
            <w:pPr>
              <w:spacing w:before="60" w:after="60"/>
            </w:pPr>
            <w:r>
              <w:rPr>
                <w:rFonts w:ascii="Times New Roman" w:hAnsi="Times New Roman"/>
                <w:sz w:val="20"/>
              </w:rPr>
              <w:t>Phụ lục VI mục 5</w:t>
            </w:r>
          </w:p>
        </w:tc>
        <w:tc>
          <w:tcPr>
            <w:tcW w:type="dxa" w:w="2340"/>
          </w:tcPr>
          <w:p>
            <w:pPr>
              <w:spacing w:before="60" w:after="60"/>
            </w:pPr>
            <w:r>
              <w:rPr>
                <w:rFonts w:ascii="Times New Roman" w:hAnsi="Times New Roman"/>
                <w:sz w:val="20"/>
              </w:rPr>
              <w:t>Transaction history on ledger: Mỗi giao dịch (mua bán, chuyển nhượng, thế chấp) ghi thành một transaction hash, liên kết với mã tài sản. Bất kỳ ai có quyền đều truy xuất được chuỗi lịch sử</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API liên thông thời gian thực</w:t>
            </w:r>
          </w:p>
        </w:tc>
        <w:tc>
          <w:tcPr>
            <w:tcW w:type="dxa" w:w="2340"/>
          </w:tcPr>
          <w:p>
            <w:pPr>
              <w:spacing w:before="60" w:after="60"/>
            </w:pPr>
            <w:r>
              <w:rPr>
                <w:rFonts w:ascii="Times New Roman" w:hAnsi="Times New Roman"/>
                <w:sz w:val="20"/>
              </w:rPr>
              <w:t>Điều 31 khoản 2</w:t>
            </w:r>
          </w:p>
        </w:tc>
        <w:tc>
          <w:tcPr>
            <w:tcW w:type="dxa" w:w="2340"/>
          </w:tcPr>
          <w:p>
            <w:pPr>
              <w:spacing w:before="60" w:after="60"/>
            </w:pPr>
            <w:r>
              <w:rPr>
                <w:rFonts w:ascii="Times New Roman" w:hAnsi="Times New Roman"/>
                <w:sz w:val="20"/>
              </w:rPr>
              <w:t>Oracle/Bridge patterns: Sử dụng oracle (cầu nối dữ liệu) để đồng bộ dữ liệu giữa blockchain và hệ thống của Bộ Xây dựng, Bộ Tài chính, Ngân hàng Nhà nước theo thời gian thực</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Bảo mật dữ liệu cá nhân, quyền riêng tư</w:t>
            </w:r>
          </w:p>
        </w:tc>
        <w:tc>
          <w:tcPr>
            <w:tcW w:type="dxa" w:w="2340"/>
          </w:tcPr>
          <w:p>
            <w:pPr>
              <w:spacing w:before="60" w:after="60"/>
            </w:pPr>
            <w:r>
              <w:rPr>
                <w:rFonts w:ascii="Times New Roman" w:hAnsi="Times New Roman"/>
                <w:sz w:val="20"/>
              </w:rPr>
              <w:t>Điều 4 khoản 7; Điều 33 khoản 7-8</w:t>
            </w:r>
          </w:p>
        </w:tc>
        <w:tc>
          <w:tcPr>
            <w:tcW w:type="dxa" w:w="2340"/>
          </w:tcPr>
          <w:p>
            <w:pPr>
              <w:spacing w:before="60" w:after="60"/>
            </w:pPr>
            <w:r>
              <w:rPr>
                <w:rFonts w:ascii="Times New Roman" w:hAnsi="Times New Roman"/>
                <w:sz w:val="20"/>
              </w:rPr>
              <w:t>Zero-knowledge proof (ZKP) trên permissioned blockchain: Cho phép xác minh thông tin (ví dụ: “người này sở hữu ≥ 1 BĐS”) mà không tiết lộ chi tiết cá nhân. Blockchain permissioned giới hạn quyền truy cập theo vai trò</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Lưu vết toàn bộ truy cập, chỉnh sửa</w:t>
            </w:r>
          </w:p>
        </w:tc>
        <w:tc>
          <w:tcPr>
            <w:tcW w:type="dxa" w:w="2340"/>
          </w:tcPr>
          <w:p>
            <w:pPr>
              <w:spacing w:before="60" w:after="60"/>
            </w:pPr>
            <w:r>
              <w:rPr>
                <w:rFonts w:ascii="Times New Roman" w:hAnsi="Times New Roman"/>
                <w:sz w:val="20"/>
              </w:rPr>
              <w:t>Điều 4 khoản 5</w:t>
            </w:r>
          </w:p>
        </w:tc>
        <w:tc>
          <w:tcPr>
            <w:tcW w:type="dxa" w:w="2340"/>
          </w:tcPr>
          <w:p>
            <w:pPr>
              <w:spacing w:before="60" w:after="60"/>
            </w:pPr>
            <w:r>
              <w:rPr>
                <w:rFonts w:ascii="Times New Roman" w:hAnsi="Times New Roman"/>
                <w:sz w:val="20"/>
              </w:rPr>
              <w:t>Audit trail tự nhiên: Blockchain ghi nhận mọi thao tác (đọc, ghi, cập nhật) lên sổ cái bất biến — đáp ứng vượt mức yêu cầu audit trail của Nghị định</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Chữ ký số, dấu thời gian</w:t>
            </w:r>
          </w:p>
        </w:tc>
        <w:tc>
          <w:tcPr>
            <w:tcW w:type="dxa" w:w="2340"/>
          </w:tcPr>
          <w:p>
            <w:pPr>
              <w:spacing w:before="60" w:after="60"/>
            </w:pPr>
            <w:r>
              <w:rPr>
                <w:rFonts w:ascii="Times New Roman" w:hAnsi="Times New Roman"/>
                <w:sz w:val="20"/>
              </w:rPr>
              <w:t>Điều 32 khoản 2 điểm b, c</w:t>
            </w:r>
          </w:p>
        </w:tc>
        <w:tc>
          <w:tcPr>
            <w:tcW w:type="dxa" w:w="2340"/>
          </w:tcPr>
          <w:p>
            <w:pPr>
              <w:spacing w:before="60" w:after="60"/>
            </w:pPr>
            <w:r>
              <w:rPr>
                <w:rFonts w:ascii="Times New Roman" w:hAnsi="Times New Roman"/>
                <w:sz w:val="20"/>
              </w:rPr>
              <w:t>Cryptographic signing + timestamp: Mỗi transaction trên blockchain mặc định bao gồm chữ ký số của người ký và dấu thời gian consensus</w:t>
            </w:r>
          </w:p>
        </w:tc>
        <w:tc>
          <w:tcPr>
            <w:tcW w:type="dxa" w:w="2340"/>
          </w:tcPr>
          <w:p>
            <w:pPr>
              <w:spacing w:before="60" w:after="60"/>
            </w:pPr>
            <w:r>
              <w:rPr>
                <w:rFonts w:ascii="Times New Roman" w:hAnsi="Times New Roman"/>
                <w:sz w:val="20"/>
              </w:rPr>
              <w:t>🟢 Cao</w:t>
            </w:r>
          </w:p>
        </w:tc>
      </w:tr>
    </w:tbl>
    <w:p>
      <w:pPr>
        <w:spacing w:before="0" w:after="80"/>
      </w:pPr>
    </w:p>
    <w:p>
      <w:pPr>
        <w:pStyle w:val="Heading3"/>
        <w:spacing w:before="240" w:after="160"/>
      </w:pPr>
      <w:r>
        <w:rPr>
          <w:rFonts w:ascii="Times New Roman" w:hAnsi="Times New Roman" w:eastAsia="Times New Roman"/>
          <w:color w:val="1A1A2E"/>
          <w:sz w:val="32"/>
        </w:rPr>
        <w:t>5.3. Rào cản và thách thức khi áp dụng blockchain cho CSDL quốc gia BĐS</w:t>
      </w:r>
    </w:p>
    <w:p>
      <w:r>
        <w:t>Mặc dù tương thích về mặt kiến trúc, việc áp dụng blockchain vào hệ thống CSDL quốc gia về BĐS vẫn đối mặt với ba nhóm thách thức chính.</w:t>
      </w:r>
    </w:p>
    <w:p>
      <w:pPr>
        <w:pStyle w:val="Heading4"/>
        <w:spacing w:before="240" w:after="160"/>
      </w:pPr>
      <w:r>
        <w:rPr>
          <w:rFonts w:ascii="Times New Roman" w:hAnsi="Times New Roman" w:eastAsia="Times New Roman"/>
          <w:color w:val="1A1A2E"/>
          <w:sz w:val="28"/>
        </w:rPr>
        <w:t>5.3.1. Hiệu năng và khả năng mở rộng</w:t>
      </w:r>
    </w:p>
    <w:p>
      <w:r>
        <w:t>Thị trường BĐS Việt Nam xử lý hàng triệu giao dịch mỗi năm. Các blockchain công khai phổ biến (Ethereum Layer 1) hiện chỉ đạt 15-30 giao dịch/giây (TPS), chưa đáp ứng được quy mô quốc gia. Tuy nhiên, các giải pháp Layer 2 (Arbitrum, Optimism) đã đạt 2.000-4.000 TPS, và các blockchain permissioned như Hyperledger Fabric có thể đạt 3.000-20.000 TPS — đủ năng lực xử lý cho hệ thống quốc gia.</w:t>
      </w:r>
    </w:p>
    <w:p>
      <w:pPr>
        <w:pStyle w:val="Heading4"/>
        <w:spacing w:before="240" w:after="160"/>
      </w:pPr>
      <w:r>
        <w:rPr>
          <w:rFonts w:ascii="Times New Roman" w:hAnsi="Times New Roman" w:eastAsia="Times New Roman"/>
          <w:color w:val="1A1A2E"/>
          <w:sz w:val="28"/>
        </w:rPr>
        <w:t>5.3.2. Khung pháp lý chưa hoàn thiện</w:t>
      </w:r>
    </w:p>
    <w:p>
      <w:r>
        <w:t>Việt Nam hiện chưa có khung pháp lý chính thức công nhận blockchain là hạ tầng lưu trữ dữ liệu cho cơ quan nhà nước. NĐ 357 quy định hệ thống do Bộ Xây dựng phát triển tập trung (Điều 7 khoản 3), hạ tầng đặt tại Trung tâm dữ liệu quốc gia (Điều 7 khoản 2) — mô hình này thiên về kiến trúc tập trung (centralized) hơn là phân tán (decentralized). Tuy nhiên, blockchain permissioned (có phép) hoàn toàn có thể vận hành dưới sự kiểm soát tập trung của Bộ Xây dựng mà vẫn kế thừa ưu điểm bất biến và truy xuất.</w:t>
      </w:r>
    </w:p>
    <w:p>
      <w:pPr>
        <w:pStyle w:val="Heading4"/>
        <w:spacing w:before="240" w:after="160"/>
      </w:pPr>
      <w:r>
        <w:rPr>
          <w:rFonts w:ascii="Times New Roman" w:hAnsi="Times New Roman" w:eastAsia="Times New Roman"/>
          <w:color w:val="1A1A2E"/>
          <w:sz w:val="28"/>
        </w:rPr>
        <w:t>5.3.3. Phối hợp đa bên</w:t>
      </w:r>
    </w:p>
    <w:p>
      <w:r>
        <w:t>Hệ thống liên thông theó NĐ 357 kết nối ít nhất 5 bộ, ngành: Bộ Xây dựng, Bộ Công an, Bộ Nông nghiệp và Môi trường, Bộ Tài chính, Ngân hàng Nhà nước (Điều 28). Việc thuyết phục tất cả các bên tham gia vào một mạng blockchain chung đòi hỏi sự đồng thuận về tiêu chuẩn kỹ thuật, cơ chế quản trị node (nút mạng), và quy trình xử lý tranh chấp dữ liệu — đây là thách thức về quản trị nhiều hơn là công nghệ.</w:t>
      </w:r>
    </w:p>
    <w:p>
      <w:pPr>
        <w:pStyle w:val="Heading3"/>
        <w:spacing w:before="240" w:after="160"/>
      </w:pPr>
      <w:r>
        <w:rPr>
          <w:rFonts w:ascii="Times New Roman" w:hAnsi="Times New Roman" w:eastAsia="Times New Roman"/>
          <w:color w:val="1A1A2E"/>
          <w:sz w:val="32"/>
        </w:rPr>
        <w:t>5.4. Cơ hội chiến lược và lợi ích của Sun Group — Lợi thế từ VNDA</w:t>
      </w:r>
    </w:p>
    <w:p>
      <w:pPr>
        <w:pStyle w:val="Heading4"/>
        <w:spacing w:before="240" w:after="160"/>
      </w:pPr>
      <w:r>
        <w:rPr>
          <w:rFonts w:ascii="Times New Roman" w:hAnsi="Times New Roman" w:eastAsia="Times New Roman"/>
          <w:color w:val="1A1A2E"/>
          <w:sz w:val="28"/>
        </w:rPr>
        <w:t>5.4.1. Lợi thế xuất phát</w:t>
      </w:r>
    </w:p>
    <w:p>
      <w:r>
        <w:t xml:space="preserve">Sun Group là một trong số ít tập đoàn bất động sản tại Việt Nam đã đầu tư trực tiếp vào lĩnh vực blockchain thông qua </w:t>
      </w:r>
      <w:r>
        <w:rPr>
          <w:b/>
        </w:rPr>
        <w:t>Công ty cổ phần Tài sản số Việt Nam (VNDA)</w:t>
      </w:r>
      <w:r>
        <w:t>. Lợi thế này tạo ra khoảng cách cạnh tranh đáng kể:</w:t>
      </w:r>
    </w:p>
    <w:p>
      <w:pPr>
        <w:spacing w:after="40" w:before="20"/>
        <w:ind w:left="720" w:hanging="357"/>
      </w:pPr>
      <w:r>
        <w:rPr>
          <w:sz w:val="20"/>
        </w:rPr>
        <w:t xml:space="preserve">• </w:t>
      </w:r>
      <w:r>
        <w:rPr>
          <w:b/>
        </w:rPr>
        <w:t>Rút ngắn thời gian nghiên cứu và phát triển (R&amp;D):</w:t>
      </w:r>
      <w:r>
        <w:t>Trong khi các đối thủ cần 12-18 tháng để xây dựng đội ngũ blockchain từ số 0 (tuyển dụng, đào tạo, xây dựng hạ tầng), Sun Group đã có sẵn năng lực thông qua VNDA — tiết kiệm ít nhất 1 năm so với đối thủ cạnh tranh.</w:t>
      </w:r>
    </w:p>
    <w:p>
      <w:pPr>
        <w:spacing w:after="40" w:before="20"/>
        <w:ind w:left="720" w:hanging="357"/>
      </w:pPr>
      <w:r>
        <w:rPr>
          <w:sz w:val="20"/>
        </w:rPr>
        <w:t xml:space="preserve">• </w:t>
      </w:r>
      <w:r>
        <w:rPr>
          <w:b/>
        </w:rPr>
        <w:t>Giảm chi phí tích hợp:</w:t>
      </w:r>
      <w:r>
        <w:t>Hệ sinh thái công nghệ nội bộ (Sun CRM, SAP/ERP, Sun Smart Super App) đã vận hành ổn định. VNDA có thể phát triển lớp blockchain (blockchain layer) tích hợp trực tiếp vào hạ tầng hiện có, thay vì xây lại toàn bộ.</w:t>
      </w:r>
    </w:p>
    <w:p>
      <w:pPr>
        <w:spacing w:after="40" w:before="20"/>
        <w:ind w:left="720" w:hanging="357"/>
      </w:pPr>
      <w:r>
        <w:rPr>
          <w:sz w:val="20"/>
        </w:rPr>
        <w:t xml:space="preserve">• </w:t>
      </w:r>
      <w:r>
        <w:rPr>
          <w:b/>
        </w:rPr>
        <w:t>Kinh nghiệm thực chiến:</w:t>
      </w:r>
      <w:r>
        <w:t>VNDA đã hoạt động trong lĩnh vực tài sản số, có hiểu biết về tokenization (mã hóa tài sản), quản lý ví điện tử (wallet), và quy trình KYC/AML trên nền blockchain — tất cả đều là năng lực cốt lõi cần thiết cho hệ thống định danh BĐS.</w:t>
      </w:r>
    </w:p>
    <w:p>
      <w:pPr>
        <w:pStyle w:val="Heading4"/>
        <w:spacing w:before="240" w:after="160"/>
      </w:pPr>
      <w:r>
        <w:rPr>
          <w:rFonts w:ascii="Times New Roman" w:hAnsi="Times New Roman" w:eastAsia="Times New Roman"/>
          <w:color w:val="1A1A2E"/>
          <w:sz w:val="28"/>
        </w:rPr>
        <w:t>5.4.2. Lợi ích trực tiếp — Ước lượng tác động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Lợi ích</w:t>
            </w:r>
          </w:p>
        </w:tc>
        <w:tc>
          <w:tcPr>
            <w:tcW w:type="dxa" w:w="3120"/>
            <w:shd w:fill="E2E8F0" w:val="clear"/>
          </w:tcPr>
          <w:p>
            <w:pPr>
              <w:spacing w:before="60" w:after="60"/>
            </w:pPr>
            <w:r>
              <w:rPr>
                <w:rFonts w:ascii="Times New Roman" w:hAnsi="Times New Roman"/>
                <w:b/>
                <w:sz w:val="20"/>
              </w:rPr>
              <w:t>Cơ chế</w:t>
            </w:r>
          </w:p>
        </w:tc>
        <w:tc>
          <w:tcPr>
            <w:tcW w:type="dxa" w:w="3120"/>
            <w:shd w:fill="E2E8F0" w:val="clear"/>
          </w:tcPr>
          <w:p>
            <w:pPr>
              <w:spacing w:before="60" w:after="60"/>
            </w:pPr>
            <w:r>
              <w:rPr>
                <w:rFonts w:ascii="Times New Roman" w:hAnsi="Times New Roman"/>
                <w:b/>
                <w:sz w:val="20"/>
              </w:rPr>
              <w:t>Ước lượng tác động</w:t>
            </w:r>
          </w:p>
        </w:tc>
      </w:tr>
      <w:tr>
        <w:tc>
          <w:tcPr>
            <w:tcW w:type="dxa" w:w="3120"/>
          </w:tcPr>
          <w:p>
            <w:pPr>
              <w:spacing w:before="60" w:after="60"/>
            </w:pPr>
            <w:r>
              <w:rPr>
                <w:rFonts w:ascii="Times New Roman" w:hAnsi="Times New Roman"/>
                <w:sz w:val="20"/>
              </w:rPr>
              <w:t>Giảm chi phí đối soát dữ liệu</w:t>
            </w:r>
          </w:p>
        </w:tc>
        <w:tc>
          <w:tcPr>
            <w:tcW w:type="dxa" w:w="3120"/>
          </w:tcPr>
          <w:p>
            <w:pPr>
              <w:spacing w:before="60" w:after="60"/>
            </w:pPr>
            <w:r>
              <w:rPr>
                <w:rFonts w:ascii="Times New Roman" w:hAnsi="Times New Roman"/>
                <w:sz w:val="20"/>
              </w:rPr>
              <w:t>Blockchain tự động xác thực tính toàn vẹn dữ liệu, giảm nhân lực đối soát thủ công giữa Sun CRM và Cổng quốc gia (hiện phải đối chiếu thủ công theo quy trình tại mục 3.3 của báo cáo)</w:t>
            </w:r>
          </w:p>
        </w:tc>
        <w:tc>
          <w:tcPr>
            <w:tcW w:type="dxa" w:w="3120"/>
          </w:tcPr>
          <w:p>
            <w:pPr>
              <w:spacing w:before="60" w:after="60"/>
            </w:pPr>
            <w:r>
              <w:rPr>
                <w:rFonts w:ascii="Times New Roman" w:hAnsi="Times New Roman"/>
                <w:sz w:val="20"/>
              </w:rPr>
              <w:t>Tiết kiệm ước tính30-50% chi phí vận hànhđối soát dữ liệu hằng năm</w:t>
            </w:r>
          </w:p>
        </w:tc>
      </w:tr>
      <w:tr>
        <w:tc>
          <w:tcPr>
            <w:tcW w:type="dxa" w:w="3120"/>
          </w:tcPr>
          <w:p>
            <w:pPr>
              <w:spacing w:before="60" w:after="60"/>
            </w:pPr>
            <w:r>
              <w:rPr>
                <w:rFonts w:ascii="Times New Roman" w:hAnsi="Times New Roman"/>
                <w:sz w:val="20"/>
              </w:rPr>
              <w:t>Rút ngắn thời gian giao dịch thứ cấp</w:t>
            </w:r>
          </w:p>
        </w:tc>
        <w:tc>
          <w:tcPr>
            <w:tcW w:type="dxa" w:w="3120"/>
          </w:tcPr>
          <w:p>
            <w:pPr>
              <w:spacing w:before="60" w:after="60"/>
            </w:pPr>
            <w:r>
              <w:rPr>
                <w:rFonts w:ascii="Times New Roman" w:hAnsi="Times New Roman"/>
                <w:sz w:val="20"/>
              </w:rPr>
              <w:t>Lịch sử pháp lý on-chain truy xuất tức thời, loại bỏ bước xác minh thủ công tại công chứng và ngân hàng</w:t>
            </w:r>
          </w:p>
        </w:tc>
        <w:tc>
          <w:tcPr>
            <w:tcW w:type="dxa" w:w="3120"/>
          </w:tcPr>
          <w:p>
            <w:pPr>
              <w:spacing w:before="60" w:after="60"/>
            </w:pPr>
            <w:r>
              <w:rPr>
                <w:rFonts w:ascii="Times New Roman" w:hAnsi="Times New Roman"/>
                <w:sz w:val="20"/>
              </w:rPr>
              <w:t>Giảm thời gian thẩm định từ15-30 ngày xuống còn 3-5 ngàymỗi giao dịch</w:t>
            </w:r>
          </w:p>
        </w:tc>
      </w:tr>
      <w:tr>
        <w:tc>
          <w:tcPr>
            <w:tcW w:type="dxa" w:w="3120"/>
          </w:tcPr>
          <w:p>
            <w:pPr>
              <w:spacing w:before="60" w:after="60"/>
            </w:pPr>
            <w:r>
              <w:rPr>
                <w:rFonts w:ascii="Times New Roman" w:hAnsi="Times New Roman"/>
                <w:sz w:val="20"/>
              </w:rPr>
              <w:t>Giảm rủi ro tranh chấp pháp lý</w:t>
            </w:r>
          </w:p>
        </w:tc>
        <w:tc>
          <w:tcPr>
            <w:tcW w:type="dxa" w:w="3120"/>
          </w:tcPr>
          <w:p>
            <w:pPr>
              <w:spacing w:before="60" w:after="60"/>
            </w:pPr>
            <w:r>
              <w:rPr>
                <w:rFonts w:ascii="Times New Roman" w:hAnsi="Times New Roman"/>
                <w:sz w:val="20"/>
              </w:rPr>
              <w:t>Bằng chứng bất biến trên blockchain có giá trị chứng cứ mạnh, giảm thiểu tranh chấp về nguồn gốc tài sản, lịch sử sở hữu, và tính xác thực của hợp đồng</w:t>
            </w:r>
          </w:p>
        </w:tc>
        <w:tc>
          <w:tcPr>
            <w:tcW w:type="dxa" w:w="3120"/>
          </w:tcPr>
          <w:p>
            <w:pPr>
              <w:spacing w:before="60" w:after="60"/>
            </w:pPr>
            <w:r>
              <w:rPr>
                <w:rFonts w:ascii="Times New Roman" w:hAnsi="Times New Roman"/>
                <w:sz w:val="20"/>
              </w:rPr>
              <w:t>Dự kiến giảm40-60% số vụ tranh chấpliên quan nguồn gốc và lịch sử giao dịch BĐS</w:t>
            </w:r>
          </w:p>
        </w:tc>
      </w:tr>
      <w:tr>
        <w:tc>
          <w:tcPr>
            <w:tcW w:type="dxa" w:w="3120"/>
          </w:tcPr>
          <w:p>
            <w:pPr>
              <w:spacing w:before="60" w:after="60"/>
            </w:pPr>
            <w:r>
              <w:rPr>
                <w:rFonts w:ascii="Times New Roman" w:hAnsi="Times New Roman"/>
                <w:sz w:val="20"/>
              </w:rPr>
              <w:t>Tăng giá trị thương hiệu (Brand Premium)</w:t>
            </w:r>
          </w:p>
        </w:tc>
        <w:tc>
          <w:tcPr>
            <w:tcW w:type="dxa" w:w="3120"/>
          </w:tcPr>
          <w:p>
            <w:pPr>
              <w:spacing w:before="60" w:after="60"/>
            </w:pPr>
            <w:r>
              <w:rPr>
                <w:rFonts w:ascii="Times New Roman" w:hAnsi="Times New Roman"/>
                <w:sz w:val="20"/>
              </w:rPr>
              <w:t>Sản phẩm BĐS có “chứng nhận blockchain” — toàn bộ lịch sử pháp lý minh bạch, xác minh tức thời — trở thành USP trên phân khúc cao cấp. Khách hàng quốc tế đặc biệt coi trọng tính minh bạch này</w:t>
            </w:r>
          </w:p>
        </w:tc>
        <w:tc>
          <w:tcPr>
            <w:tcW w:type="dxa" w:w="3120"/>
          </w:tcPr>
          <w:p>
            <w:pPr>
              <w:spacing w:before="60" w:after="60"/>
            </w:pPr>
            <w:r>
              <w:rPr>
                <w:rFonts w:ascii="Times New Roman" w:hAnsi="Times New Roman"/>
                <w:sz w:val="20"/>
              </w:rPr>
              <w:t>Dự kiến tăng2-5% giá bántrên phân khúc hạng sang, tương đương gia tăng hàng trăm tỷ đồng giá trị giỏ hàng</w:t>
            </w:r>
          </w:p>
        </w:tc>
      </w:tr>
      <w:tr>
        <w:tc>
          <w:tcPr>
            <w:tcW w:type="dxa" w:w="3120"/>
          </w:tcPr>
          <w:p>
            <w:pPr>
              <w:spacing w:before="60" w:after="60"/>
            </w:pPr>
            <w:r>
              <w:rPr>
                <w:rFonts w:ascii="Times New Roman" w:hAnsi="Times New Roman"/>
                <w:sz w:val="20"/>
              </w:rPr>
              <w:t>Mở nguồn doanh thu mới (SaaS/Platform)</w:t>
            </w:r>
          </w:p>
        </w:tc>
        <w:tc>
          <w:tcPr>
            <w:tcW w:type="dxa" w:w="3120"/>
          </w:tcPr>
          <w:p>
            <w:pPr>
              <w:spacing w:before="60" w:after="60"/>
            </w:pPr>
            <w:r>
              <w:rPr>
                <w:rFonts w:ascii="Times New Roman" w:hAnsi="Times New Roman"/>
                <w:sz w:val="20"/>
              </w:rPr>
              <w:t>VNDA phát triển giải pháp blockchain-backed identity cung cấp cho các chủ đầu tư nhỏ (không có năng lực tự xây) dưới mô hình SaaS (phần mềm dạng dịch vụ)</w:t>
            </w:r>
          </w:p>
        </w:tc>
        <w:tc>
          <w:tcPr>
            <w:tcW w:type="dxa" w:w="3120"/>
          </w:tcPr>
          <w:p>
            <w:pPr>
              <w:spacing w:before="60" w:after="60"/>
            </w:pPr>
            <w:r>
              <w:rPr>
                <w:rFonts w:ascii="Times New Roman" w:hAnsi="Times New Roman"/>
                <w:sz w:val="20"/>
              </w:rPr>
              <w:t>Thị trường PropTech Việt Nam ước đạt500 triệu USD vào năm 2028, VNDA có thể chiếm 3-5% thị phần phân khúc quản lý dữ liệu BĐS</w:t>
            </w:r>
          </w:p>
        </w:tc>
      </w:tr>
    </w:tbl>
    <w:p>
      <w:pPr>
        <w:spacing w:before="0" w:after="80"/>
      </w:pPr>
    </w:p>
    <w:p>
      <w:pPr>
        <w:pStyle w:val="Heading4"/>
        <w:spacing w:before="240" w:after="160"/>
      </w:pPr>
      <w:r>
        <w:rPr>
          <w:rFonts w:ascii="Times New Roman" w:hAnsi="Times New Roman" w:eastAsia="Times New Roman"/>
          <w:color w:val="1A1A2E"/>
          <w:sz w:val="28"/>
        </w:rPr>
        <w:t>5.4.3. Lợi ích chiến lược dài hạn</w:t>
      </w:r>
    </w:p>
    <w:p>
      <w:r>
        <w:rPr>
          <w:b/>
        </w:rPr>
        <w:t>Rào cản gia nhập cho đối thủ.</w:t>
      </w:r>
      <w:r>
        <w:t xml:space="preserve"> Đầu tư xây dựng hạ tầng blockchain ngay từ giai đoạn NĐ 357 có hiệu lực tạo ra “hào nước” (moat) công nghệ. Các đối thủ cạnh tranh (Vinhomes, Novaland, Hưng Thịnh) chưa có công ty blockchain riêng, cần ít nhất 2-3 năm để bắt kịp nếu quyết định đầu tư ngay hôm nay.</w:t>
      </w:r>
    </w:p>
    <w:p>
      <w:r>
        <w:rPr>
          <w:b/>
        </w:rPr>
        <w:t>Vị thế đàm phán với cơ quan nhà nước.</w:t>
      </w:r>
      <w:r>
        <w:t xml:space="preserve"> Khi Bộ Xây dựng tiếp tục hoàn thiện hệ thống CSDL quốc gia, các doanh nghiệp đã có năng lực blockchain sẽ được mời tham vấn kỹ thuật, thí điểm giải pháp, và tham gia xây dựng tiêu chuẩn. Sun Group, với VNDA, có cơ hội trở thành đối tác chiến lược của Bộ Xây dựng — vị thế mà tiền bạc đơn thuần không mua được.</w:t>
      </w:r>
    </w:p>
    <w:p>
      <w:r>
        <w:rPr>
          <w:b/>
        </w:rPr>
        <w:t>Thu hút nhà đầu tư quốc tế.</w:t>
      </w:r>
      <w:r>
        <w:t xml:space="preserve"> Các quỹ đầu tư nước ngoài (GIC, Temasek, Warburg Pincus) khi thẩm định dự án BĐS tại Việt Nam luôn đặt câu hỏi về tính minh bạch dữ liệu. Một hệ thống blockchain-backed cho phép họ tự xác minh lịch sử giao dịch mà không phụ thuộc vào bên thứ ba — đây là điểm cộng quyết định trong các thương vụ M&amp;A và hợp tác đầu tư quy mô lớn.</w:t>
      </w:r>
    </w:p>
    <w:p>
      <w:r>
        <w:rPr>
          <w:b/>
        </w:rPr>
        <w:t>Chuẩn bị cho tokenization bất động sản.</w:t>
      </w:r>
      <w:r>
        <w:t xml:space="preserve"> Xu hướng toàn cầu đang dịch chuyển mạnh sang token hóa tài sản (real estate tokenization) — cho phép chia nhỏ quyền sở hữu BĐS thành các token kỹ thuật số, mở rộng tệp khách hàng đầu tư. Singapore, Hồng Kông (Trung Quốc), Thái Lan đã ban hành khung pháp lý cho tokenization BĐS. Khi Việt Nam theo xu hướng này (dự kiến 2027-2029, căn cứ lộ trình Luật Dữ liệu số 60/2024/QH15), Sun Group — với hạ tầng blockchain từ VNDA — sẽ là doanh nghiệp BĐS đầu tiên sẵn sàng phát hành token tài sản mà không cần đầu tư thêm hạ tầng.</w:t>
      </w:r>
    </w:p>
    <w:p>
      <w:pPr>
        <w:pStyle w:val="Heading4"/>
        <w:spacing w:before="240" w:after="160"/>
      </w:pPr>
      <w:r>
        <w:rPr>
          <w:rFonts w:ascii="Times New Roman" w:hAnsi="Times New Roman" w:eastAsia="Times New Roman"/>
          <w:color w:val="1A1A2E"/>
          <w:sz w:val="28"/>
        </w:rPr>
        <w:t>5.4.4. Ba kịch bản triển khai</w:t>
      </w:r>
    </w:p>
    <w:p>
      <w:r>
        <w:rPr>
          <w:b/>
        </w:rPr>
        <w:t>Kịch bản 1 — “Đối tác thí điểm” (Pilot Partner)</w:t>
      </w:r>
    </w:p>
    <w:p>
      <w:r>
        <w:t>Sun Group chủ động đề xuất với Bộ Xây dựng thí điểm hệ thống định danh BĐS trên nền blockchain cho 1-2 dự án trọng điểm (ví dụ: Sun Grand City Ancora Residence tại Hà Nội hoặc Sun Tropical Village tại Phú Quốc). VNDA đảm nhận phát triển giải pháp kỹ thuật, Bộ Xây dựng đánh giá kết quả. Nếu thí điểm thành công, Sun Group trở thành tên tuổi tiên phong trong “BĐS số hóa” — giá trị truyền thông và định vị thương hiệu vượt xa chi phí đầu tư.</w:t>
      </w:r>
    </w:p>
    <w:p>
      <w:r>
        <w:rPr>
          <w:b/>
        </w:rPr>
        <w:t>Kịch bản 2 — “Nhà cung cấp hạ tầng” (Infrastructure Provider)</w:t>
      </w:r>
    </w:p>
    <w:p>
      <w:r>
        <w:t>VNDA phát triển nền tảng blockchain-backed identity layer dành cho thị trường BĐS rộng hơn. Các chủ đầu tư nhỏ, sàn giao dịch, đơn vị quản lý vận hành có thể thuê dịch vụ này theo mô hình SaaS (phí hằng tháng hoặc theo giao dịch). Kịch bản này biến chi phí tuân thủ NĐ 357 thành nguồn doanh thu recurring cho hệ sinh thái Sun Group.</w:t>
      </w:r>
    </w:p>
    <w:p>
      <w:r>
        <w:rPr>
          <w:b/>
        </w:rPr>
        <w:t>Kịch bản 3 — “Tiên phong nội bộ” (First Mover Advantage)</w:t>
      </w:r>
    </w:p>
    <w:p>
      <w:r>
        <w:t>Ngay cả khi chưa có đề xuất thí điểm cấp quốc gia, Sun Group tích hợp blockchain vào hệ sinh thái nội bộ: mỗi sản phẩm BĐS được gắn “chứng nhận blockchain” song song với mã định danh quốc gia. Sun Smart Super App cho phép khách hàng xác minh lịch sử tài sản trực tiếp trên ứng dụng. Kịch bản này không phụ thuộc vào tốc độ triển khai của cơ quan nhà nước, Sun Group chủ động hoàn toàn.</w:t>
      </w:r>
    </w:p>
    <w:p>
      <w:pPr>
        <w:pStyle w:val="Heading3"/>
        <w:spacing w:before="240" w:after="160"/>
      </w:pPr>
      <w:r>
        <w:rPr>
          <w:rFonts w:ascii="Times New Roman" w:hAnsi="Times New Roman" w:eastAsia="Times New Roman"/>
          <w:color w:val="1A1A2E"/>
          <w:sz w:val="32"/>
        </w:rPr>
        <w:t>5.5. Đề xuất lộ trình triển khai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Phase</w:t>
            </w:r>
          </w:p>
        </w:tc>
        <w:tc>
          <w:tcPr>
            <w:tcW w:type="dxa" w:w="1872"/>
            <w:shd w:fill="E2E8F0" w:val="clear"/>
          </w:tcPr>
          <w:p>
            <w:pPr>
              <w:spacing w:before="60" w:after="60"/>
            </w:pPr>
            <w:r>
              <w:rPr>
                <w:rFonts w:ascii="Times New Roman" w:hAnsi="Times New Roman"/>
                <w:b/>
                <w:sz w:val="20"/>
              </w:rPr>
              <w:t>Thời gian</w:t>
            </w:r>
          </w:p>
        </w:tc>
        <w:tc>
          <w:tcPr>
            <w:tcW w:type="dxa" w:w="1872"/>
            <w:shd w:fill="E2E8F0" w:val="clear"/>
          </w:tcPr>
          <w:p>
            <w:pPr>
              <w:spacing w:before="60" w:after="60"/>
            </w:pPr>
            <w:r>
              <w:rPr>
                <w:rFonts w:ascii="Times New Roman" w:hAnsi="Times New Roman"/>
                <w:b/>
                <w:sz w:val="20"/>
              </w:rPr>
              <w:t>Nội dung chính</w:t>
            </w:r>
          </w:p>
        </w:tc>
        <w:tc>
          <w:tcPr>
            <w:tcW w:type="dxa" w:w="1872"/>
            <w:shd w:fill="E2E8F0" w:val="clear"/>
          </w:tcPr>
          <w:p>
            <w:pPr>
              <w:spacing w:before="60" w:after="60"/>
            </w:pPr>
            <w:r>
              <w:rPr>
                <w:rFonts w:ascii="Times New Roman" w:hAnsi="Times New Roman"/>
                <w:b/>
                <w:sz w:val="20"/>
              </w:rPr>
              <w:t>Đơn vị phụ trách</w:t>
            </w:r>
          </w:p>
        </w:tc>
        <w:tc>
          <w:tcPr>
            <w:tcW w:type="dxa" w:w="1872"/>
            <w:shd w:fill="E2E8F0" w:val="clear"/>
          </w:tcPr>
          <w:p>
            <w:pPr>
              <w:spacing w:before="60" w:after="60"/>
            </w:pPr>
            <w:r>
              <w:rPr>
                <w:rFonts w:ascii="Times New Roman" w:hAnsi="Times New Roman"/>
                <w:b/>
                <w:sz w:val="20"/>
              </w:rPr>
              <w:t>Kết quả đầu ra</w:t>
            </w:r>
          </w:p>
        </w:tc>
      </w:tr>
      <w:tr>
        <w:tc>
          <w:tcPr>
            <w:tcW w:type="dxa" w:w="1872"/>
          </w:tcPr>
          <w:p>
            <w:pPr>
              <w:spacing w:before="60" w:after="60"/>
            </w:pPr>
            <w:r>
              <w:rPr>
                <w:rFonts w:ascii="Times New Roman" w:hAnsi="Times New Roman"/>
                <w:sz w:val="20"/>
              </w:rPr>
              <w:t>Phase 0— Nghiên cứu khả thi</w:t>
            </w:r>
          </w:p>
        </w:tc>
        <w:tc>
          <w:tcPr>
            <w:tcW w:type="dxa" w:w="1872"/>
          </w:tcPr>
          <w:p>
            <w:pPr>
              <w:spacing w:before="60" w:after="60"/>
            </w:pPr>
            <w:r>
              <w:rPr>
                <w:rFonts w:ascii="Times New Roman" w:hAnsi="Times New Roman"/>
                <w:sz w:val="20"/>
              </w:rPr>
              <w:t>Tháng 1-3</w:t>
            </w:r>
          </w:p>
        </w:tc>
        <w:tc>
          <w:tcPr>
            <w:tcW w:type="dxa" w:w="1872"/>
          </w:tcPr>
          <w:p>
            <w:pPr>
              <w:spacing w:before="60" w:after="60"/>
            </w:pPr>
            <w:r>
              <w:rPr>
                <w:rFonts w:ascii="Times New Roman" w:hAnsi="Times New Roman"/>
                <w:sz w:val="20"/>
              </w:rPr>
              <w:t>Lập white paper nội bộ đánh giá khả thi kỹ thuật và pháp lý; khảo sát mô hình quốc tế (Singapore, Dubai, Estonia); xác định blockchain stack phù hợp (Hyperledger Fabric / Polygon / giải pháp tự xây)</w:t>
            </w:r>
          </w:p>
        </w:tc>
        <w:tc>
          <w:tcPr>
            <w:tcW w:type="dxa" w:w="1872"/>
          </w:tcPr>
          <w:p>
            <w:pPr>
              <w:spacing w:before="60" w:after="60"/>
            </w:pPr>
            <w:r>
              <w:rPr>
                <w:rFonts w:ascii="Times New Roman" w:hAnsi="Times New Roman"/>
                <w:sz w:val="20"/>
              </w:rPr>
              <w:t>VNDA + Khối CNTT</w:t>
            </w:r>
          </w:p>
        </w:tc>
        <w:tc>
          <w:tcPr>
            <w:tcW w:type="dxa" w:w="1872"/>
          </w:tcPr>
          <w:p>
            <w:pPr>
              <w:spacing w:before="60" w:after="60"/>
            </w:pPr>
            <w:r>
              <w:rPr>
                <w:rFonts w:ascii="Times New Roman" w:hAnsi="Times New Roman"/>
                <w:sz w:val="20"/>
              </w:rPr>
              <w:t>White paper trình BOM; Bảng so sánh giải pháp công nghệ</w:t>
            </w:r>
          </w:p>
        </w:tc>
      </w:tr>
      <w:tr>
        <w:tc>
          <w:tcPr>
            <w:tcW w:type="dxa" w:w="1872"/>
          </w:tcPr>
          <w:p>
            <w:pPr>
              <w:spacing w:before="60" w:after="60"/>
            </w:pPr>
            <w:r>
              <w:rPr>
                <w:rFonts w:ascii="Times New Roman" w:hAnsi="Times New Roman"/>
                <w:sz w:val="20"/>
              </w:rPr>
              <w:t>Phase 1— Proof of Concept (PoC)</w:t>
            </w:r>
          </w:p>
        </w:tc>
        <w:tc>
          <w:tcPr>
            <w:tcW w:type="dxa" w:w="1872"/>
          </w:tcPr>
          <w:p>
            <w:pPr>
              <w:spacing w:before="60" w:after="60"/>
            </w:pPr>
            <w:r>
              <w:rPr>
                <w:rFonts w:ascii="Times New Roman" w:hAnsi="Times New Roman"/>
                <w:sz w:val="20"/>
              </w:rPr>
              <w:t>Tháng 4-6</w:t>
            </w:r>
          </w:p>
        </w:tc>
        <w:tc>
          <w:tcPr>
            <w:tcW w:type="dxa" w:w="1872"/>
          </w:tcPr>
          <w:p>
            <w:pPr>
              <w:spacing w:before="60" w:after="60"/>
            </w:pPr>
            <w:r>
              <w:rPr>
                <w:rFonts w:ascii="Times New Roman" w:hAnsi="Times New Roman"/>
                <w:sz w:val="20"/>
              </w:rPr>
              <w:t>Phát triển PoC trên 1 dự án thí điểm (≤500 sản phẩm); gắn mã định danh blockchain song song với mã quốc gia; test tích hợp Sun CRM → blockchain → API Cổng quốc gia</w:t>
            </w:r>
          </w:p>
        </w:tc>
        <w:tc>
          <w:tcPr>
            <w:tcW w:type="dxa" w:w="1872"/>
          </w:tcPr>
          <w:p>
            <w:pPr>
              <w:spacing w:before="60" w:after="60"/>
            </w:pPr>
            <w:r>
              <w:rPr>
                <w:rFonts w:ascii="Times New Roman" w:hAnsi="Times New Roman"/>
                <w:sz w:val="20"/>
              </w:rPr>
              <w:t>VNDA + Khối CNTT + SPG (dự án thí điểm)</w:t>
            </w:r>
          </w:p>
        </w:tc>
        <w:tc>
          <w:tcPr>
            <w:tcW w:type="dxa" w:w="1872"/>
          </w:tcPr>
          <w:p>
            <w:pPr>
              <w:spacing w:before="60" w:after="60"/>
            </w:pPr>
            <w:r>
              <w:rPr>
                <w:rFonts w:ascii="Times New Roman" w:hAnsi="Times New Roman"/>
                <w:sz w:val="20"/>
              </w:rPr>
              <w:t>PoC vận hành; báo cáo hiệu suất và chi phí thực tế</w:t>
            </w:r>
          </w:p>
        </w:tc>
      </w:tr>
      <w:tr>
        <w:tc>
          <w:tcPr>
            <w:tcW w:type="dxa" w:w="1872"/>
          </w:tcPr>
          <w:p>
            <w:pPr>
              <w:spacing w:before="60" w:after="60"/>
            </w:pPr>
            <w:r>
              <w:rPr>
                <w:rFonts w:ascii="Times New Roman" w:hAnsi="Times New Roman"/>
                <w:sz w:val="20"/>
              </w:rPr>
              <w:t>Phase 2— Mở rộng và thí điểm cấp quốc gia</w:t>
            </w:r>
          </w:p>
        </w:tc>
        <w:tc>
          <w:tcPr>
            <w:tcW w:type="dxa" w:w="1872"/>
          </w:tcPr>
          <w:p>
            <w:pPr>
              <w:spacing w:before="60" w:after="60"/>
            </w:pPr>
            <w:r>
              <w:rPr>
                <w:rFonts w:ascii="Times New Roman" w:hAnsi="Times New Roman"/>
                <w:sz w:val="20"/>
              </w:rPr>
              <w:t>Tháng 7-12</w:t>
            </w:r>
          </w:p>
        </w:tc>
        <w:tc>
          <w:tcPr>
            <w:tcW w:type="dxa" w:w="1872"/>
          </w:tcPr>
          <w:p>
            <w:pPr>
              <w:spacing w:before="60" w:after="60"/>
            </w:pPr>
            <w:r>
              <w:rPr>
                <w:rFonts w:ascii="Times New Roman" w:hAnsi="Times New Roman"/>
                <w:sz w:val="20"/>
              </w:rPr>
              <w:t>Mở rộng sang 3-5 dự án; đề xuất chính thức với Bộ Xây dựng về thí điểm blockchain cho CSDL quốc gia; phát triển module SaaS cho đối tác bên ngoài</w:t>
            </w:r>
          </w:p>
        </w:tc>
        <w:tc>
          <w:tcPr>
            <w:tcW w:type="dxa" w:w="1872"/>
          </w:tcPr>
          <w:p>
            <w:pPr>
              <w:spacing w:before="60" w:after="60"/>
            </w:pPr>
            <w:r>
              <w:rPr>
                <w:rFonts w:ascii="Times New Roman" w:hAnsi="Times New Roman"/>
                <w:sz w:val="20"/>
              </w:rPr>
              <w:t>VNDA + Ban Pháp chế + Task Force 357</w:t>
            </w:r>
          </w:p>
        </w:tc>
        <w:tc>
          <w:tcPr>
            <w:tcW w:type="dxa" w:w="1872"/>
          </w:tcPr>
          <w:p>
            <w:pPr>
              <w:spacing w:before="60" w:after="60"/>
            </w:pPr>
            <w:r>
              <w:rPr>
                <w:rFonts w:ascii="Times New Roman" w:hAnsi="Times New Roman"/>
                <w:sz w:val="20"/>
              </w:rPr>
              <w:t>Hệ thống mở rộng vận hành; văn bản đề xuất thí điểm gửi Bộ Xây dựng; MVP nền tảng SaaS</w:t>
            </w:r>
          </w:p>
        </w:tc>
      </w:tr>
    </w:tbl>
    <w:p>
      <w:pPr>
        <w:spacing w:before="0" w:after="80"/>
      </w:pPr>
    </w:p>
    <w:p>
      <w:r>
        <w:rPr>
          <w:b/>
        </w:rPr>
        <w:t>Dự toán ngân sách bổ sung: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Nghiên cứu khả thi và white paper</w:t>
            </w:r>
          </w:p>
        </w:tc>
        <w:tc>
          <w:tcPr>
            <w:tcW w:type="dxa" w:w="3120"/>
          </w:tcPr>
          <w:p>
            <w:pPr>
              <w:spacing w:before="60" w:after="60"/>
            </w:pPr>
            <w:r>
              <w:rPr>
                <w:rFonts w:ascii="Times New Roman" w:hAnsi="Times New Roman"/>
                <w:sz w:val="20"/>
              </w:rPr>
              <w:t>Theo đề xuất VNDA</w:t>
            </w:r>
          </w:p>
        </w:tc>
        <w:tc>
          <w:tcPr>
            <w:tcW w:type="dxa" w:w="3120"/>
          </w:tcPr>
          <w:p>
            <w:pPr>
              <w:spacing w:before="60" w:after="60"/>
            </w:pPr>
            <w:r>
              <w:rPr>
                <w:rFonts w:ascii="Times New Roman" w:hAnsi="Times New Roman"/>
                <w:sz w:val="20"/>
              </w:rPr>
              <w:t>Tận dụng nhân lực hiện có của VNDA</w:t>
            </w:r>
          </w:p>
        </w:tc>
      </w:tr>
      <w:tr>
        <w:tc>
          <w:tcPr>
            <w:tcW w:type="dxa" w:w="3120"/>
          </w:tcPr>
          <w:p>
            <w:pPr>
              <w:spacing w:before="60" w:after="60"/>
            </w:pPr>
            <w:r>
              <w:rPr>
                <w:rFonts w:ascii="Times New Roman" w:hAnsi="Times New Roman"/>
                <w:sz w:val="20"/>
              </w:rPr>
              <w:t>Phát triển PoC (Phase 1)</w:t>
            </w:r>
          </w:p>
        </w:tc>
        <w:tc>
          <w:tcPr>
            <w:tcW w:type="dxa" w:w="3120"/>
          </w:tcPr>
          <w:p>
            <w:pPr>
              <w:spacing w:before="60" w:after="60"/>
            </w:pPr>
            <w:r>
              <w:rPr>
                <w:rFonts w:ascii="Times New Roman" w:hAnsi="Times New Roman"/>
                <w:sz w:val="20"/>
              </w:rPr>
              <w:t>Theo đề xuất VNDA + Khối CNTT</w:t>
            </w:r>
          </w:p>
        </w:tc>
        <w:tc>
          <w:tcPr>
            <w:tcW w:type="dxa" w:w="3120"/>
          </w:tcPr>
          <w:p>
            <w:pPr>
              <w:spacing w:before="60" w:after="60"/>
            </w:pPr>
            <w:r>
              <w:rPr>
                <w:rFonts w:ascii="Times New Roman" w:hAnsi="Times New Roman"/>
                <w:sz w:val="20"/>
              </w:rPr>
              <w:t>Ưu tiên đội ngũ VNDA, bổ sung freelancer chuyên blockchain nếu cần</w:t>
            </w:r>
          </w:p>
        </w:tc>
      </w:tr>
      <w:tr>
        <w:tc>
          <w:tcPr>
            <w:tcW w:type="dxa" w:w="3120"/>
          </w:tcPr>
          <w:p>
            <w:pPr>
              <w:spacing w:before="60" w:after="60"/>
            </w:pPr>
            <w:r>
              <w:rPr>
                <w:rFonts w:ascii="Times New Roman" w:hAnsi="Times New Roman"/>
                <w:sz w:val="20"/>
              </w:rPr>
              <w:t>Hạ tầng node blockchain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giao dịch thực tế từ PoC</w:t>
            </w:r>
          </w:p>
        </w:tc>
      </w:tr>
      <w:tr>
        <w:tc>
          <w:tcPr>
            <w:tcW w:type="dxa" w:w="3120"/>
          </w:tcPr>
          <w:p>
            <w:pPr>
              <w:spacing w:before="60" w:after="60"/>
            </w:pPr>
            <w:r>
              <w:rPr>
                <w:rFonts w:ascii="Times New Roman" w:hAnsi="Times New Roman"/>
                <w:sz w:val="20"/>
              </w:rPr>
              <w:t>Tư vấn pháp lý blockchain</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chuyên fintech/blockchain</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6. Kết luận và kiến nghị phê duyệt</w:t>
      </w:r>
    </w:p>
    <w:p>
      <w:pPr>
        <w:pStyle w:val="Heading3"/>
        <w:spacing w:before="240" w:after="160"/>
      </w:pPr>
      <w:r>
        <w:rPr>
          <w:rFonts w:ascii="Times New Roman" w:hAnsi="Times New Roman" w:eastAsia="Times New Roman"/>
          <w:color w:val="1A1A2E"/>
          <w:sz w:val="32"/>
        </w:rPr>
        <w:t>6.1. Kết luận</w:t>
      </w:r>
    </w:p>
    <w:p>
      <w: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mọi chủ đầu tư, đại lý và cá nhân tham gia thị trường.</w:t>
      </w:r>
    </w:p>
    <w:p>
      <w:r>
        <w:t xml:space="preserve">Đối với Tập đoàn Sun Group, nghị định này mang đến </w:t>
      </w:r>
      <w:r>
        <w:rPr>
          <w:b/>
        </w:rPr>
        <w:t>thách thức vận hành</w:t>
      </w:r>
      <w:r>
        <w:t xml:space="preserve"> ngắn hạn (áp lực chuẩn hóa dữ liệu cũ, rủi ro biến động nhân sự phân phối, yêu cầu nâng cấp công nghệ) nhưng đồng thời tạo ra </w:t>
      </w:r>
      <w:r>
        <w:rPr>
          <w:b/>
        </w:rPr>
        <w:t>cơ hội chiến lược</w:t>
      </w:r>
      <w:r>
        <w:t xml:space="preserve"> dài hạn. Đặc biệt, việc sở hữu Công ty cổ phần Tài sản số Việt Nam (VNDA) — đơn vị hoạt động chuyên sâu trong lĩnh vực blockchain — trao cho Tập đoàn lợi thế tiên phong mà các đối thủ cạnh tranh trên thị trường hiện chưa sở hữu. Việc tuân thủ sớm, kết hợp với ứng dụng blockchain vào hệ thống định danh BĐS, không chỉ tạo rào cản cạnh tranh tự nhiên đối với các doanh nghiệp quy mô nhỏ mà còn mở ra nguồn doanh thu mới từ mô hình SaaS/Platform, đồng thời định vị mỗi sản phẩm BĐS của Tập đoàn thành một tài sản được bảo chứng tính minh bạch và an toàn pháp lý tuyệt đối.</w:t>
      </w:r>
    </w:p>
    <w:p>
      <w:pPr>
        <w:pStyle w:val="Heading3"/>
        <w:spacing w:before="240" w:after="160"/>
      </w:pPr>
      <w:r>
        <w:rPr>
          <w:rFonts w:ascii="Times New Roman" w:hAnsi="Times New Roman" w:eastAsia="Times New Roman"/>
          <w:color w:val="1A1A2E"/>
          <w:sz w:val="32"/>
        </w:rPr>
        <w:t>6.2. Kiến nghị và đề xuất triển khai</w:t>
      </w:r>
    </w:p>
    <w:p>
      <w:r>
        <w:t xml:space="preserve">Căn cứ các rủi ro đã nhận diện và dựa trên nguyên tắc </w:t>
      </w:r>
      <w:r>
        <w:rPr>
          <w:i/>
        </w:rPr>
        <w:t>“Tiên phong chuyển đổi để dẫn dắt kỷ nguyên minh bạch”</w:t>
      </w:r>
      <w:r>
        <w:t>, Ban Pháp chế &amp; Chiến lược kính đề nghị Ban Tổng giám đốc (BOM) xem xét, chỉ đạo thực hiện các nội dung trọng tâm sau:</w:t>
      </w:r>
    </w:p>
    <w:p>
      <w:pPr>
        <w:spacing w:after="40" w:before="20"/>
        <w:ind w:left="720" w:hanging="357"/>
      </w:pPr>
      <w:r>
        <w:t xml:space="preserve">1. </w:t>
      </w:r>
      <w:r>
        <w:rPr>
          <w:b/>
        </w:rPr>
        <w:t>Về mặt Tổ chức:</w:t>
      </w:r>
      <w:r>
        <w:t>Kính đề nghị BOM phê duyệt thành lập Tổ công tác đặc biệt (Task Force 357) dưới sự chỉ đạo trực tiếp của Phó Tổng giám đốc phụ trách, có cơ chế ra quyết định khẩn cấp (vượt tuyến) để xử lý các vướng mắc liên phòng ban.</w:t>
      </w:r>
    </w:p>
    <w:p>
      <w:pPr>
        <w:spacing w:after="40" w:before="20"/>
        <w:ind w:left="720" w:hanging="357"/>
      </w:pPr>
      <w:r>
        <w:t xml:space="preserve">2. </w:t>
      </w:r>
      <w:r>
        <w:rPr>
          <w:b/>
        </w:rPr>
        <w:t>Về mặt Kinh doanh (Khẩn cấp):</w:t>
      </w:r>
      <w:r>
        <w:t>Kính trình BOM chấp thuận chủ trương để Sun Property (SPG) ban hành ngay thông báo yêu cầu 100% đại lý F1/F2 chuẩn hóa mã định danh chứng chỉ hành nghề môi giới trong thời hạn 30 ngày, nhằm bảo vệ hệ thống phân phối không bị đứt gãy.</w:t>
      </w:r>
    </w:p>
    <w:p>
      <w:pPr>
        <w:spacing w:after="40" w:before="20"/>
        <w:ind w:left="720" w:hanging="357"/>
      </w:pPr>
      <w:r>
        <w:t xml:space="preserve">3. </w:t>
      </w:r>
      <w:r>
        <w:rPr>
          <w:b/>
        </w:rPr>
        <w:t>Về mặt Công nghệ - Tài chính:</w:t>
      </w:r>
      <w:r>
        <w:t>Kính đề nghị BOM phê duyệt ngân sách tổng thể và cấp quyền ưu tiên cao nhất cho Khối CNTT phối hợp cùng Ban Kế toán nâng cấp hạ tầng (API Gateway) và tái cấu trúc luồng lưu trữ trên Sun CRM, SAP.</w:t>
      </w:r>
    </w:p>
    <w:p>
      <w:pPr>
        <w:spacing w:after="40" w:before="20"/>
        <w:ind w:left="720" w:hanging="357"/>
      </w:pPr>
      <w:r>
        <w:t xml:space="preserve">4. </w:t>
      </w:r>
      <w:r>
        <w:rPr>
          <w:b/>
        </w:rPr>
        <w:t>Về Kế hoạch Hành động (Action Plan):</w:t>
      </w:r>
      <w:r>
        <w:t>Kính trình BOM thông qua lộ trình thực thi thần tốc 90 ngày (30-60-90) cùng 03 kịch bản Dự phòng Kinh doanh Liên tục (BCP) nhằm đảm bảo hoạt động bán hàng không bị đình trệ trước các sự cố về CSDL thuộc cơ quan nhà nước.</w:t>
      </w:r>
    </w:p>
    <w:p>
      <w:pPr>
        <w:spacing w:after="40" w:before="20"/>
        <w:ind w:left="720" w:hanging="357"/>
      </w:pPr>
      <w:r>
        <w:t xml:space="preserve">5. </w:t>
      </w:r>
      <w:r>
        <w:rPr>
          <w:b/>
        </w:rPr>
        <w:t>Về ứng dụng công nghệ blockchain:</w:t>
      </w:r>
      <w:r>
        <w:t>Kính đề nghị BOM phê duyệt chủ trương giao Công ty cổ phần Tài sản số Việt Nam (VNDA) phối hợp cùng Khối CNTT nghiên cứu khả thi và phát triển giải pháp blockchain-backed identity cho hệ thống định danh BĐS, triển khai thí điểm trên 1-2 dự án trọng điểm trong vòng 6 tháng đầu tiên.</w:t>
      </w:r>
    </w:p>
    <w:p>
      <w:r>
        <w:t>Kính trình Ban Tổng giám đốc xem xét và phê duyệt các nội dung trên để làm cơ sở cho các đơn vị triển khai thực hiện.</w:t>
      </w:r>
    </w:p>
    <w:p>
      <w:pPr>
        <w:spacing w:before="120" w:after="120"/>
        <w:pBdr>
          <w:bottom w:val="single" w:sz="12" w:space="1" w:color="CCCCCC"/>
        </w:pBdr>
      </w:pPr>
    </w:p>
    <w:p>
      <w:r>
        <w:rPr>
          <w:b/>
        </w:rPr>
        <w:t>Khu vực chữ ký BOM phê duyệt: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Nội dung phê duyệt</w:t>
            </w:r>
          </w:p>
        </w:tc>
        <w:tc>
          <w:tcPr>
            <w:tcW w:type="dxa" w:w="2340"/>
            <w:shd w:fill="E2E8F0" w:val="clear"/>
          </w:tcPr>
          <w:p>
            <w:pPr>
              <w:spacing w:before="60" w:after="60"/>
            </w:pPr>
            <w:r>
              <w:rPr>
                <w:rFonts w:ascii="Times New Roman" w:hAnsi="Times New Roman"/>
                <w:b/>
                <w:sz w:val="20"/>
              </w:rPr>
              <w:t>Chữ ký</w:t>
            </w:r>
          </w:p>
        </w:tc>
        <w:tc>
          <w:tcPr>
            <w:tcW w:type="dxa" w:w="2340"/>
            <w:shd w:fill="E2E8F0" w:val="clear"/>
          </w:tcPr>
          <w:p>
            <w:pPr>
              <w:spacing w:before="60" w:after="60"/>
            </w:pPr>
            <w:r>
              <w:rPr>
                <w:rFonts w:ascii="Times New Roman" w:hAnsi="Times New Roman"/>
                <w:b/>
                <w:sz w:val="20"/>
              </w:rPr>
              <w:t>Ngày</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Ký quyết định thành lập Task Force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Ký ban hành tối hậu thư chuẩn hóa đại lý</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Phê duyệt ngân sách triển khai NĐ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bl>
    <w:p>
      <w:pPr>
        <w:spacing w:before="0" w:after="80"/>
      </w:pPr>
    </w:p>
    <w:p>
      <w:pPr>
        <w:spacing w:before="120" w:after="120"/>
        <w:pBdr>
          <w:bottom w:val="single" w:sz="12" w:space="1" w:color="CCCCCC"/>
        </w:pBdr>
      </w:pPr>
    </w:p>
    <w:p>
      <w:r>
        <w:rPr>
          <w:i/>
        </w:rPr>
        <w:t>[Phân tách trang]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phụ lục — Cơ sở lý luận, pháp lý và tài liệu kỹ thuật chi tiết</w:t>
      </w:r>
    </w:p>
    <w:p>
      <w:pPr>
        <w:spacing w:before="80" w:after="80"/>
        <w:ind w:left="850"/>
        <w:pBdr>
          <w:left w:val="single" w:sz="18" w:space="8" w:color="D0D7DE"/>
        </w:pBdr>
      </w:pPr>
      <w:r>
        <w:rPr>
          <w:i/>
          <w:color w:val="6A737D"/>
        </w:rPr>
        <w:t>Kho chứa luận điểm. Khi Ban lãnh đạo hỏi cơ sở ở đâu, mở phần này ra.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A: Cơ sở pháp lý và tìm hiểu quy định</w:t>
      </w:r>
    </w:p>
    <w:p>
      <w:pPr>
        <w:pStyle w:val="Heading4"/>
        <w:spacing w:before="240" w:after="160"/>
      </w:pPr>
      <w:r>
        <w:rPr>
          <w:rFonts w:ascii="Times New Roman" w:hAnsi="Times New Roman" w:eastAsia="Times New Roman"/>
          <w:color w:val="1A1A2E"/>
          <w:sz w:val="28"/>
        </w:rPr>
        <w:t>A.1. Bảng giải nghĩa thuật ngữ</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Thuật ngữ</w:t>
            </w:r>
          </w:p>
        </w:tc>
        <w:tc>
          <w:tcPr>
            <w:tcW w:type="dxa" w:w="3120"/>
            <w:shd w:fill="E2E8F0" w:val="clear"/>
          </w:tcPr>
          <w:p>
            <w:pPr>
              <w:spacing w:before="60" w:after="60"/>
            </w:pPr>
            <w:r>
              <w:rPr>
                <w:rFonts w:ascii="Times New Roman" w:hAnsi="Times New Roman"/>
                <w:b/>
                <w:sz w:val="20"/>
              </w:rPr>
              <w:t>Định nghĩa theo NĐ 357</w:t>
            </w:r>
          </w:p>
        </w:tc>
        <w:tc>
          <w:tcPr>
            <w:tcW w:type="dxa" w:w="3120"/>
            <w:shd w:fill="E2E8F0" w:val="clear"/>
          </w:tcPr>
          <w:p>
            <w:pPr>
              <w:spacing w:before="60" w:after="60"/>
            </w:pPr>
            <w:r>
              <w:rPr>
                <w:rFonts w:ascii="Times New Roman" w:hAnsi="Times New Roman"/>
                <w:b/>
                <w:sz w:val="20"/>
              </w:rPr>
              <w:t>Điều/khoản</w:t>
            </w:r>
          </w:p>
        </w:tc>
      </w:tr>
      <w:tr>
        <w:tc>
          <w:tcPr>
            <w:tcW w:type="dxa" w:w="3120"/>
          </w:tcPr>
          <w:p>
            <w:pPr>
              <w:spacing w:before="60" w:after="60"/>
            </w:pPr>
            <w:r>
              <w:rPr>
                <w:rFonts w:ascii="Times New Roman" w:hAnsi="Times New Roman"/>
                <w:sz w:val="20"/>
              </w:rPr>
              <w:t>Mã định danh điện tử sản phẩm BĐS</w:t>
            </w:r>
          </w:p>
        </w:tc>
        <w:tc>
          <w:tcPr>
            <w:tcW w:type="dxa" w:w="3120"/>
          </w:tcPr>
          <w:p>
            <w:pPr>
              <w:spacing w:before="60" w:after="60"/>
            </w:pPr>
            <w:r>
              <w:rPr>
                <w:rFonts w:ascii="Times New Roman" w:hAnsi="Times New Roman"/>
                <w:sz w:val="20"/>
              </w:rPr>
              <w:t>Chuỗi ký tự số và chữ tối đa 40 ký tự, cấp riêng cho mỗi căn nhà hoặc BĐS trong công trình xây dựng</w:t>
            </w:r>
          </w:p>
        </w:tc>
        <w:tc>
          <w:tcPr>
            <w:tcW w:type="dxa" w:w="3120"/>
          </w:tcPr>
          <w:p>
            <w:pPr>
              <w:spacing w:before="60" w:after="60"/>
            </w:pPr>
            <w:r>
              <w:rPr>
                <w:rFonts w:ascii="Times New Roman" w:hAnsi="Times New Roman"/>
                <w:sz w:val="20"/>
              </w:rPr>
              <w:t>Điều 3 khoản 5</w:t>
            </w:r>
          </w:p>
        </w:tc>
      </w:tr>
      <w:tr>
        <w:tc>
          <w:tcPr>
            <w:tcW w:type="dxa" w:w="3120"/>
          </w:tcPr>
          <w:p>
            <w:pPr>
              <w:spacing w:before="60" w:after="60"/>
            </w:pPr>
            <w:r>
              <w:rPr>
                <w:rFonts w:ascii="Times New Roman" w:hAnsi="Times New Roman"/>
                <w:sz w:val="20"/>
              </w:rPr>
              <w:t>Tồn kho bất động sản</w:t>
            </w:r>
          </w:p>
        </w:tc>
        <w:tc>
          <w:tcPr>
            <w:tcW w:type="dxa" w:w="3120"/>
          </w:tcPr>
          <w:p>
            <w:pPr>
              <w:spacing w:before="60" w:after="60"/>
            </w:pPr>
            <w:r>
              <w:rPr>
                <w:rFonts w:ascii="Times New Roman" w:hAnsi="Times New Roman"/>
                <w:sz w:val="20"/>
              </w:rPr>
              <w:t>Số lượng, tổng giá trị BĐS đủ điều kiện kinh doanh nhưng chưa giao dịch</w:t>
            </w:r>
          </w:p>
        </w:tc>
        <w:tc>
          <w:tcPr>
            <w:tcW w:type="dxa" w:w="3120"/>
          </w:tcPr>
          <w:p>
            <w:pPr>
              <w:spacing w:before="60" w:after="60"/>
            </w:pPr>
            <w:r>
              <w:rPr>
                <w:rFonts w:ascii="Times New Roman" w:hAnsi="Times New Roman"/>
                <w:sz w:val="20"/>
              </w:rPr>
              <w:t>Điều 3 khoản 1</w:t>
            </w:r>
          </w:p>
        </w:tc>
      </w:tr>
      <w:tr>
        <w:tc>
          <w:tcPr>
            <w:tcW w:type="dxa" w:w="3120"/>
          </w:tcPr>
          <w:p>
            <w:pPr>
              <w:spacing w:before="60" w:after="60"/>
            </w:pPr>
            <w:r>
              <w:rPr>
                <w:rFonts w:ascii="Times New Roman" w:hAnsi="Times New Roman"/>
                <w:sz w:val="20"/>
              </w:rPr>
              <w:t>Giao diện lập trình ứng dụng (API)</w:t>
            </w:r>
          </w:p>
        </w:tc>
        <w:tc>
          <w:tcPr>
            <w:tcW w:type="dxa" w:w="3120"/>
          </w:tcPr>
          <w:p>
            <w:pPr>
              <w:spacing w:before="60" w:after="60"/>
            </w:pPr>
            <w:r>
              <w:rPr>
                <w:rFonts w:ascii="Times New Roman" w:hAnsi="Times New Roman"/>
                <w:sz w:val="20"/>
              </w:rPr>
              <w:t>Giao diện phục vụ kết nối, chia sẻ thông tin giữa các hệ thống</w:t>
            </w:r>
          </w:p>
        </w:tc>
        <w:tc>
          <w:tcPr>
            <w:tcW w:type="dxa" w:w="3120"/>
          </w:tcPr>
          <w:p>
            <w:pPr>
              <w:spacing w:before="60" w:after="60"/>
            </w:pPr>
            <w:r>
              <w:rPr>
                <w:rFonts w:ascii="Times New Roman" w:hAnsi="Times New Roman"/>
                <w:sz w:val="20"/>
              </w:rPr>
              <w:t>Điều 3 khoản 2</w:t>
            </w:r>
          </w:p>
        </w:tc>
      </w:tr>
      <w:tr>
        <w:tc>
          <w:tcPr>
            <w:tcW w:type="dxa" w:w="3120"/>
          </w:tcPr>
          <w:p>
            <w:pPr>
              <w:spacing w:before="60" w:after="60"/>
            </w:pPr>
            <w:r>
              <w:rPr>
                <w:rFonts w:ascii="Times New Roman" w:hAnsi="Times New Roman"/>
                <w:sz w:val="20"/>
              </w:rPr>
              <w:t>Tài khoản định danh điện tử</w:t>
            </w:r>
          </w:p>
        </w:tc>
        <w:tc>
          <w:tcPr>
            <w:tcW w:type="dxa" w:w="3120"/>
          </w:tcPr>
          <w:p>
            <w:pPr>
              <w:spacing w:before="60" w:after="60"/>
            </w:pPr>
            <w:r>
              <w:rPr>
                <w:rFonts w:ascii="Times New Roman" w:hAnsi="Times New Roman"/>
                <w:sz w:val="20"/>
              </w:rPr>
              <w:t>Tập hợp thông tin định danh (tên đăng nhập, mật khẩu) tạo lập trên cơ sở số định danh cá nhân/tổ chức</w:t>
            </w:r>
          </w:p>
        </w:tc>
        <w:tc>
          <w:tcPr>
            <w:tcW w:type="dxa" w:w="3120"/>
          </w:tcPr>
          <w:p>
            <w:pPr>
              <w:spacing w:before="60" w:after="60"/>
            </w:pPr>
            <w:r>
              <w:rPr>
                <w:rFonts w:ascii="Times New Roman" w:hAnsi="Times New Roman"/>
                <w:sz w:val="20"/>
              </w:rPr>
              <w:t>Điều 3 khoản 4</w:t>
            </w:r>
          </w:p>
        </w:tc>
      </w:tr>
      <w:tr>
        <w:tc>
          <w:tcPr>
            <w:tcW w:type="dxa" w:w="3120"/>
          </w:tcPr>
          <w:p>
            <w:pPr>
              <w:spacing w:before="60" w:after="60"/>
            </w:pPr>
            <w:r>
              <w:rPr>
                <w:rFonts w:ascii="Times New Roman" w:hAnsi="Times New Roman"/>
                <w:sz w:val="20"/>
              </w:rPr>
              <w:t>Định danh điện tử</w:t>
            </w:r>
          </w:p>
        </w:tc>
        <w:tc>
          <w:tcPr>
            <w:tcW w:type="dxa" w:w="3120"/>
          </w:tcPr>
          <w:p>
            <w:pPr>
              <w:spacing w:before="60" w:after="60"/>
            </w:pPr>
            <w:r>
              <w:rPr>
                <w:rFonts w:ascii="Times New Roman" w:hAnsi="Times New Roman"/>
                <w:sz w:val="20"/>
              </w:rPr>
              <w:t>Hoạt động đăng ký, đối soát, tạo lập và gắn thông tin cho thửa đất, căn nhà hoặc chủ thể tham gia giao dịch</w:t>
            </w:r>
          </w:p>
        </w:tc>
        <w:tc>
          <w:tcPr>
            <w:tcW w:type="dxa" w:w="3120"/>
          </w:tcPr>
          <w:p>
            <w:pPr>
              <w:spacing w:before="60" w:after="60"/>
            </w:pPr>
            <w:r>
              <w:rPr>
                <w:rFonts w:ascii="Times New Roman" w:hAnsi="Times New Roman"/>
                <w:sz w:val="20"/>
              </w:rPr>
              <w:t>Điều 3 khoản 3</w:t>
            </w:r>
          </w:p>
        </w:tc>
      </w:tr>
    </w:tbl>
    <w:p>
      <w:pPr>
        <w:spacing w:before="0" w:after="80"/>
      </w:pPr>
    </w:p>
    <w:p>
      <w:pPr>
        <w:pStyle w:val="Heading4"/>
        <w:spacing w:before="240" w:after="160"/>
      </w:pPr>
      <w:r>
        <w:rPr>
          <w:rFonts w:ascii="Times New Roman" w:hAnsi="Times New Roman" w:eastAsia="Times New Roman"/>
          <w:color w:val="1A1A2E"/>
          <w:sz w:val="28"/>
        </w:rPr>
        <w:t>A.2. Phạm vi điều chỉnh và phân loại đối tượng</w:t>
      </w:r>
    </w:p>
    <w:p>
      <w:r>
        <w:rPr>
          <w:b/>
        </w:rPr>
        <w:t>Đối tượng chịu tác động trực tiếp</w:t>
      </w:r>
      <w:r>
        <w:t xml:space="preserve"> (theo Điều 2):</w:t>
        <w:br/>
        <w:t>- Chủ đầu tư dự án BĐS (Điều 30)</w:t>
        <w:br/>
        <w:t>- Tổ chức kinh doanh dịch vụ BĐS — sàn giao dịch, môi giới, tư vấn (Điều 22)</w:t>
        <w:br/>
        <w:t>- Đơn vị quản lý vận hành nhà chung cư (Điều 25)</w:t>
        <w:br/>
        <w:t>- Cá nhân hành nghề môi giới BĐS (Điều 23)</w:t>
        <w:br/>
        <w:t>- Cơ sở đào tạo, bồi dưỡng kiến thức hành nghề (Điều 24)</w:t>
      </w:r>
    </w:p>
    <w:p>
      <w:r>
        <w:rPr>
          <w:b/>
        </w:rPr>
        <w:t>Đối tượng chịu tác động gián tiếp:</w:t>
      </w:r>
      <w:r>
        <w:br/>
        <w:t>- Người mua BĐS (thông tin sở hữu được thu thập — Điều 20)</w:t>
        <w:br/>
        <w:t>- Ngân hàng, tổ chức tín dụng (chia sẻ dữ liệu tín dụng BĐS — Điều 28 khoản 4)</w:t>
        <w:br/>
        <w:t>- Tổ chức công chứng (chia sẻ dữ liệu giao dịch — Điều 28 khoản 5)</w:t>
      </w:r>
    </w:p>
    <w:p>
      <w:pPr>
        <w:pStyle w:val="Heading4"/>
        <w:spacing w:before="240" w:after="160"/>
      </w:pPr>
      <w:r>
        <w:rPr>
          <w:rFonts w:ascii="Times New Roman" w:hAnsi="Times New Roman" w:eastAsia="Times New Roman"/>
          <w:color w:val="1A1A2E"/>
          <w:sz w:val="28"/>
        </w:rPr>
        <w:t>A.3. Lộ trình chuyển tiếp và chế tài</w:t>
      </w:r>
    </w:p>
    <w:p>
      <w:pPr>
        <w:spacing w:after="40" w:before="20"/>
        <w:ind w:left="720" w:hanging="357"/>
      </w:pPr>
      <w:r>
        <w:rPr>
          <w:sz w:val="20"/>
        </w:rPr>
        <w:t xml:space="preserve">• </w:t>
      </w:r>
      <w:r>
        <w:rPr>
          <w:b/>
        </w:rPr>
        <w:t>Hiệu lực:</w:t>
      </w:r>
      <w:r>
        <w:t>01/03/2026 (Điều 41 khoản 1).</w:t>
      </w:r>
    </w:p>
    <w:p>
      <w:pPr>
        <w:spacing w:after="40" w:before="20"/>
        <w:ind w:left="720" w:hanging="357"/>
      </w:pPr>
      <w:r>
        <w:rPr>
          <w:sz w:val="20"/>
        </w:rPr>
        <w:t xml:space="preserve">• </w:t>
      </w:r>
      <w:r>
        <w:rPr>
          <w:b/>
        </w:rPr>
        <w:t>Thời hạn chuẩn hóa dữ liệu cũ:</w:t>
      </w:r>
      <w:r>
        <w:t>01/07/2026 (Điều 40 khoản 1).</w:t>
      </w:r>
    </w:p>
    <w:p>
      <w:pPr>
        <w:spacing w:after="40" w:before="20"/>
        <w:ind w:left="720" w:hanging="357"/>
      </w:pPr>
      <w:r>
        <w:rPr>
          <w:sz w:val="20"/>
        </w:rPr>
        <w:t xml:space="preserve">• </w:t>
      </w:r>
      <w:r>
        <w:rPr>
          <w:b/>
        </w:rPr>
        <w:t>Quy định chuyển tiếp:</w:t>
      </w:r>
      <w:r>
        <w:t>Nếu hệ thống chưa sẵn sàng, tiếp tục báo cáo theo NĐ 94/2024/NĐ-CP (Điều 40 khoản 2).</w:t>
      </w:r>
    </w:p>
    <w:p>
      <w:pPr>
        <w:spacing w:after="40" w:before="20"/>
        <w:ind w:left="720" w:hanging="357"/>
      </w:pPr>
      <w:r>
        <w:rPr>
          <w:sz w:val="20"/>
        </w:rPr>
        <w:t xml:space="preserve">• </w:t>
      </w:r>
      <w:r>
        <w:rPr>
          <w:b/>
        </w:rPr>
        <w:t>Công bố vi phạm:</w:t>
      </w:r>
      <w:r>
        <w:t>Bộ Xây dựng công bố cơ quan, tổ chức, cá nhân vi phạm trên Cổng thông tin quốc gia (Điều 36 khoản 5).</w:t>
      </w:r>
    </w:p>
    <w:p>
      <w:pPr>
        <w:spacing w:after="40" w:before="20"/>
        <w:ind w:left="720" w:hanging="357"/>
      </w:pPr>
      <w:r>
        <w:rPr>
          <w:sz w:val="20"/>
        </w:rPr>
        <w:t xml:space="preserve">• </w:t>
      </w:r>
      <w:r>
        <w:rPr>
          <w:b/>
        </w:rPr>
        <w:t>Nghĩa vụ:</w:t>
      </w:r>
      <w:r>
        <w:t>Không chia sẻ đúng hạn → phải có văn bản báo cáo lý do (Điều 39 khoản 1 điểm a). Cấm làm sai lệch, hư hỏng, thất thoát dữ liệu (Điều 39 khoản 1 điểm 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B: Khung phân tích và phương pháp luận</w:t>
      </w:r>
    </w:p>
    <w:p>
      <w:pPr>
        <w:pStyle w:val="Heading4"/>
        <w:spacing w:before="240" w:after="160"/>
      </w:pPr>
      <w:r>
        <w:rPr>
          <w:rFonts w:ascii="Times New Roman" w:hAnsi="Times New Roman" w:eastAsia="Times New Roman"/>
          <w:color w:val="1A1A2E"/>
          <w:sz w:val="28"/>
        </w:rPr>
        <w:t>B.1. Mô hình đánh giá tác động 4 chiều</w:t>
      </w:r>
    </w:p>
    <w:p>
      <w:r>
        <w:t xml:space="preserve">Báo cáo sử dụng mô hình </w:t>
      </w:r>
      <w:r>
        <w:rPr>
          <w:b/>
        </w:rPr>
        <w:t>Value Chain Impact Assessment</w:t>
      </w:r>
      <w:r>
        <w:t xml:space="preserve"> — đánh giá tác động NĐ 357 theo 4 mắt xích trong chuỗi giá trị BĐS của Sun Group:</w:t>
      </w:r>
    </w:p>
    <w:p>
      <w:pPr>
        <w:spacing w:after="40" w:before="20"/>
        <w:ind w:left="720" w:hanging="357"/>
      </w:pPr>
      <w:r>
        <w:t xml:space="preserve">1. </w:t>
      </w:r>
      <w:r>
        <w:rPr>
          <w:b/>
        </w:rPr>
        <w:t>Khởi tạo dự án &amp; pháp lý</w:t>
      </w:r>
      <w:r>
        <w:t>(Upstream) — Tác động đến quy trình ra sản phẩm</w:t>
      </w:r>
    </w:p>
    <w:p>
      <w:pPr>
        <w:spacing w:after="40" w:before="20"/>
        <w:ind w:left="720" w:hanging="357"/>
      </w:pPr>
      <w:r>
        <w:t xml:space="preserve">2. </w:t>
      </w:r>
      <w:r>
        <w:rPr>
          <w:b/>
        </w:rPr>
        <w:t>Phân phối &amp; marketing</w:t>
      </w:r>
      <w:r>
        <w:t>(Midstream) — Tác động đến kênh bán hàng và tâm lý khách hàng</w:t>
      </w:r>
    </w:p>
    <w:p>
      <w:pPr>
        <w:spacing w:after="40" w:before="20"/>
        <w:ind w:left="720" w:hanging="357"/>
      </w:pPr>
      <w:r>
        <w:t xml:space="preserve">3. </w:t>
      </w:r>
      <w:r>
        <w:rPr>
          <w:b/>
        </w:rPr>
        <w:t>Bàn giao &amp; vận hành</w:t>
      </w:r>
      <w:r>
        <w:t>(Downstream) — Tác động đến hậu mãi và dòng tiền recurring</w:t>
      </w:r>
    </w:p>
    <w:p>
      <w:pPr>
        <w:spacing w:after="40" w:before="20"/>
        <w:ind w:left="720" w:hanging="357"/>
      </w:pPr>
      <w:r>
        <w:t xml:space="preserve">4. </w:t>
      </w:r>
      <w:r>
        <w:rPr>
          <w:b/>
        </w:rPr>
        <w:t>Hạ tầng công nghệ &amp; tài chính</w:t>
      </w:r>
      <w:r>
        <w:t>(Foundation) — Tác động đến nền tảng vận hành</w:t>
      </w:r>
    </w:p>
    <w:p>
      <w:r>
        <w:t xml:space="preserve">Mỗi mắt xích được phân tích theo chu trình: </w:t>
      </w:r>
      <w:r>
        <w:rPr>
          <w:b/>
        </w:rPr>
        <w:t>Nhận diện vấn đề → Lượng hóa rủi ro → Đề xuất giải pháp → Giao trách nhiệm.</w:t>
      </w:r>
    </w:p>
    <w:p>
      <w:pPr>
        <w:pStyle w:val="Heading4"/>
        <w:spacing w:before="240" w:after="160"/>
      </w:pPr>
      <w:r>
        <w:rPr>
          <w:rFonts w:ascii="Times New Roman" w:hAnsi="Times New Roman" w:eastAsia="Times New Roman"/>
          <w:color w:val="1A1A2E"/>
          <w:sz w:val="28"/>
        </w:rPr>
        <w:t>B.2. Dòng chảy dữ liệu trước và sau NĐ 357</w:t>
      </w:r>
    </w:p>
    <w:p>
      <w:r>
        <w:rPr>
          <w:b/>
        </w:rPr>
        <w:t>Trước NĐ 357 (As-is):</w:t>
      </w:r>
      <w:r>
        <w:br/>
        <w:t>- Dữ liệu dự án: lưu trữ phân tán tại Sun CRM, file Excel phòng kinh doanh, hồ sơ giấy Ban Pháp chế.</w:t>
        <w:br/>
        <w:t>- Dữ liệu giao dịch: ghi nhận trên Sun CRM, không liên thông cơ quan nhà nước.</w:t>
        <w:br/>
        <w:t>- Dữ liệu sở hữu: quản lý bởi Sở TN&amp;MT, không chia sẻ ngược về chủ đầu tư.</w:t>
      </w:r>
    </w:p>
    <w:p>
      <w:r>
        <w:rPr>
          <w:b/>
        </w:rPr>
        <w:t>Sau NĐ 357 (To-be):</w:t>
      </w:r>
      <w:r>
        <w:br/>
        <w:t>- Mỗi sản phẩm BĐS có một mã định danh duy nhất trên hệ thống quốc gia.</w:t>
        <w:br/>
        <w:t>- Dữ liệu giao dịch được đẩy lên Cổng quốc gia theo thời gian thực qua API.</w:t>
        <w:br/>
        <w:t>- Cơ quan Thuế, Ngân hàng, Công chứng đều truy cập được dữ liệu liên quan.</w:t>
        <w:br/>
        <w:t>- Sun CRM/ERP phải đồng bộ 2 chiều với hệ thống quốc gia.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C: Tài liệu đặc tả kỹ thuật (dành riêng cho Khối CNTT)</w:t>
      </w:r>
    </w:p>
    <w:p>
      <w:pPr>
        <w:pStyle w:val="Heading4"/>
        <w:spacing w:before="240" w:after="160"/>
      </w:pPr>
      <w:r>
        <w:rPr>
          <w:rFonts w:ascii="Times New Roman" w:hAnsi="Times New Roman" w:eastAsia="Times New Roman"/>
          <w:color w:val="1A1A2E"/>
          <w:sz w:val="28"/>
        </w:rPr>
        <w:t>C.1. Cấu trúc mã định danh 40 ký tự</w:t>
      </w:r>
    </w:p>
    <w:p>
      <w:r>
        <w:t>Theo Phụ lục I mục 1 của NĐ 357: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[Mã thửa đất] - [Mã dự án/CTXD] - [Mã địa điểm*] - [Dãy ký tự tự nhiên]</w:t>
      </w:r>
    </w:p>
    <w:p>
      <w:pPr>
        <w:spacing w:after="40" w:before="20"/>
        <w:ind w:left="720" w:hanging="357"/>
      </w:pPr>
      <w:r>
        <w:rPr>
          <w:sz w:val="20"/>
        </w:rPr>
        <w:t xml:space="preserve">• </w:t>
      </w:r>
      <w:r>
        <w:rPr>
          <w:b/>
        </w:rPr>
        <w:t>Mã thửa đất:</w:t>
      </w:r>
      <w:r>
        <w:t>Theo CSDL quốc gia về đất đai (Bộ Nông nghiệp và Môi trường).</w:t>
      </w:r>
    </w:p>
    <w:p>
      <w:pPr>
        <w:spacing w:after="40" w:before="20"/>
        <w:ind w:left="720" w:hanging="357"/>
      </w:pPr>
      <w:r>
        <w:rPr>
          <w:sz w:val="20"/>
        </w:rPr>
        <w:t xml:space="preserve">• </w:t>
      </w:r>
      <w:r>
        <w:rPr>
          <w:b/>
        </w:rPr>
        <w:t>Mã dự án/CTXD:</w:t>
      </w:r>
      <w:r>
        <w:t>Mã số thông tin dự án, công trình xây dựng.</w:t>
      </w:r>
    </w:p>
    <w:p>
      <w:pPr>
        <w:spacing w:after="40" w:before="20"/>
        <w:ind w:left="720" w:hanging="357"/>
      </w:pPr>
      <w:r>
        <w:rPr>
          <w:sz w:val="20"/>
        </w:rPr>
        <w:t xml:space="preserve">• </w:t>
      </w:r>
      <w:r>
        <w:rPr>
          <w:b/>
        </w:rPr>
        <w:t>Mã địa điểm:</w:t>
      </w:r>
      <w:r>
        <w:t>Nếu có, theo quy định định danh địa điểm (Bộ Công an).</w:t>
      </w:r>
    </w:p>
    <w:p>
      <w:pPr>
        <w:spacing w:after="40" w:before="20"/>
        <w:ind w:left="720" w:hanging="357"/>
      </w:pPr>
      <w:r>
        <w:rPr>
          <w:sz w:val="20"/>
        </w:rPr>
        <w:t xml:space="preserve">• </w:t>
      </w:r>
      <w:r>
        <w:rPr>
          <w:b/>
        </w:rPr>
        <w:t>Dãy ký tự tự nhiên:</w:t>
      </w:r>
    </w:p>
    <w:p>
      <w:pPr>
        <w:spacing w:after="40" w:before="20"/>
        <w:ind w:left="720" w:hanging="357"/>
      </w:pPr>
      <w:r>
        <w:rPr>
          <w:sz w:val="20"/>
        </w:rPr>
        <w:t xml:space="preserve">• </w:t>
      </w:r>
      <w:r>
        <w:t>Nhà ở: 8 ký tự — số thứ tự sản phẩm trong dự án.</w:t>
      </w:r>
    </w:p>
    <w:p>
      <w:pPr>
        <w:spacing w:after="40" w:before="20"/>
        <w:ind w:left="720" w:hanging="357"/>
      </w:pPr>
      <w:r>
        <w:rPr>
          <w:sz w:val="20"/>
        </w:rPr>
        <w:t xml:space="preserve">• </w:t>
      </w:r>
      <w:r>
        <w:t>Phần diện tích sàn: 6 ký tự — liên kết với mã định danh công trình.</w:t>
      </w:r>
    </w:p>
    <w:p>
      <w:r>
        <w:rPr>
          <w:b/>
        </w:rPr>
        <w:t>Quy tắc format:</w:t>
      </w:r>
      <w:r>
        <w:br/>
        <w:t>- Tối đa 50 ký tự (NĐ ghi 40 tại Điều 3 khoản 5, nhưng Phụ lục I mục 1 ghi tối đa 50 ký tự).</w:t>
        <w:br/>
        <w:t>- Chỉ chứa: A-Z (chữ in hoa không dấu), 0-9, dấu gạch ngang (-).</w:t>
        <w:br/>
        <w:t>- Không chứa ký tự đặc biệt ngoài dấu gạch ngang.</w:t>
      </w:r>
    </w:p>
    <w:p>
      <w:pPr>
        <w:pStyle w:val="Heading4"/>
        <w:spacing w:before="240" w:after="160"/>
      </w:pPr>
      <w:r>
        <w:rPr>
          <w:rFonts w:ascii="Times New Roman" w:hAnsi="Times New Roman" w:eastAsia="Times New Roman"/>
          <w:color w:val="1A1A2E"/>
          <w:sz w:val="28"/>
        </w:rPr>
        <w:t>C.2. Tiêu chuẩn API kết nối</w:t>
      </w:r>
    </w:p>
    <w:p>
      <w:r>
        <w:t>Theo Điều 31 khoản 1 điểm a và Phụ lục II:</w:t>
        <w:br/>
        <w:t>- Giao thức: RESTful API (dự kiến, theo tiêu chuẩn Khung kiến trúc Chính phủ số).</w:t>
        <w:br/>
        <w:t>- Bảo mật: HTTPS, xác thực bằng chứng thư số, chữ ký số (Điều 32 khoản 2 điểm b).</w:t>
        <w:br/>
        <w:t>- Tần suất: Thời gian thực khi phát sinh biến động (Điều 31 khoản 2).</w:t>
        <w:br/>
        <w:t>- Metadata: Phải đăng tải đầy đủ lên từ điển dữ liệu dùng chung (Điều 31 khoản 3).</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D: Thư viện công cụ thực thi (Action Templates)</w:t>
      </w:r>
    </w:p>
    <w:p>
      <w:pPr>
        <w:pStyle w:val="Heading4"/>
        <w:spacing w:before="240" w:after="160"/>
      </w:pPr>
      <w:r>
        <w:rPr>
          <w:rFonts w:ascii="Times New Roman" w:hAnsi="Times New Roman" w:eastAsia="Times New Roman"/>
          <w:color w:val="1A1A2E"/>
          <w:sz w:val="28"/>
        </w:rPr>
        <w:t>D.1. Dự thảo tối hậu thư gửi đại lý F1</w:t>
      </w:r>
    </w:p>
    <w:p>
      <w:pPr>
        <w:spacing w:before="80" w:after="80"/>
        <w:ind w:left="850"/>
        <w:pBdr>
          <w:left w:val="single" w:sz="18" w:space="8" w:color="D0D7DE"/>
        </w:pBdr>
      </w:pPr>
      <w:r>
        <w:rPr>
          <w:i/>
          <w:color w:val="6A737D"/>
        </w:rPr>
        <w:t>Bản draft — cần Ban Pháp chế rà soát trước khi ban hành.</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rPr>
          <w:rFonts w:ascii="Consolas" w:hAnsi="Consolas"/>
          <w:color w:val="333333"/>
          <w:sz w:val="18"/>
        </w:rPr>
      </w:r>
      <w:r>
        <w:br/>
      </w:r>
      <w:r>
        <w:rPr>
          <w:rFonts w:ascii="Consolas" w:hAnsi="Consolas"/>
          <w:color w:val="333333"/>
          <w:sz w:val="18"/>
        </w:rPr>
        <w:t>Kính gửi: [Tên đại lý]</w:t>
      </w:r>
      <w:r>
        <w:br/>
      </w:r>
      <w:r>
        <w:rPr>
          <w:rFonts w:ascii="Consolas" w:hAnsi="Consolas"/>
          <w:color w:val="333333"/>
          <w:sz w:val="18"/>
        </w:rP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rPr>
          <w:rFonts w:ascii="Consolas" w:hAnsi="Consolas"/>
          <w:color w:val="333333"/>
          <w:sz w:val="18"/>
        </w:rPr>
      </w:r>
      <w:r>
        <w:br/>
      </w:r>
      <w:r>
        <w:rPr>
          <w:rFonts w:ascii="Consolas" w:hAnsi="Consolas"/>
          <w:color w:val="333333"/>
          <w:sz w:val="18"/>
        </w:rPr>
        <w:t>1. Kể từ ngày [___], tất cả nhân viên tham gia giao dịch sản phẩm</w:t>
      </w:r>
      <w:r>
        <w:br/>
      </w:r>
      <w:r>
        <w:rPr>
          <w:rFonts w:ascii="Consolas" w:hAnsi="Consolas"/>
          <w:color w:val="333333"/>
          <w:sz w:val="18"/>
        </w:rPr>
        <w:t xml:space="preserve">   Sun Group phải có chứng chỉ hành nghề môi giới BĐS và mã định</w:t>
      </w:r>
      <w:r>
        <w:br/>
      </w:r>
      <w:r>
        <w:rPr>
          <w:rFonts w:ascii="Consolas" w:hAnsi="Consolas"/>
          <w:color w:val="333333"/>
          <w:sz w:val="18"/>
        </w:rPr>
        <w:t xml:space="preserve">   danh điện tử theo Điều 11 NĐ 357.</w:t>
      </w:r>
      <w:r>
        <w:br/>
      </w:r>
      <w:r>
        <w:rPr>
          <w:rFonts w:ascii="Consolas" w:hAnsi="Consolas"/>
          <w:color w:val="333333"/>
          <w:sz w:val="18"/>
        </w:rP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rPr>
          <w:rFonts w:ascii="Consolas" w:hAnsi="Consolas"/>
          <w:color w:val="333333"/>
          <w:sz w:val="18"/>
        </w:rP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rPr>
          <w:rFonts w:ascii="Consolas" w:hAnsi="Consolas"/>
          <w:color w:val="333333"/>
          <w:sz w:val="18"/>
        </w:rPr>
      </w:r>
      <w:r>
        <w:br/>
      </w:r>
      <w:r>
        <w:rPr>
          <w:rFonts w:ascii="Consolas" w:hAnsi="Consolas"/>
          <w:color w:val="333333"/>
          <w:sz w:val="18"/>
        </w:rPr>
        <w:t>Trân trọng,</w:t>
      </w:r>
      <w:r>
        <w:br/>
      </w:r>
      <w:r>
        <w:rPr>
          <w:rFonts w:ascii="Consolas" w:hAnsi="Consolas"/>
          <w:color w:val="333333"/>
          <w:sz w:val="18"/>
        </w:rPr>
        <w:t>[Chữ ký]</w:t>
      </w:r>
    </w:p>
    <w:p>
      <w:pPr>
        <w:pStyle w:val="Heading4"/>
        <w:spacing w:before="240" w:after="160"/>
      </w:pPr>
      <w:r>
        <w:rPr>
          <w:rFonts w:ascii="Times New Roman" w:hAnsi="Times New Roman" w:eastAsia="Times New Roman"/>
          <w:color w:val="1A1A2E"/>
          <w:sz w:val="28"/>
        </w:rPr>
        <w:t>D.2. Các trường bắt buộc bổ sung vào biểu mẫu HĐMB</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Trường</w:t>
            </w:r>
          </w:p>
        </w:tc>
        <w:tc>
          <w:tcPr>
            <w:tcW w:type="dxa" w:w="2340"/>
            <w:shd w:fill="E2E8F0" w:val="clear"/>
          </w:tcPr>
          <w:p>
            <w:pPr>
              <w:spacing w:before="60" w:after="60"/>
            </w:pPr>
            <w:r>
              <w:rPr>
                <w:rFonts w:ascii="Times New Roman" w:hAnsi="Times New Roman"/>
                <w:b/>
                <w:sz w:val="20"/>
              </w:rPr>
              <w:t>Mô tả</w:t>
            </w:r>
          </w:p>
        </w:tc>
        <w:tc>
          <w:tcPr>
            <w:tcW w:type="dxa" w:w="2340"/>
            <w:shd w:fill="E2E8F0" w:val="clear"/>
          </w:tcPr>
          <w:p>
            <w:pPr>
              <w:spacing w:before="60" w:after="60"/>
            </w:pPr>
            <w:r>
              <w:rPr>
                <w:rFonts w:ascii="Times New Roman" w:hAnsi="Times New Roman"/>
                <w:b/>
                <w:sz w:val="20"/>
              </w:rPr>
              <w:t>Độ dài</w:t>
            </w:r>
          </w:p>
        </w:tc>
        <w:tc>
          <w:tcPr>
            <w:tcW w:type="dxa" w:w="2340"/>
            <w:shd w:fill="E2E8F0" w:val="clear"/>
          </w:tcPr>
          <w:p>
            <w:pPr>
              <w:spacing w:before="60" w:after="60"/>
            </w:pPr>
            <w:r>
              <w:rPr>
                <w:rFonts w:ascii="Times New Roman" w:hAnsi="Times New Roman"/>
                <w:b/>
                <w:sz w:val="20"/>
              </w:rPr>
              <w:t>Nguồn</w:t>
            </w:r>
          </w:p>
        </w:tc>
      </w:tr>
      <w:tr>
        <w:tc>
          <w:tcPr>
            <w:tcW w:type="dxa" w:w="2340"/>
          </w:tcPr>
          <w:p>
            <w:pPr>
              <w:spacing w:before="60" w:after="60"/>
            </w:pPr>
            <w:r>
              <w:rPr>
                <w:rFonts w:ascii="Times New Roman" w:hAnsi="Times New Roman"/>
                <w:sz w:val="20"/>
              </w:rPr>
              <w:t>ma_dinh_danh_bds</w:t>
            </w:r>
          </w:p>
        </w:tc>
        <w:tc>
          <w:tcPr>
            <w:tcW w:type="dxa" w:w="2340"/>
          </w:tcPr>
          <w:p>
            <w:pPr>
              <w:spacing w:before="60" w:after="60"/>
            </w:pPr>
            <w:r>
              <w:rPr>
                <w:rFonts w:ascii="Times New Roman" w:hAnsi="Times New Roman"/>
                <w:sz w:val="20"/>
              </w:rPr>
              <w:t>Mã định danh điện tử sản phẩm BĐS</w:t>
            </w:r>
          </w:p>
        </w:tc>
        <w:tc>
          <w:tcPr>
            <w:tcW w:type="dxa" w:w="2340"/>
          </w:tcPr>
          <w:p>
            <w:pPr>
              <w:spacing w:before="60" w:after="60"/>
            </w:pPr>
            <w:r>
              <w:rPr>
                <w:rFonts w:ascii="Times New Roman" w:hAnsi="Times New Roman"/>
                <w:sz w:val="20"/>
              </w:rPr>
              <w:t>Tối đa 40 ký tự</w:t>
            </w:r>
          </w:p>
        </w:tc>
        <w:tc>
          <w:tcPr>
            <w:tcW w:type="dxa" w:w="2340"/>
          </w:tcPr>
          <w:p>
            <w:pPr>
              <w:spacing w:before="60" w:after="60"/>
            </w:pPr>
            <w:r>
              <w:rPr>
                <w:rFonts w:ascii="Times New Roman" w:hAnsi="Times New Roman"/>
                <w:sz w:val="20"/>
              </w:rPr>
              <w:t>Cổng quốc gia</w:t>
            </w:r>
          </w:p>
        </w:tc>
      </w:tr>
      <w:tr>
        <w:tc>
          <w:tcPr>
            <w:tcW w:type="dxa" w:w="2340"/>
          </w:tcPr>
          <w:p>
            <w:pPr>
              <w:spacing w:before="60" w:after="60"/>
            </w:pPr>
            <w:r>
              <w:rPr>
                <w:rFonts w:ascii="Times New Roman" w:hAnsi="Times New Roman"/>
                <w:sz w:val="20"/>
              </w:rPr>
              <w:t>ma_moi_gioi</w:t>
            </w:r>
          </w:p>
        </w:tc>
        <w:tc>
          <w:tcPr>
            <w:tcW w:type="dxa" w:w="2340"/>
          </w:tcPr>
          <w:p>
            <w:pPr>
              <w:spacing w:before="60" w:after="60"/>
            </w:pPr>
            <w:r>
              <w:rPr>
                <w:rFonts w:ascii="Times New Roman" w:hAnsi="Times New Roman"/>
                <w:sz w:val="20"/>
              </w:rPr>
              <w:t>Mã định danh chứng chỉ hành nghề môi giới</w:t>
            </w:r>
          </w:p>
        </w:tc>
        <w:tc>
          <w:tcPr>
            <w:tcW w:type="dxa" w:w="2340"/>
          </w:tcPr>
          <w:p>
            <w:pPr>
              <w:spacing w:before="60" w:after="60"/>
            </w:pPr>
            <w:r>
              <w:rPr>
                <w:rFonts w:ascii="Times New Roman" w:hAnsi="Times New Roman"/>
                <w:sz w:val="20"/>
              </w:rPr>
              <w:t>17 ký tự</w:t>
            </w:r>
          </w:p>
        </w:tc>
        <w:tc>
          <w:tcPr>
            <w:tcW w:type="dxa" w:w="2340"/>
          </w:tcPr>
          <w:p>
            <w:pPr>
              <w:spacing w:before="60" w:after="60"/>
            </w:pPr>
            <w:r>
              <w:rPr>
                <w:rFonts w:ascii="Times New Roman" w:hAnsi="Times New Roman"/>
                <w:sz w:val="20"/>
              </w:rPr>
              <w:t>Sở Xây dựng</w:t>
            </w:r>
          </w:p>
        </w:tc>
      </w:tr>
      <w:tr>
        <w:tc>
          <w:tcPr>
            <w:tcW w:type="dxa" w:w="2340"/>
          </w:tcPr>
          <w:p>
            <w:pPr>
              <w:spacing w:before="60" w:after="60"/>
            </w:pPr>
            <w:r>
              <w:rPr>
                <w:rFonts w:ascii="Times New Roman" w:hAnsi="Times New Roman"/>
                <w:sz w:val="20"/>
              </w:rPr>
              <w:t>so_dinh_danh_ben_mua</w:t>
            </w:r>
          </w:p>
        </w:tc>
        <w:tc>
          <w:tcPr>
            <w:tcW w:type="dxa" w:w="2340"/>
          </w:tcPr>
          <w:p>
            <w:pPr>
              <w:spacing w:before="60" w:after="60"/>
            </w:pPr>
            <w:r>
              <w:rPr>
                <w:rFonts w:ascii="Times New Roman" w:hAnsi="Times New Roman"/>
                <w:sz w:val="20"/>
              </w:rPr>
              <w:t>Số định danh cá nhân/tổ chức bên mua</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r>
        <w:tc>
          <w:tcPr>
            <w:tcW w:type="dxa" w:w="2340"/>
          </w:tcPr>
          <w:p>
            <w:pPr>
              <w:spacing w:before="60" w:after="60"/>
            </w:pPr>
            <w:r>
              <w:rPr>
                <w:rFonts w:ascii="Times New Roman" w:hAnsi="Times New Roman"/>
                <w:sz w:val="20"/>
              </w:rPr>
              <w:t>so_dinh_danh_ben_ban</w:t>
            </w:r>
          </w:p>
        </w:tc>
        <w:tc>
          <w:tcPr>
            <w:tcW w:type="dxa" w:w="2340"/>
          </w:tcPr>
          <w:p>
            <w:pPr>
              <w:spacing w:before="60" w:after="60"/>
            </w:pPr>
            <w:r>
              <w:rPr>
                <w:rFonts w:ascii="Times New Roman" w:hAnsi="Times New Roman"/>
                <w:sz w:val="20"/>
              </w:rPr>
              <w:t>Số định danh cá nhân/tổ chức bên bán</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bl>
    <w:p>
      <w:pPr>
        <w:spacing w:before="0" w:after="80"/>
      </w:pPr>
    </w:p>
    <w:p>
      <w:pPr>
        <w:pStyle w:val="Heading4"/>
        <w:spacing w:before="240" w:after="160"/>
      </w:pPr>
      <w:r>
        <w:rPr>
          <w:rFonts w:ascii="Times New Roman" w:hAnsi="Times New Roman" w:eastAsia="Times New Roman"/>
          <w:color w:val="1A1A2E"/>
          <w:sz w:val="28"/>
        </w:rPr>
        <w:t>D.3. Lưu đồ quy trình chuẩn hóa thao tác</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E: Cơ sở kỹ thuật công nghệ blockchain (dành riêng cho Phần 5)</w:t>
      </w:r>
    </w:p>
    <w:p>
      <w:pPr>
        <w:spacing w:before="80" w:after="80"/>
        <w:ind w:left="850"/>
        <w:pBdr>
          <w:left w:val="single" w:sz="18" w:space="8" w:color="D0D7DE"/>
        </w:pBdr>
      </w:pPr>
      <w:r>
        <w:rPr>
          <w:i/>
          <w:color w:val="6A737D"/>
        </w:rPr>
        <w:t>Phụ lục này cung cấp nền tảng kỹ thuật làm cơ sở cho các phân tích và nhận định tại Phần 5 của báo cáo. Trình bày theo hướng ứng dụng thực tiễn, không đi sâu vào lý thuyết toán học.</w:t>
      </w:r>
    </w:p>
    <w:p>
      <w:pPr>
        <w:pStyle w:val="Heading4"/>
        <w:spacing w:before="240" w:after="160"/>
      </w:pPr>
      <w:r>
        <w:rPr>
          <w:rFonts w:ascii="Times New Roman" w:hAnsi="Times New Roman" w:eastAsia="Times New Roman"/>
          <w:color w:val="1A1A2E"/>
          <w:sz w:val="28"/>
        </w:rPr>
        <w:t>E.1. Nguyên lý hoạt động cốt lõi của blockchain</w:t>
      </w:r>
    </w:p>
    <w:p>
      <w:r>
        <w:rPr>
          <w:b/>
        </w:rPr>
        <w:t>Blockchain</w:t>
      </w:r>
      <w:r>
        <w:t xml:space="preserve"> (chuỗi khối) là một cơ sở dữ liệu phân tán (distributed database) trong đó dữ liệu được tổ chức thành các khối (block) liên kết với nhau theo trình tự thời gian thông qua hàm băm mật mã (cryptographic hash). Mỗi khối chứa:</w:t>
      </w:r>
    </w:p>
    <w:p>
      <w:pPr>
        <w:spacing w:after="40" w:before="20"/>
        <w:ind w:left="720" w:hanging="357"/>
      </w:pPr>
      <w:r>
        <w:rPr>
          <w:sz w:val="20"/>
        </w:rPr>
        <w:t xml:space="preserve">• </w:t>
      </w:r>
      <w:r>
        <w:rPr>
          <w:b/>
        </w:rPr>
        <w:t>Dữ liệu giao dịch:</w:t>
      </w:r>
      <w:r>
        <w:t>Thông tin về hành động được ghi nhận (ví dụ: chuyển nhượng quyền sở hữu BĐS).</w:t>
      </w:r>
    </w:p>
    <w:p>
      <w:pPr>
        <w:spacing w:after="40" w:before="20"/>
        <w:ind w:left="720" w:hanging="357"/>
      </w:pPr>
      <w:r>
        <w:rPr>
          <w:sz w:val="20"/>
        </w:rPr>
        <w:t xml:space="preserve">• </w:t>
      </w:r>
      <w:r>
        <w:rPr>
          <w:b/>
        </w:rPr>
        <w:t>Hash của khối trước:</w:t>
      </w:r>
      <w:r>
        <w:t>Chuỗi ký tự duy nhất đại diện cho khối liền trước, tạo thành “chuỗi” liên kết bất khả phá vỡ.</w:t>
      </w:r>
    </w:p>
    <w:p>
      <w:pPr>
        <w:spacing w:after="40" w:before="20"/>
        <w:ind w:left="720" w:hanging="357"/>
      </w:pPr>
      <w:r>
        <w:rPr>
          <w:sz w:val="20"/>
        </w:rPr>
        <w:t xml:space="preserve">• </w:t>
      </w:r>
      <w:r>
        <w:rPr>
          <w:b/>
        </w:rPr>
        <w:t>Dấu thời gian (timestamp):</w:t>
      </w:r>
      <w:r>
        <w:t>Thời điểm chính xác khối được tạo.</w:t>
      </w:r>
    </w:p>
    <w:p>
      <w:pPr>
        <w:spacing w:after="40" w:before="20"/>
        <w:ind w:left="720" w:hanging="357"/>
      </w:pPr>
      <w:r>
        <w:rPr>
          <w:sz w:val="20"/>
        </w:rPr>
        <w:t xml:space="preserve">• </w:t>
      </w:r>
      <w:r>
        <w:rPr>
          <w:b/>
        </w:rPr>
        <w:t>Nonce / Proof:</w:t>
      </w:r>
      <w:r>
        <w:t>Bằng chứng rằng khối đã được xác nhận bởi mạng lưới.</w:t>
      </w:r>
    </w:p>
    <w:p>
      <w:r>
        <w:rPr>
          <w:b/>
        </w:rPr>
        <w:t>Tại sao dữ liệu trên blockchain không thể bị thay đổi?</w:t>
      </w:r>
      <w:r>
        <w:t xml:space="preserve"> Khi một khối bị sửa đổi, hash của nó thay đổi, dẫn đến hash trong khối tiếp theo không khớp, và chuỗi phản ứng này lan ra toàn bộ các khối sau đó. Để giả mạo một bản ghi, kẻ tấn công phải tính toán lại hash của tất cả các khối sau đó và kiểm soát trên 50% nút mạng đồng thời — điều này gần như bất khả thi về mặt tính toán.</w:t>
      </w:r>
    </w:p>
    <w:p>
      <w:r>
        <w:rPr>
          <w:b/>
        </w:rPr>
        <w:t>Cơ chế đồng thuận (Consensus Mechanism):</w:t>
      </w:r>
      <w:r>
        <w:t xml:space="preserve"> Trước khi một khối mới được thêm vào chuỗi, các nút mạng (node) phải đạt đồng thuận rằng dữ liệu trong khối là hợp lệ. Các cơ chế phổ biến: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chế</w:t>
            </w:r>
          </w:p>
        </w:tc>
        <w:tc>
          <w:tcPr>
            <w:tcW w:type="dxa" w:w="1872"/>
            <w:shd w:fill="E2E8F0" w:val="clear"/>
          </w:tcPr>
          <w:p>
            <w:pPr>
              <w:spacing w:before="60" w:after="60"/>
            </w:pPr>
            <w:r>
              <w:rPr>
                <w:rFonts w:ascii="Times New Roman" w:hAnsi="Times New Roman"/>
                <w:b/>
                <w:sz w:val="20"/>
              </w:rPr>
              <w:t>Nguyên lý</w:t>
            </w:r>
          </w:p>
        </w:tc>
        <w:tc>
          <w:tcPr>
            <w:tcW w:type="dxa" w:w="1872"/>
            <w:shd w:fill="E2E8F0" w:val="clear"/>
          </w:tcPr>
          <w:p>
            <w:pPr>
              <w:spacing w:before="60" w:after="60"/>
            </w:pPr>
            <w:r>
              <w:rPr>
                <w:rFonts w:ascii="Times New Roman" w:hAnsi="Times New Roman"/>
                <w:b/>
                <w:sz w:val="20"/>
              </w:rPr>
              <w:t>Ưu điểm</w:t>
            </w:r>
          </w:p>
        </w:tc>
        <w:tc>
          <w:tcPr>
            <w:tcW w:type="dxa" w:w="1872"/>
            <w:shd w:fill="E2E8F0" w:val="clear"/>
          </w:tcPr>
          <w:p>
            <w:pPr>
              <w:spacing w:before="60" w:after="60"/>
            </w:pPr>
            <w:r>
              <w:rPr>
                <w:rFonts w:ascii="Times New Roman" w:hAnsi="Times New Roman"/>
                <w:b/>
                <w:sz w:val="20"/>
              </w:rPr>
              <w:t>Nhược điểm</w:t>
            </w:r>
          </w:p>
        </w:tc>
        <w:tc>
          <w:tcPr>
            <w:tcW w:type="dxa" w:w="1872"/>
            <w:shd w:fill="E2E8F0" w:val="clear"/>
          </w:tcPr>
          <w:p>
            <w:pPr>
              <w:spacing w:before="60" w:after="60"/>
            </w:pPr>
            <w:r>
              <w:rPr>
                <w:rFonts w:ascii="Times New Roman" w:hAnsi="Times New Roman"/>
                <w:b/>
                <w:sz w:val="20"/>
              </w:rPr>
              <w:t>Phù hợp cho</w:t>
            </w:r>
          </w:p>
        </w:tc>
      </w:tr>
      <w:tr>
        <w:tc>
          <w:tcPr>
            <w:tcW w:type="dxa" w:w="1872"/>
          </w:tcPr>
          <w:p>
            <w:pPr>
              <w:spacing w:before="60" w:after="60"/>
            </w:pPr>
            <w:r>
              <w:rPr>
                <w:rFonts w:ascii="Times New Roman" w:hAnsi="Times New Roman"/>
                <w:sz w:val="20"/>
              </w:rPr>
              <w:t>Proof of Work (PoW)</w:t>
            </w:r>
          </w:p>
        </w:tc>
        <w:tc>
          <w:tcPr>
            <w:tcW w:type="dxa" w:w="1872"/>
          </w:tcPr>
          <w:p>
            <w:pPr>
              <w:spacing w:before="60" w:after="60"/>
            </w:pPr>
            <w:r>
              <w:rPr>
                <w:rFonts w:ascii="Times New Roman" w:hAnsi="Times New Roman"/>
                <w:sz w:val="20"/>
              </w:rPr>
              <w:t>Giải bài toán tính toán phức tạp</w:t>
            </w:r>
          </w:p>
        </w:tc>
        <w:tc>
          <w:tcPr>
            <w:tcW w:type="dxa" w:w="1872"/>
          </w:tcPr>
          <w:p>
            <w:pPr>
              <w:spacing w:before="60" w:after="60"/>
            </w:pPr>
            <w:r>
              <w:rPr>
                <w:rFonts w:ascii="Times New Roman" w:hAnsi="Times New Roman"/>
                <w:sz w:val="20"/>
              </w:rPr>
              <w:t>Bảo mật cao nhất</w:t>
            </w:r>
          </w:p>
        </w:tc>
        <w:tc>
          <w:tcPr>
            <w:tcW w:type="dxa" w:w="1872"/>
          </w:tcPr>
          <w:p>
            <w:pPr>
              <w:spacing w:before="60" w:after="60"/>
            </w:pPr>
            <w:r>
              <w:rPr>
                <w:rFonts w:ascii="Times New Roman" w:hAnsi="Times New Roman"/>
                <w:sz w:val="20"/>
              </w:rPr>
              <w:t>Tiêu tốn năng lượng, chậm (7-30 TPS)</w:t>
            </w:r>
          </w:p>
        </w:tc>
        <w:tc>
          <w:tcPr>
            <w:tcW w:type="dxa" w:w="1872"/>
          </w:tcPr>
          <w:p>
            <w:pPr>
              <w:spacing w:before="60" w:after="60"/>
            </w:pPr>
            <w:r>
              <w:rPr>
                <w:rFonts w:ascii="Times New Roman" w:hAnsi="Times New Roman"/>
                <w:sz w:val="20"/>
              </w:rPr>
              <w:t>Bitcoin</w:t>
            </w:r>
          </w:p>
        </w:tc>
      </w:tr>
      <w:tr>
        <w:tc>
          <w:tcPr>
            <w:tcW w:type="dxa" w:w="1872"/>
          </w:tcPr>
          <w:p>
            <w:pPr>
              <w:spacing w:before="60" w:after="60"/>
            </w:pPr>
            <w:r>
              <w:rPr>
                <w:rFonts w:ascii="Times New Roman" w:hAnsi="Times New Roman"/>
                <w:sz w:val="20"/>
              </w:rPr>
              <w:t>Proof of Stake (PoS)</w:t>
            </w:r>
          </w:p>
        </w:tc>
        <w:tc>
          <w:tcPr>
            <w:tcW w:type="dxa" w:w="1872"/>
          </w:tcPr>
          <w:p>
            <w:pPr>
              <w:spacing w:before="60" w:after="60"/>
            </w:pPr>
            <w:r>
              <w:rPr>
                <w:rFonts w:ascii="Times New Roman" w:hAnsi="Times New Roman"/>
                <w:sz w:val="20"/>
              </w:rPr>
              <w:t>Đặt cọc tài sản số để xác nhận</w:t>
            </w:r>
          </w:p>
        </w:tc>
        <w:tc>
          <w:tcPr>
            <w:tcW w:type="dxa" w:w="1872"/>
          </w:tcPr>
          <w:p>
            <w:pPr>
              <w:spacing w:before="60" w:after="60"/>
            </w:pPr>
            <w:r>
              <w:rPr>
                <w:rFonts w:ascii="Times New Roman" w:hAnsi="Times New Roman"/>
                <w:sz w:val="20"/>
              </w:rPr>
              <w:t>Tiết kiệm năng lượng, nhanh hơn</w:t>
            </w:r>
          </w:p>
        </w:tc>
        <w:tc>
          <w:tcPr>
            <w:tcW w:type="dxa" w:w="1872"/>
          </w:tcPr>
          <w:p>
            <w:pPr>
              <w:spacing w:before="60" w:after="60"/>
            </w:pPr>
            <w:r>
              <w:rPr>
                <w:rFonts w:ascii="Times New Roman" w:hAnsi="Times New Roman"/>
                <w:sz w:val="20"/>
              </w:rPr>
              <w:t>Rủi ro tập trung hóa</w:t>
            </w:r>
          </w:p>
        </w:tc>
        <w:tc>
          <w:tcPr>
            <w:tcW w:type="dxa" w:w="1872"/>
          </w:tcPr>
          <w:p>
            <w:pPr>
              <w:spacing w:before="60" w:after="60"/>
            </w:pPr>
            <w:r>
              <w:rPr>
                <w:rFonts w:ascii="Times New Roman" w:hAnsi="Times New Roman"/>
                <w:sz w:val="20"/>
              </w:rPr>
              <w:t>Ethereum 2.0</w:t>
            </w:r>
          </w:p>
        </w:tc>
      </w:tr>
      <w:tr>
        <w:tc>
          <w:tcPr>
            <w:tcW w:type="dxa" w:w="1872"/>
          </w:tcPr>
          <w:p>
            <w:pPr>
              <w:spacing w:before="60" w:after="60"/>
            </w:pPr>
            <w:r>
              <w:rPr>
                <w:rFonts w:ascii="Times New Roman" w:hAnsi="Times New Roman"/>
                <w:sz w:val="20"/>
              </w:rPr>
              <w:t>PBFT / Raft</w:t>
            </w:r>
          </w:p>
        </w:tc>
        <w:tc>
          <w:tcPr>
            <w:tcW w:type="dxa" w:w="1872"/>
          </w:tcPr>
          <w:p>
            <w:pPr>
              <w:spacing w:before="60" w:after="60"/>
            </w:pPr>
            <w:r>
              <w:rPr>
                <w:rFonts w:ascii="Times New Roman" w:hAnsi="Times New Roman"/>
                <w:sz w:val="20"/>
              </w:rPr>
              <w:t>Các nút được phép bỏ phiếu đồng thuận</w:t>
            </w:r>
          </w:p>
        </w:tc>
        <w:tc>
          <w:tcPr>
            <w:tcW w:type="dxa" w:w="1872"/>
          </w:tcPr>
          <w:p>
            <w:pPr>
              <w:spacing w:before="60" w:after="60"/>
            </w:pPr>
            <w:r>
              <w:rPr>
                <w:rFonts w:ascii="Times New Roman" w:hAnsi="Times New Roman"/>
                <w:sz w:val="20"/>
              </w:rPr>
              <w:t>Nhanh (3.000-20.000 TPS), kiểm soát được</w:t>
            </w:r>
          </w:p>
        </w:tc>
        <w:tc>
          <w:tcPr>
            <w:tcW w:type="dxa" w:w="1872"/>
          </w:tcPr>
          <w:p>
            <w:pPr>
              <w:spacing w:before="60" w:after="60"/>
            </w:pPr>
            <w:r>
              <w:rPr>
                <w:rFonts w:ascii="Times New Roman" w:hAnsi="Times New Roman"/>
                <w:sz w:val="20"/>
              </w:rPr>
              <w:t>Yêu cầu danh sách nút cố định</w:t>
            </w:r>
          </w:p>
        </w:tc>
        <w:tc>
          <w:tcPr>
            <w:tcW w:type="dxa" w:w="1872"/>
          </w:tcPr>
          <w:p>
            <w:pPr>
              <w:spacing w:before="60" w:after="60"/>
            </w:pPr>
            <w:r>
              <w:rPr>
                <w:rFonts w:ascii="Times New Roman" w:hAnsi="Times New Roman"/>
                <w:sz w:val="20"/>
              </w:rPr>
              <w:t>Hyperledger Fabric — phù hợp cho hệ thống nhà nước</w:t>
            </w:r>
          </w:p>
        </w:tc>
      </w:tr>
    </w:tbl>
    <w:p>
      <w:pPr>
        <w:spacing w:before="0" w:after="80"/>
      </w:pPr>
    </w:p>
    <w:p>
      <w:pPr>
        <w:pStyle w:val="Heading4"/>
        <w:spacing w:before="240" w:after="160"/>
      </w:pPr>
      <w:r>
        <w:rPr>
          <w:rFonts w:ascii="Times New Roman" w:hAnsi="Times New Roman" w:eastAsia="Times New Roman"/>
          <w:color w:val="1A1A2E"/>
          <w:sz w:val="28"/>
        </w:rPr>
        <w:t>E.2. Blockchain công khai (Public) và blockchain có phép (Permissioned) — So sánh ứng dụng cho BĐS</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Tiêu chí</w:t>
            </w:r>
          </w:p>
        </w:tc>
        <w:tc>
          <w:tcPr>
            <w:tcW w:type="dxa" w:w="2340"/>
            <w:shd w:fill="E2E8F0" w:val="clear"/>
          </w:tcPr>
          <w:p>
            <w:pPr>
              <w:spacing w:before="60" w:after="60"/>
            </w:pPr>
            <w:r>
              <w:rPr>
                <w:rFonts w:ascii="Times New Roman" w:hAnsi="Times New Roman"/>
                <w:b/>
                <w:sz w:val="20"/>
              </w:rPr>
              <w:t>Blockchain công khai</w:t>
            </w:r>
          </w:p>
        </w:tc>
        <w:tc>
          <w:tcPr>
            <w:tcW w:type="dxa" w:w="2340"/>
            <w:shd w:fill="E2E8F0" w:val="clear"/>
          </w:tcPr>
          <w:p>
            <w:pPr>
              <w:spacing w:before="60" w:after="60"/>
            </w:pPr>
            <w:r>
              <w:rPr>
                <w:rFonts w:ascii="Times New Roman" w:hAnsi="Times New Roman"/>
                <w:b/>
                <w:sz w:val="20"/>
              </w:rPr>
              <w:t>Blockchain có phép (Permissioned)</w:t>
            </w:r>
          </w:p>
        </w:tc>
        <w:tc>
          <w:tcPr>
            <w:tcW w:type="dxa" w:w="2340"/>
            <w:shd w:fill="E2E8F0" w:val="clear"/>
          </w:tcPr>
          <w:p>
            <w:pPr>
              <w:spacing w:before="60" w:after="60"/>
            </w:pPr>
            <w:r>
              <w:rPr>
                <w:rFonts w:ascii="Times New Roman" w:hAnsi="Times New Roman"/>
                <w:b/>
                <w:sz w:val="20"/>
              </w:rPr>
              <w:t>Nhận định cho NĐ 357</w:t>
            </w:r>
          </w:p>
        </w:tc>
      </w:tr>
      <w:tr>
        <w:tc>
          <w:tcPr>
            <w:tcW w:type="dxa" w:w="2340"/>
          </w:tcPr>
          <w:p>
            <w:pPr>
              <w:spacing w:before="60" w:after="60"/>
            </w:pPr>
            <w:r>
              <w:rPr>
                <w:rFonts w:ascii="Times New Roman" w:hAnsi="Times New Roman"/>
                <w:sz w:val="20"/>
              </w:rPr>
              <w:t>Quyền tham gia</w:t>
            </w:r>
          </w:p>
        </w:tc>
        <w:tc>
          <w:tcPr>
            <w:tcW w:type="dxa" w:w="2340"/>
          </w:tcPr>
          <w:p>
            <w:pPr>
              <w:spacing w:before="60" w:after="60"/>
            </w:pPr>
            <w:r>
              <w:rPr>
                <w:rFonts w:ascii="Times New Roman" w:hAnsi="Times New Roman"/>
                <w:sz w:val="20"/>
              </w:rPr>
              <w:t>Bất kỳ ai đều có thể tham gia</w:t>
            </w:r>
          </w:p>
        </w:tc>
        <w:tc>
          <w:tcPr>
            <w:tcW w:type="dxa" w:w="2340"/>
          </w:tcPr>
          <w:p>
            <w:pPr>
              <w:spacing w:before="60" w:after="60"/>
            </w:pPr>
            <w:r>
              <w:rPr>
                <w:rFonts w:ascii="Times New Roman" w:hAnsi="Times New Roman"/>
                <w:sz w:val="20"/>
              </w:rPr>
              <w:t>Chỉ các tổ chức được cấp phép</w:t>
            </w:r>
          </w:p>
        </w:tc>
        <w:tc>
          <w:tcPr>
            <w:tcW w:type="dxa" w:w="2340"/>
          </w:tcPr>
          <w:p>
            <w:pPr>
              <w:spacing w:before="60" w:after="60"/>
            </w:pPr>
            <w:r>
              <w:rPr>
                <w:rFonts w:ascii="Times New Roman" w:hAnsi="Times New Roman"/>
                <w:sz w:val="20"/>
              </w:rPr>
              <w:t>✅ NĐ 357 yêu cầu quản lý tập trung bởi Bộ Xây dựng → permissioned phù hợp</w:t>
            </w:r>
          </w:p>
        </w:tc>
      </w:tr>
      <w:tr>
        <w:tc>
          <w:tcPr>
            <w:tcW w:type="dxa" w:w="2340"/>
          </w:tcPr>
          <w:p>
            <w:pPr>
              <w:spacing w:before="60" w:after="60"/>
            </w:pPr>
            <w:r>
              <w:rPr>
                <w:rFonts w:ascii="Times New Roman" w:hAnsi="Times New Roman"/>
                <w:sz w:val="20"/>
              </w:rPr>
              <w:t>Tốc độ xử lý</w:t>
            </w:r>
          </w:p>
        </w:tc>
        <w:tc>
          <w:tcPr>
            <w:tcW w:type="dxa" w:w="2340"/>
          </w:tcPr>
          <w:p>
            <w:pPr>
              <w:spacing w:before="60" w:after="60"/>
            </w:pPr>
            <w:r>
              <w:rPr>
                <w:rFonts w:ascii="Times New Roman" w:hAnsi="Times New Roman"/>
                <w:sz w:val="20"/>
              </w:rPr>
              <w:t>15-30 TPS (Ethereum L1)</w:t>
            </w:r>
          </w:p>
        </w:tc>
        <w:tc>
          <w:tcPr>
            <w:tcW w:type="dxa" w:w="2340"/>
          </w:tcPr>
          <w:p>
            <w:pPr>
              <w:spacing w:before="60" w:after="60"/>
            </w:pPr>
            <w:r>
              <w:rPr>
                <w:rFonts w:ascii="Times New Roman" w:hAnsi="Times New Roman"/>
                <w:sz w:val="20"/>
              </w:rPr>
              <w:t>3.000-20.000 TPS</w:t>
            </w:r>
          </w:p>
        </w:tc>
        <w:tc>
          <w:tcPr>
            <w:tcW w:type="dxa" w:w="2340"/>
          </w:tcPr>
          <w:p>
            <w:pPr>
              <w:spacing w:before="60" w:after="60"/>
            </w:pPr>
            <w:r>
              <w:rPr>
                <w:rFonts w:ascii="Times New Roman" w:hAnsi="Times New Roman"/>
                <w:sz w:val="20"/>
              </w:rPr>
              <w:t>✅ Đủ đáp ứng hàng triệu giao dịch/năm</w:t>
            </w:r>
          </w:p>
        </w:tc>
      </w:tr>
      <w:tr>
        <w:tc>
          <w:tcPr>
            <w:tcW w:type="dxa" w:w="2340"/>
          </w:tcPr>
          <w:p>
            <w:pPr>
              <w:spacing w:before="60" w:after="60"/>
            </w:pPr>
            <w:r>
              <w:rPr>
                <w:rFonts w:ascii="Times New Roman" w:hAnsi="Times New Roman"/>
                <w:sz w:val="20"/>
              </w:rPr>
              <w:t>Bảo mật dữ liệu</w:t>
            </w:r>
          </w:p>
        </w:tc>
        <w:tc>
          <w:tcPr>
            <w:tcW w:type="dxa" w:w="2340"/>
          </w:tcPr>
          <w:p>
            <w:pPr>
              <w:spacing w:before="60" w:after="60"/>
            </w:pPr>
            <w:r>
              <w:rPr>
                <w:rFonts w:ascii="Times New Roman" w:hAnsi="Times New Roman"/>
                <w:sz w:val="20"/>
              </w:rPr>
              <w:t>Dữ liệu công khai cho mọi người</w:t>
            </w:r>
          </w:p>
        </w:tc>
        <w:tc>
          <w:tcPr>
            <w:tcW w:type="dxa" w:w="2340"/>
          </w:tcPr>
          <w:p>
            <w:pPr>
              <w:spacing w:before="60" w:after="60"/>
            </w:pPr>
            <w:r>
              <w:rPr>
                <w:rFonts w:ascii="Times New Roman" w:hAnsi="Times New Roman"/>
                <w:sz w:val="20"/>
              </w:rPr>
              <w:t>Phân quyền theo vai trò</w:t>
            </w:r>
          </w:p>
        </w:tc>
        <w:tc>
          <w:tcPr>
            <w:tcW w:type="dxa" w:w="2340"/>
          </w:tcPr>
          <w:p>
            <w:pPr>
              <w:spacing w:before="60" w:after="60"/>
            </w:pPr>
            <w:r>
              <w:rPr>
                <w:rFonts w:ascii="Times New Roman" w:hAnsi="Times New Roman"/>
                <w:sz w:val="20"/>
              </w:rPr>
              <w:t>✅ Phù hợp yêu cầu bảo vệ dữ liệu cá nhân (Điều 4 khoản 7)</w:t>
            </w:r>
          </w:p>
        </w:tc>
      </w:tr>
      <w:tr>
        <w:tc>
          <w:tcPr>
            <w:tcW w:type="dxa" w:w="2340"/>
          </w:tcPr>
          <w:p>
            <w:pPr>
              <w:spacing w:before="60" w:after="60"/>
            </w:pPr>
            <w:r>
              <w:rPr>
                <w:rFonts w:ascii="Times New Roman" w:hAnsi="Times New Roman"/>
                <w:sz w:val="20"/>
              </w:rPr>
              <w:t>Chi phí giao dịch</w:t>
            </w:r>
          </w:p>
        </w:tc>
        <w:tc>
          <w:tcPr>
            <w:tcW w:type="dxa" w:w="2340"/>
          </w:tcPr>
          <w:p>
            <w:pPr>
              <w:spacing w:before="60" w:after="60"/>
            </w:pPr>
            <w:r>
              <w:rPr>
                <w:rFonts w:ascii="Times New Roman" w:hAnsi="Times New Roman"/>
                <w:sz w:val="20"/>
              </w:rPr>
              <w:t>Phí gas biến động (1-50 USD/tx)</w:t>
            </w:r>
          </w:p>
        </w:tc>
        <w:tc>
          <w:tcPr>
            <w:tcW w:type="dxa" w:w="2340"/>
          </w:tcPr>
          <w:p>
            <w:pPr>
              <w:spacing w:before="60" w:after="60"/>
            </w:pPr>
            <w:r>
              <w:rPr>
                <w:rFonts w:ascii="Times New Roman" w:hAnsi="Times New Roman"/>
                <w:sz w:val="20"/>
              </w:rPr>
              <w:t>Gần bằng 0 (self-hosted)</w:t>
            </w:r>
          </w:p>
        </w:tc>
        <w:tc>
          <w:tcPr>
            <w:tcW w:type="dxa" w:w="2340"/>
          </w:tcPr>
          <w:p>
            <w:pPr>
              <w:spacing w:before="60" w:after="60"/>
            </w:pPr>
            <w:r>
              <w:rPr>
                <w:rFonts w:ascii="Times New Roman" w:hAnsi="Times New Roman"/>
                <w:sz w:val="20"/>
              </w:rPr>
              <w:t>✅ Tiết kiệm chi phí vận hành</w:t>
            </w:r>
          </w:p>
        </w:tc>
      </w:tr>
      <w:tr>
        <w:tc>
          <w:tcPr>
            <w:tcW w:type="dxa" w:w="2340"/>
          </w:tcPr>
          <w:p>
            <w:pPr>
              <w:spacing w:before="60" w:after="60"/>
            </w:pPr>
            <w:r>
              <w:rPr>
                <w:rFonts w:ascii="Times New Roman" w:hAnsi="Times New Roman"/>
                <w:sz w:val="20"/>
              </w:rPr>
              <w:t>Kiểm soát / Quản trị</w:t>
            </w:r>
          </w:p>
        </w:tc>
        <w:tc>
          <w:tcPr>
            <w:tcW w:type="dxa" w:w="2340"/>
          </w:tcPr>
          <w:p>
            <w:pPr>
              <w:spacing w:before="60" w:after="60"/>
            </w:pPr>
            <w:r>
              <w:rPr>
                <w:rFonts w:ascii="Times New Roman" w:hAnsi="Times New Roman"/>
                <w:sz w:val="20"/>
              </w:rPr>
              <w:t>Phi tập trung, không ai kiểm soát</w:t>
            </w:r>
          </w:p>
        </w:tc>
        <w:tc>
          <w:tcPr>
            <w:tcW w:type="dxa" w:w="2340"/>
          </w:tcPr>
          <w:p>
            <w:pPr>
              <w:spacing w:before="60" w:after="60"/>
            </w:pPr>
            <w:r>
              <w:rPr>
                <w:rFonts w:ascii="Times New Roman" w:hAnsi="Times New Roman"/>
                <w:sz w:val="20"/>
              </w:rPr>
              <w:t>Cơ quan chủ quản kiểm soát node</w:t>
            </w:r>
          </w:p>
        </w:tc>
        <w:tc>
          <w:tcPr>
            <w:tcW w:type="dxa" w:w="2340"/>
          </w:tcPr>
          <w:p>
            <w:pPr>
              <w:spacing w:before="60" w:after="60"/>
            </w:pPr>
            <w:r>
              <w:rPr>
                <w:rFonts w:ascii="Times New Roman" w:hAnsi="Times New Roman"/>
                <w:sz w:val="20"/>
              </w:rPr>
              <w:t>✅ Bộ Xây dựng vẫn giữ quyền quản lý (Điều 7 khoản 2-3)</w:t>
            </w:r>
          </w:p>
        </w:tc>
      </w:tr>
      <w:tr>
        <w:tc>
          <w:tcPr>
            <w:tcW w:type="dxa" w:w="2340"/>
          </w:tcPr>
          <w:p>
            <w:pPr>
              <w:spacing w:before="60" w:after="60"/>
            </w:pPr>
            <w:r>
              <w:rPr>
                <w:rFonts w:ascii="Times New Roman" w:hAnsi="Times New Roman"/>
                <w:sz w:val="20"/>
              </w:rPr>
              <w:t>Nền tảng tiêu biểu</w:t>
            </w:r>
          </w:p>
        </w:tc>
        <w:tc>
          <w:tcPr>
            <w:tcW w:type="dxa" w:w="2340"/>
          </w:tcPr>
          <w:p>
            <w:pPr>
              <w:spacing w:before="60" w:after="60"/>
            </w:pPr>
            <w:r>
              <w:rPr>
                <w:rFonts w:ascii="Times New Roman" w:hAnsi="Times New Roman"/>
                <w:sz w:val="20"/>
              </w:rPr>
              <w:t>Ethereum, Solana, Polygon</w:t>
            </w:r>
          </w:p>
        </w:tc>
        <w:tc>
          <w:tcPr>
            <w:tcW w:type="dxa" w:w="2340"/>
          </w:tcPr>
          <w:p>
            <w:pPr>
              <w:spacing w:before="60" w:after="60"/>
            </w:pPr>
            <w:r>
              <w:rPr>
                <w:rFonts w:ascii="Times New Roman" w:hAnsi="Times New Roman"/>
                <w:sz w:val="20"/>
              </w:rPr>
              <w:t>Hyperledger Fabric, Corda, Quorum</w:t>
            </w:r>
          </w:p>
        </w:tc>
        <w:tc>
          <w:tcPr>
            <w:tcW w:type="dxa" w:w="2340"/>
          </w:tcPr>
          <w:p>
            <w:pPr>
              <w:spacing w:before="60" w:after="60"/>
            </w:pPr>
            <w:r>
              <w:rPr>
                <w:rFonts w:ascii="Times New Roman" w:hAnsi="Times New Roman"/>
                <w:sz w:val="20"/>
              </w:rPr>
              <w:t>Hyperledger Fabric là lựa chọn ưu tiên cho chính phủ</w:t>
            </w:r>
          </w:p>
        </w:tc>
      </w:tr>
    </w:tbl>
    <w:p>
      <w:pPr>
        <w:spacing w:before="0" w:after="80"/>
      </w:pPr>
    </w:p>
    <w:p>
      <w:r>
        <w:rPr>
          <w:b/>
        </w:rPr>
        <w:t>Kết luận kỹ thuật:</w:t>
      </w:r>
      <w:r>
        <w:t xml:space="preserve"> Đối với hệ thống định danh BĐS quốc gia, </w:t>
      </w:r>
      <w:r>
        <w:rPr>
          <w:b/>
        </w:rPr>
        <w:t>blockchain permissioned</w:t>
      </w:r>
      <w:r>
        <w:t xml:space="preserve"> (cụ thể là Hyperledger Fabric hoặc giải pháp tương đương) là kiến trúc phù hợp nhất — vừa kế thừa ưu điểm bất biến và truy xuất nguồn gốc, vừa tuân thủ mô hình quản lý tập trung mà NĐ 357 quy định.</w:t>
      </w:r>
    </w:p>
    <w:p>
      <w:pPr>
        <w:pStyle w:val="Heading4"/>
        <w:spacing w:before="240" w:after="160"/>
      </w:pPr>
      <w:r>
        <w:rPr>
          <w:rFonts w:ascii="Times New Roman" w:hAnsi="Times New Roman" w:eastAsia="Times New Roman"/>
          <w:color w:val="1A1A2E"/>
          <w:sz w:val="28"/>
        </w:rPr>
        <w:t>E.3. Hợp đồng thông minh (Smart Contract) và ứng dụng cho giao dịch BĐS</w:t>
      </w:r>
    </w:p>
    <w:p>
      <w:r>
        <w:rPr>
          <w:b/>
        </w:rPr>
        <w:t>Hợp đồng thông minh</w:t>
      </w:r>
      <w:r>
        <w:t xml:space="preserve"> là chương trình phần mềm tự thực thi được lưu trữ trên blockchain. Khi các điều kiện được lập trình sẵn được đáp ứng, hợp đồng tự động thực hiện mà không cần trung gian.</w:t>
      </w:r>
    </w:p>
    <w:p>
      <w:r>
        <w:rPr>
          <w:b/>
        </w:rPr>
        <w:t>Ứng dụng tiềm năng cho hệ sinh thái Sun Group:</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Quy trình hiện tại</w:t>
            </w:r>
          </w:p>
        </w:tc>
        <w:tc>
          <w:tcPr>
            <w:tcW w:type="dxa" w:w="3120"/>
            <w:shd w:fill="E2E8F0" w:val="clear"/>
          </w:tcPr>
          <w:p>
            <w:pPr>
              <w:spacing w:before="60" w:after="60"/>
            </w:pPr>
            <w:r>
              <w:rPr>
                <w:rFonts w:ascii="Times New Roman" w:hAnsi="Times New Roman"/>
                <w:b/>
                <w:sz w:val="20"/>
              </w:rPr>
              <w:t>Giải pháp Smart Contract</w:t>
            </w:r>
          </w:p>
        </w:tc>
        <w:tc>
          <w:tcPr>
            <w:tcW w:type="dxa" w:w="3120"/>
            <w:shd w:fill="E2E8F0" w:val="clear"/>
          </w:tcPr>
          <w:p>
            <w:pPr>
              <w:spacing w:before="60" w:after="60"/>
            </w:pPr>
            <w:r>
              <w:rPr>
                <w:rFonts w:ascii="Times New Roman" w:hAnsi="Times New Roman"/>
                <w:b/>
                <w:sz w:val="20"/>
              </w:rPr>
              <w:t>Lợi ích</w:t>
            </w:r>
          </w:p>
        </w:tc>
      </w:tr>
      <w:tr>
        <w:tc>
          <w:tcPr>
            <w:tcW w:type="dxa" w:w="3120"/>
          </w:tcPr>
          <w:p>
            <w:pPr>
              <w:spacing w:before="60" w:after="60"/>
            </w:pPr>
            <w:r>
              <w:rPr>
                <w:rFonts w:ascii="Times New Roman" w:hAnsi="Times New Roman"/>
                <w:sz w:val="20"/>
              </w:rPr>
              <w:t>Xác nhận quyền sở hữu qua công chứng → 5-15 ngày</w:t>
            </w:r>
          </w:p>
        </w:tc>
        <w:tc>
          <w:tcPr>
            <w:tcW w:type="dxa" w:w="3120"/>
          </w:tcPr>
          <w:p>
            <w:pPr>
              <w:spacing w:before="60" w:after="60"/>
            </w:pPr>
            <w:r>
              <w:rPr>
                <w:rFonts w:ascii="Times New Roman" w:hAnsi="Times New Roman"/>
                <w:sz w:val="20"/>
              </w:rPr>
              <w:t>Smart contract tự động xác minh lịch sử sở hữu on-chain → tức thời</w:t>
            </w:r>
          </w:p>
        </w:tc>
        <w:tc>
          <w:tcPr>
            <w:tcW w:type="dxa" w:w="3120"/>
          </w:tcPr>
          <w:p>
            <w:pPr>
              <w:spacing w:before="60" w:after="60"/>
            </w:pPr>
            <w:r>
              <w:rPr>
                <w:rFonts w:ascii="Times New Roman" w:hAnsi="Times New Roman"/>
                <w:sz w:val="20"/>
              </w:rPr>
              <w:t>Giảm 80-90% thời gian xác nhận</w:t>
            </w:r>
          </w:p>
        </w:tc>
      </w:tr>
      <w:tr>
        <w:tc>
          <w:tcPr>
            <w:tcW w:type="dxa" w:w="3120"/>
          </w:tcPr>
          <w:p>
            <w:pPr>
              <w:spacing w:before="60" w:after="60"/>
            </w:pPr>
            <w:r>
              <w:rPr>
                <w:rFonts w:ascii="Times New Roman" w:hAnsi="Times New Roman"/>
                <w:sz w:val="20"/>
              </w:rPr>
              <w:t>Chia sẻ doanh thu rental pool → đối soát thủ công hằng tháng</w:t>
            </w:r>
          </w:p>
        </w:tc>
        <w:tc>
          <w:tcPr>
            <w:tcW w:type="dxa" w:w="3120"/>
          </w:tcPr>
          <w:p>
            <w:pPr>
              <w:spacing w:before="60" w:after="60"/>
            </w:pPr>
            <w:r>
              <w:rPr>
                <w:rFonts w:ascii="Times New Roman" w:hAnsi="Times New Roman"/>
                <w:sz w:val="20"/>
              </w:rPr>
              <w:t>Smart contract tự động phân chia doanh thu theo tỷ lệ khi nhận thanh toán</w:t>
            </w:r>
          </w:p>
        </w:tc>
        <w:tc>
          <w:tcPr>
            <w:tcW w:type="dxa" w:w="3120"/>
          </w:tcPr>
          <w:p>
            <w:pPr>
              <w:spacing w:before="60" w:after="60"/>
            </w:pPr>
            <w:r>
              <w:rPr>
                <w:rFonts w:ascii="Times New Roman" w:hAnsi="Times New Roman"/>
                <w:sz w:val="20"/>
              </w:rPr>
              <w:t>Loại bỏ tranh chấp chia doanh thu, giảm nhân lực đối soát</w:t>
            </w:r>
          </w:p>
        </w:tc>
      </w:tr>
      <w:tr>
        <w:tc>
          <w:tcPr>
            <w:tcW w:type="dxa" w:w="3120"/>
          </w:tcPr>
          <w:p>
            <w:pPr>
              <w:spacing w:before="60" w:after="60"/>
            </w:pPr>
            <w:r>
              <w:rPr>
                <w:rFonts w:ascii="Times New Roman" w:hAnsi="Times New Roman"/>
                <w:sz w:val="20"/>
              </w:rPr>
              <w:t>Chuyển nhượng thứ cấp → qua nhiều trung gian (môi giới, công chứng, ngân hàng)</w:t>
            </w:r>
          </w:p>
        </w:tc>
        <w:tc>
          <w:tcPr>
            <w:tcW w:type="dxa" w:w="3120"/>
          </w:tcPr>
          <w:p>
            <w:pPr>
              <w:spacing w:before="60" w:after="60"/>
            </w:pPr>
            <w:r>
              <w:rPr>
                <w:rFonts w:ascii="Times New Roman" w:hAnsi="Times New Roman"/>
                <w:sz w:val="20"/>
              </w:rPr>
              <w:t>Escrow smart contract — tiền và quyền sở hữu chuyển đồng thời khi đủ điều kiện</w:t>
            </w:r>
          </w:p>
        </w:tc>
        <w:tc>
          <w:tcPr>
            <w:tcW w:type="dxa" w:w="3120"/>
          </w:tcPr>
          <w:p>
            <w:pPr>
              <w:spacing w:before="60" w:after="60"/>
            </w:pPr>
            <w:r>
              <w:rPr>
                <w:rFonts w:ascii="Times New Roman" w:hAnsi="Times New Roman"/>
                <w:sz w:val="20"/>
              </w:rPr>
              <w:t>Giảm chi phí trung gian, tăng tốc giao dịch</w:t>
            </w:r>
          </w:p>
        </w:tc>
      </w:tr>
      <w:tr>
        <w:tc>
          <w:tcPr>
            <w:tcW w:type="dxa" w:w="3120"/>
          </w:tcPr>
          <w:p>
            <w:pPr>
              <w:spacing w:before="60" w:after="60"/>
            </w:pPr>
            <w:r>
              <w:rPr>
                <w:rFonts w:ascii="Times New Roman" w:hAnsi="Times New Roman"/>
                <w:sz w:val="20"/>
              </w:rPr>
              <w:t>Kiểm tra mã định danh môi giới → tra cứu thủ công trên Sở Xây dựng</w:t>
            </w:r>
          </w:p>
        </w:tc>
        <w:tc>
          <w:tcPr>
            <w:tcW w:type="dxa" w:w="3120"/>
          </w:tcPr>
          <w:p>
            <w:pPr>
              <w:spacing w:before="60" w:after="60"/>
            </w:pPr>
            <w:r>
              <w:rPr>
                <w:rFonts w:ascii="Times New Roman" w:hAnsi="Times New Roman"/>
                <w:sz w:val="20"/>
              </w:rPr>
              <w:t>Smart contract tự động xác thực mã 17 ký tự trước khi cho phép giao dịch</w:t>
            </w:r>
          </w:p>
        </w:tc>
        <w:tc>
          <w:tcPr>
            <w:tcW w:type="dxa" w:w="3120"/>
          </w:tcPr>
          <w:p>
            <w:pPr>
              <w:spacing w:before="60" w:after="60"/>
            </w:pPr>
            <w:r>
              <w:rPr>
                <w:rFonts w:ascii="Times New Roman" w:hAnsi="Times New Roman"/>
                <w:sz w:val="20"/>
              </w:rPr>
              <w:t>Rule-block tự động, không cần nhân sự giám sát</w:t>
            </w:r>
          </w:p>
        </w:tc>
      </w:tr>
    </w:tbl>
    <w:p>
      <w:pPr>
        <w:spacing w:before="0" w:after="80"/>
      </w:pPr>
    </w:p>
    <w:p>
      <w:pPr>
        <w:pStyle w:val="Heading4"/>
        <w:spacing w:before="240" w:after="160"/>
      </w:pPr>
      <w:r>
        <w:rPr>
          <w:rFonts w:ascii="Times New Roman" w:hAnsi="Times New Roman" w:eastAsia="Times New Roman"/>
          <w:color w:val="1A1A2E"/>
          <w:sz w:val="28"/>
        </w:rPr>
        <w:t>E.4. Khả năng mở rộng (Scalability) — Dữ liệu hiệu năng thực tế</w:t>
      </w:r>
    </w:p>
    <w:p>
      <w:r>
        <w:t>Một trong những quan ngại lớn nhất khi áp dụng blockchain ở quy mô quốc gia là hiệu năng xử lý. Bảng dưới đây tổng hợp dữ liệu hiệu năng thực tế của các nền tảng blockchain phổ biến: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Nền tảng</w:t>
            </w:r>
          </w:p>
        </w:tc>
        <w:tc>
          <w:tcPr>
            <w:tcW w:type="dxa" w:w="1872"/>
            <w:shd w:fill="E2E8F0" w:val="clear"/>
          </w:tcPr>
          <w:p>
            <w:pPr>
              <w:spacing w:before="60" w:after="60"/>
            </w:pPr>
            <w:r>
              <w:rPr>
                <w:rFonts w:ascii="Times New Roman" w:hAnsi="Times New Roman"/>
                <w:b/>
                <w:sz w:val="20"/>
              </w:rPr>
              <w:t>Loại</w:t>
            </w:r>
          </w:p>
        </w:tc>
        <w:tc>
          <w:tcPr>
            <w:tcW w:type="dxa" w:w="1872"/>
            <w:shd w:fill="E2E8F0" w:val="clear"/>
          </w:tcPr>
          <w:p>
            <w:pPr>
              <w:spacing w:before="60" w:after="60"/>
            </w:pPr>
            <w:r>
              <w:rPr>
                <w:rFonts w:ascii="Times New Roman" w:hAnsi="Times New Roman"/>
                <w:b/>
                <w:sz w:val="20"/>
              </w:rPr>
              <w:t>TPS (giao dịch/giây)</w:t>
            </w:r>
          </w:p>
        </w:tc>
        <w:tc>
          <w:tcPr>
            <w:tcW w:type="dxa" w:w="1872"/>
            <w:shd w:fill="E2E8F0" w:val="clear"/>
          </w:tcPr>
          <w:p>
            <w:pPr>
              <w:spacing w:before="60" w:after="60"/>
            </w:pPr>
            <w:r>
              <w:rPr>
                <w:rFonts w:ascii="Times New Roman" w:hAnsi="Times New Roman"/>
                <w:b/>
                <w:sz w:val="20"/>
              </w:rPr>
              <w:t>Thời gian xác nhận</w:t>
            </w:r>
          </w:p>
        </w:tc>
        <w:tc>
          <w:tcPr>
            <w:tcW w:type="dxa" w:w="1872"/>
            <w:shd w:fill="E2E8F0" w:val="clear"/>
          </w:tcPr>
          <w:p>
            <w:pPr>
              <w:spacing w:before="60" w:after="60"/>
            </w:pPr>
            <w:r>
              <w:rPr>
                <w:rFonts w:ascii="Times New Roman" w:hAnsi="Times New Roman"/>
                <w:b/>
                <w:sz w:val="20"/>
              </w:rPr>
              <w:t>Ghi chú</w:t>
            </w:r>
          </w:p>
        </w:tc>
      </w:tr>
      <w:tr>
        <w:tc>
          <w:tcPr>
            <w:tcW w:type="dxa" w:w="1872"/>
          </w:tcPr>
          <w:p>
            <w:pPr>
              <w:spacing w:before="60" w:after="60"/>
            </w:pPr>
            <w:r>
              <w:rPr>
                <w:rFonts w:ascii="Times New Roman" w:hAnsi="Times New Roman"/>
                <w:sz w:val="20"/>
              </w:rPr>
              <w:t>Bitcoin</w:t>
            </w:r>
          </w:p>
        </w:tc>
        <w:tc>
          <w:tcPr>
            <w:tcW w:type="dxa" w:w="1872"/>
          </w:tcPr>
          <w:p>
            <w:pPr>
              <w:spacing w:before="60" w:after="60"/>
            </w:pPr>
            <w:r>
              <w:rPr>
                <w:rFonts w:ascii="Times New Roman" w:hAnsi="Times New Roman"/>
                <w:sz w:val="20"/>
              </w:rPr>
              <w:t>Public / PoW</w:t>
            </w:r>
          </w:p>
        </w:tc>
        <w:tc>
          <w:tcPr>
            <w:tcW w:type="dxa" w:w="1872"/>
          </w:tcPr>
          <w:p>
            <w:pPr>
              <w:spacing w:before="60" w:after="60"/>
            </w:pPr>
            <w:r>
              <w:rPr>
                <w:rFonts w:ascii="Times New Roman" w:hAnsi="Times New Roman"/>
                <w:sz w:val="20"/>
              </w:rPr>
              <w:t>7</w:t>
            </w:r>
          </w:p>
        </w:tc>
        <w:tc>
          <w:tcPr>
            <w:tcW w:type="dxa" w:w="1872"/>
          </w:tcPr>
          <w:p>
            <w:pPr>
              <w:spacing w:before="60" w:after="60"/>
            </w:pPr>
            <w:r>
              <w:rPr>
                <w:rFonts w:ascii="Times New Roman" w:hAnsi="Times New Roman"/>
                <w:sz w:val="20"/>
              </w:rPr>
              <w:t>10 phút</w:t>
            </w:r>
          </w:p>
        </w:tc>
        <w:tc>
          <w:tcPr>
            <w:tcW w:type="dxa" w:w="1872"/>
          </w:tcPr>
          <w:p>
            <w:pPr>
              <w:spacing w:before="60" w:after="60"/>
            </w:pPr>
            <w:r>
              <w:rPr>
                <w:rFonts w:ascii="Times New Roman" w:hAnsi="Times New Roman"/>
                <w:sz w:val="20"/>
              </w:rPr>
              <w:t>Không phù hợp cho ứng dụng BĐS</w:t>
            </w:r>
          </w:p>
        </w:tc>
      </w:tr>
      <w:tr>
        <w:tc>
          <w:tcPr>
            <w:tcW w:type="dxa" w:w="1872"/>
          </w:tcPr>
          <w:p>
            <w:pPr>
              <w:spacing w:before="60" w:after="60"/>
            </w:pPr>
            <w:r>
              <w:rPr>
                <w:rFonts w:ascii="Times New Roman" w:hAnsi="Times New Roman"/>
                <w:sz w:val="20"/>
              </w:rPr>
              <w:t>Ethereum L1</w:t>
            </w:r>
          </w:p>
        </w:tc>
        <w:tc>
          <w:tcPr>
            <w:tcW w:type="dxa" w:w="1872"/>
          </w:tcPr>
          <w:p>
            <w:pPr>
              <w:spacing w:before="60" w:after="60"/>
            </w:pPr>
            <w:r>
              <w:rPr>
                <w:rFonts w:ascii="Times New Roman" w:hAnsi="Times New Roman"/>
                <w:sz w:val="20"/>
              </w:rPr>
              <w:t>Public / PoS</w:t>
            </w:r>
          </w:p>
        </w:tc>
        <w:tc>
          <w:tcPr>
            <w:tcW w:type="dxa" w:w="1872"/>
          </w:tcPr>
          <w:p>
            <w:pPr>
              <w:spacing w:before="60" w:after="60"/>
            </w:pPr>
            <w:r>
              <w:rPr>
                <w:rFonts w:ascii="Times New Roman" w:hAnsi="Times New Roman"/>
                <w:sz w:val="20"/>
              </w:rPr>
              <w:t>15-30</w:t>
            </w:r>
          </w:p>
        </w:tc>
        <w:tc>
          <w:tcPr>
            <w:tcW w:type="dxa" w:w="1872"/>
          </w:tcPr>
          <w:p>
            <w:pPr>
              <w:spacing w:before="60" w:after="60"/>
            </w:pPr>
            <w:r>
              <w:rPr>
                <w:rFonts w:ascii="Times New Roman" w:hAnsi="Times New Roman"/>
                <w:sz w:val="20"/>
              </w:rPr>
              <w:t>12 giây</w:t>
            </w:r>
          </w:p>
        </w:tc>
        <w:tc>
          <w:tcPr>
            <w:tcW w:type="dxa" w:w="1872"/>
          </w:tcPr>
          <w:p>
            <w:pPr>
              <w:spacing w:before="60" w:after="60"/>
            </w:pPr>
            <w:r>
              <w:rPr>
                <w:rFonts w:ascii="Times New Roman" w:hAnsi="Times New Roman"/>
                <w:sz w:val="20"/>
              </w:rPr>
              <w:t>Quá chậm cho quy mô quốc gia</w:t>
            </w:r>
          </w:p>
        </w:tc>
      </w:tr>
      <w:tr>
        <w:tc>
          <w:tcPr>
            <w:tcW w:type="dxa" w:w="1872"/>
          </w:tcPr>
          <w:p>
            <w:pPr>
              <w:spacing w:before="60" w:after="60"/>
            </w:pPr>
            <w:r>
              <w:rPr>
                <w:rFonts w:ascii="Times New Roman" w:hAnsi="Times New Roman"/>
                <w:sz w:val="20"/>
              </w:rPr>
              <w:t>Ethereum L2 (Arbitrum)</w:t>
            </w:r>
          </w:p>
        </w:tc>
        <w:tc>
          <w:tcPr>
            <w:tcW w:type="dxa" w:w="1872"/>
          </w:tcPr>
          <w:p>
            <w:pPr>
              <w:spacing w:before="60" w:after="60"/>
            </w:pPr>
            <w:r>
              <w:rPr>
                <w:rFonts w:ascii="Times New Roman" w:hAnsi="Times New Roman"/>
                <w:sz w:val="20"/>
              </w:rPr>
              <w:t>Public / Rollup</w:t>
            </w:r>
          </w:p>
        </w:tc>
        <w:tc>
          <w:tcPr>
            <w:tcW w:type="dxa" w:w="1872"/>
          </w:tcPr>
          <w:p>
            <w:pPr>
              <w:spacing w:before="60" w:after="60"/>
            </w:pPr>
            <w:r>
              <w:rPr>
                <w:rFonts w:ascii="Times New Roman" w:hAnsi="Times New Roman"/>
                <w:sz w:val="20"/>
              </w:rPr>
              <w:t>2.000-4.000</w:t>
            </w:r>
          </w:p>
        </w:tc>
        <w:tc>
          <w:tcPr>
            <w:tcW w:type="dxa" w:w="1872"/>
          </w:tcPr>
          <w:p>
            <w:pPr>
              <w:spacing w:before="60" w:after="60"/>
            </w:pPr>
            <w:r>
              <w:rPr>
                <w:rFonts w:ascii="Times New Roman" w:hAnsi="Times New Roman"/>
                <w:sz w:val="20"/>
              </w:rPr>
              <w:t>0,5-2 giây</w:t>
            </w:r>
          </w:p>
        </w:tc>
        <w:tc>
          <w:tcPr>
            <w:tcW w:type="dxa" w:w="1872"/>
          </w:tcPr>
          <w:p>
            <w:pPr>
              <w:spacing w:before="60" w:after="60"/>
            </w:pPr>
            <w:r>
              <w:rPr>
                <w:rFonts w:ascii="Times New Roman" w:hAnsi="Times New Roman"/>
                <w:sz w:val="20"/>
              </w:rPr>
              <w:t>Khả thi, nhưng vẫn là public chain</w:t>
            </w:r>
          </w:p>
        </w:tc>
      </w:tr>
      <w:tr>
        <w:tc>
          <w:tcPr>
            <w:tcW w:type="dxa" w:w="1872"/>
          </w:tcPr>
          <w:p>
            <w:pPr>
              <w:spacing w:before="60" w:after="60"/>
            </w:pPr>
            <w:r>
              <w:rPr>
                <w:rFonts w:ascii="Times New Roman" w:hAnsi="Times New Roman"/>
                <w:sz w:val="20"/>
              </w:rPr>
              <w:t>Polygon PoS</w:t>
            </w:r>
          </w:p>
        </w:tc>
        <w:tc>
          <w:tcPr>
            <w:tcW w:type="dxa" w:w="1872"/>
          </w:tcPr>
          <w:p>
            <w:pPr>
              <w:spacing w:before="60" w:after="60"/>
            </w:pPr>
            <w:r>
              <w:rPr>
                <w:rFonts w:ascii="Times New Roman" w:hAnsi="Times New Roman"/>
                <w:sz w:val="20"/>
              </w:rPr>
              <w:t>Public / PoS</w:t>
            </w:r>
          </w:p>
        </w:tc>
        <w:tc>
          <w:tcPr>
            <w:tcW w:type="dxa" w:w="1872"/>
          </w:tcPr>
          <w:p>
            <w:pPr>
              <w:spacing w:before="60" w:after="60"/>
            </w:pPr>
            <w:r>
              <w:rPr>
                <w:rFonts w:ascii="Times New Roman" w:hAnsi="Times New Roman"/>
                <w:sz w:val="20"/>
              </w:rPr>
              <w:t>7.000</w:t>
            </w:r>
          </w:p>
        </w:tc>
        <w:tc>
          <w:tcPr>
            <w:tcW w:type="dxa" w:w="1872"/>
          </w:tcPr>
          <w:p>
            <w:pPr>
              <w:spacing w:before="60" w:after="60"/>
            </w:pPr>
            <w:r>
              <w:rPr>
                <w:rFonts w:ascii="Times New Roman" w:hAnsi="Times New Roman"/>
                <w:sz w:val="20"/>
              </w:rPr>
              <w:t>2 giây</w:t>
            </w:r>
          </w:p>
        </w:tc>
        <w:tc>
          <w:tcPr>
            <w:tcW w:type="dxa" w:w="1872"/>
          </w:tcPr>
          <w:p>
            <w:pPr>
              <w:spacing w:before="60" w:after="60"/>
            </w:pPr>
            <w:r>
              <w:rPr>
                <w:rFonts w:ascii="Times New Roman" w:hAnsi="Times New Roman"/>
                <w:sz w:val="20"/>
              </w:rPr>
              <w:t>Chi phí thấp, nhiều dự án BĐS đã dùng</w:t>
            </w:r>
          </w:p>
        </w:tc>
      </w:tr>
      <w:tr>
        <w:tc>
          <w:tcPr>
            <w:tcW w:type="dxa" w:w="1872"/>
          </w:tcPr>
          <w:p>
            <w:pPr>
              <w:spacing w:before="60" w:after="60"/>
            </w:pPr>
            <w:r>
              <w:rPr>
                <w:rFonts w:ascii="Times New Roman" w:hAnsi="Times New Roman"/>
                <w:sz w:val="20"/>
              </w:rPr>
              <w:t>Hyperledger Fabric</w:t>
            </w:r>
          </w:p>
        </w:tc>
        <w:tc>
          <w:tcPr>
            <w:tcW w:type="dxa" w:w="1872"/>
          </w:tcPr>
          <w:p>
            <w:pPr>
              <w:spacing w:before="60" w:after="60"/>
            </w:pPr>
            <w:r>
              <w:rPr>
                <w:rFonts w:ascii="Times New Roman" w:hAnsi="Times New Roman"/>
                <w:sz w:val="20"/>
              </w:rPr>
              <w:t>Permissioned / PBFT</w:t>
            </w:r>
          </w:p>
        </w:tc>
        <w:tc>
          <w:tcPr>
            <w:tcW w:type="dxa" w:w="1872"/>
          </w:tcPr>
          <w:p>
            <w:pPr>
              <w:spacing w:before="60" w:after="60"/>
            </w:pPr>
            <w:r>
              <w:rPr>
                <w:rFonts w:ascii="Times New Roman" w:hAnsi="Times New Roman"/>
                <w:sz w:val="20"/>
              </w:rPr>
              <w:t>3.000-20.000</w:t>
            </w:r>
          </w:p>
        </w:tc>
        <w:tc>
          <w:tcPr>
            <w:tcW w:type="dxa" w:w="1872"/>
          </w:tcPr>
          <w:p>
            <w:pPr>
              <w:spacing w:before="60" w:after="60"/>
            </w:pPr>
            <w:r>
              <w:rPr>
                <w:rFonts w:ascii="Times New Roman" w:hAnsi="Times New Roman"/>
                <w:sz w:val="20"/>
              </w:rPr>
              <w:t>&lt; 1 giây</w:t>
            </w:r>
          </w:p>
        </w:tc>
        <w:tc>
          <w:tcPr>
            <w:tcW w:type="dxa" w:w="1872"/>
          </w:tcPr>
          <w:p>
            <w:pPr>
              <w:spacing w:before="60" w:after="60"/>
            </w:pPr>
            <w:r>
              <w:rPr>
                <w:rFonts w:ascii="Times New Roman" w:hAnsi="Times New Roman"/>
                <w:sz w:val="20"/>
              </w:rPr>
              <w:t>Lựa chọn ưu tiên cho chính phủ và doanh nghiệp</w:t>
            </w:r>
          </w:p>
        </w:tc>
      </w:tr>
      <w:tr>
        <w:tc>
          <w:tcPr>
            <w:tcW w:type="dxa" w:w="1872"/>
          </w:tcPr>
          <w:p>
            <w:pPr>
              <w:spacing w:before="60" w:after="60"/>
            </w:pPr>
            <w:r>
              <w:rPr>
                <w:rFonts w:ascii="Times New Roman" w:hAnsi="Times New Roman"/>
                <w:sz w:val="20"/>
              </w:rPr>
              <w:t>Corda (R3)</w:t>
            </w:r>
          </w:p>
        </w:tc>
        <w:tc>
          <w:tcPr>
            <w:tcW w:type="dxa" w:w="1872"/>
          </w:tcPr>
          <w:p>
            <w:pPr>
              <w:spacing w:before="60" w:after="60"/>
            </w:pPr>
            <w:r>
              <w:rPr>
                <w:rFonts w:ascii="Times New Roman" w:hAnsi="Times New Roman"/>
                <w:sz w:val="20"/>
              </w:rPr>
              <w:t>Permissioned</w:t>
            </w:r>
          </w:p>
        </w:tc>
        <w:tc>
          <w:tcPr>
            <w:tcW w:type="dxa" w:w="1872"/>
          </w:tcPr>
          <w:p>
            <w:pPr>
              <w:spacing w:before="60" w:after="60"/>
            </w:pPr>
            <w:r>
              <w:rPr>
                <w:rFonts w:ascii="Times New Roman" w:hAnsi="Times New Roman"/>
                <w:sz w:val="20"/>
              </w:rPr>
              <w:t>1.000-5.000</w:t>
            </w:r>
          </w:p>
        </w:tc>
        <w:tc>
          <w:tcPr>
            <w:tcW w:type="dxa" w:w="1872"/>
          </w:tcPr>
          <w:p>
            <w:pPr>
              <w:spacing w:before="60" w:after="60"/>
            </w:pPr>
            <w:r>
              <w:rPr>
                <w:rFonts w:ascii="Times New Roman" w:hAnsi="Times New Roman"/>
                <w:sz w:val="20"/>
              </w:rPr>
              <w:t>&lt; 1 giây</w:t>
            </w:r>
          </w:p>
        </w:tc>
        <w:tc>
          <w:tcPr>
            <w:tcW w:type="dxa" w:w="1872"/>
          </w:tcPr>
          <w:p>
            <w:pPr>
              <w:spacing w:before="60" w:after="60"/>
            </w:pPr>
            <w:r>
              <w:rPr>
                <w:rFonts w:ascii="Times New Roman" w:hAnsi="Times New Roman"/>
                <w:sz w:val="20"/>
              </w:rPr>
              <w:t>Chuyên cho tài chính, BĐS</w:t>
            </w:r>
          </w:p>
        </w:tc>
      </w:tr>
    </w:tbl>
    <w:p>
      <w:pPr>
        <w:spacing w:before="0" w:after="80"/>
      </w:pPr>
    </w:p>
    <w:p>
      <w:r>
        <w:rPr>
          <w:b/>
        </w:rPr>
        <w:t>Quy mô tham chiếu:</w:t>
      </w:r>
      <w:r>
        <w:t xml:space="preserve"> Thị trường BĐS Việt Nam ghi nhận khoảng 800.000-1.200.000 giao dịch/năm (bao gồm mua bán, cho thuê, chuyển nhượng). Tính trung bình, hệ thống cần xử lý khoảng 2.500-3.500 giao dịch/ngày, tương đương 0,04-0,05 TPS trung bình. Ngay cả trong các sự kiện Mega-Sales (5.000-10.000 giao dịch/ngày), yêu cầu TPS đỉnh cũng chỉ ở mức 0,1-0,3 TPS — thấp hơn nhiều lần so với năng lực của Hyperledger Fabric.</w:t>
      </w:r>
    </w:p>
    <w:p>
      <w:pPr>
        <w:pStyle w:val="Heading4"/>
        <w:spacing w:before="240" w:after="160"/>
      </w:pPr>
      <w:r>
        <w:rPr>
          <w:rFonts w:ascii="Times New Roman" w:hAnsi="Times New Roman" w:eastAsia="Times New Roman"/>
          <w:color w:val="1A1A2E"/>
          <w:sz w:val="28"/>
        </w:rPr>
        <w:t>E.5. Bảo mật dữ liệu cá nhân trên blockchain — Zero-Knowledge Proof (ZKP)</w:t>
      </w:r>
    </w:p>
    <w:p>
      <w:r>
        <w:t>NĐ 357 yêu cầu bảo mật thông tin cá nhân (Điều 4 khoản 7) và giới hạn khai thác dữ liệu định danh công dân (Điều 33 khoản 7). Đây là thách thức lớn khi áp dụng blockchain, vì bản chất blockchain lưu trữ dữ liệu có thể xác minh bởi các nút mạng.</w:t>
      </w:r>
    </w:p>
    <w:p>
      <w:r>
        <w:rPr>
          <w:b/>
        </w:rPr>
        <w:t>Giải pháp: Zero-Knowledge Proof (ZKP)</w:t>
      </w:r>
      <w:r>
        <w:t xml:space="preserve"> — giao thức mật mã cho phép một bên (prover) chứng minh với bên kia (verifier) rằng một mệnh đề là đúng mà không cần tiết lộ bất kỳ thông tin nào ngoài tính đúng đắn của mệnh đề.</w:t>
      </w:r>
    </w:p>
    <w:p>
      <w:r>
        <w:rPr>
          <w:b/>
        </w:rPr>
        <w:t>Ví dụ ứng dụng cho NĐ 357:</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Tình huống</w:t>
            </w:r>
          </w:p>
        </w:tc>
        <w:tc>
          <w:tcPr>
            <w:tcW w:type="dxa" w:w="3120"/>
            <w:shd w:fill="E2E8F0" w:val="clear"/>
          </w:tcPr>
          <w:p>
            <w:pPr>
              <w:spacing w:before="60" w:after="60"/>
            </w:pPr>
            <w:r>
              <w:rPr>
                <w:rFonts w:ascii="Times New Roman" w:hAnsi="Times New Roman"/>
                <w:b/>
                <w:sz w:val="20"/>
              </w:rPr>
              <w:t>Không có ZKP</w:t>
            </w:r>
          </w:p>
        </w:tc>
        <w:tc>
          <w:tcPr>
            <w:tcW w:type="dxa" w:w="3120"/>
            <w:shd w:fill="E2E8F0" w:val="clear"/>
          </w:tcPr>
          <w:p>
            <w:pPr>
              <w:spacing w:before="60" w:after="60"/>
            </w:pPr>
            <w:r>
              <w:rPr>
                <w:rFonts w:ascii="Times New Roman" w:hAnsi="Times New Roman"/>
                <w:b/>
                <w:sz w:val="20"/>
              </w:rPr>
              <w:t>Có ZKP</w:t>
            </w:r>
          </w:p>
        </w:tc>
      </w:tr>
      <w:tr>
        <w:tc>
          <w:tcPr>
            <w:tcW w:type="dxa" w:w="3120"/>
          </w:tcPr>
          <w:p>
            <w:pPr>
              <w:spacing w:before="60" w:after="60"/>
            </w:pPr>
            <w:r>
              <w:rPr>
                <w:rFonts w:ascii="Times New Roman" w:hAnsi="Times New Roman"/>
                <w:sz w:val="20"/>
              </w:rPr>
              <w:t>Ngân hàng kiểm tra khách hàng có sở hữu BĐS không</w:t>
            </w:r>
          </w:p>
        </w:tc>
        <w:tc>
          <w:tcPr>
            <w:tcW w:type="dxa" w:w="3120"/>
          </w:tcPr>
          <w:p>
            <w:pPr>
              <w:spacing w:before="60" w:after="60"/>
            </w:pPr>
            <w:r>
              <w:rPr>
                <w:rFonts w:ascii="Times New Roman" w:hAnsi="Times New Roman"/>
                <w:sz w:val="20"/>
              </w:rPr>
              <w:t>Ngân hàng phải truy cập toàn bộ danh sách tài sản → rủi ro lộ thông tin</w:t>
            </w:r>
          </w:p>
        </w:tc>
        <w:tc>
          <w:tcPr>
            <w:tcW w:type="dxa" w:w="3120"/>
          </w:tcPr>
          <w:p>
            <w:pPr>
              <w:spacing w:before="60" w:after="60"/>
            </w:pPr>
            <w:r>
              <w:rPr>
                <w:rFonts w:ascii="Times New Roman" w:hAnsi="Times New Roman"/>
                <w:sz w:val="20"/>
              </w:rPr>
              <w:t>Hệ thống trả lời “Có/Không” mà không tiết lộ số lượng, địa chỉ, giá trị</w:t>
            </w:r>
          </w:p>
        </w:tc>
      </w:tr>
      <w:tr>
        <w:tc>
          <w:tcPr>
            <w:tcW w:type="dxa" w:w="3120"/>
          </w:tcPr>
          <w:p>
            <w:pPr>
              <w:spacing w:before="60" w:after="60"/>
            </w:pPr>
            <w:r>
              <w:rPr>
                <w:rFonts w:ascii="Times New Roman" w:hAnsi="Times New Roman"/>
                <w:sz w:val="20"/>
              </w:rPr>
              <w:t>Cơ quan thuế xác minh nghĩa vụ thuế BĐS thứ 2</w:t>
            </w:r>
          </w:p>
        </w:tc>
        <w:tc>
          <w:tcPr>
            <w:tcW w:type="dxa" w:w="3120"/>
          </w:tcPr>
          <w:p>
            <w:pPr>
              <w:spacing w:before="60" w:after="60"/>
            </w:pPr>
            <w:r>
              <w:rPr>
                <w:rFonts w:ascii="Times New Roman" w:hAnsi="Times New Roman"/>
                <w:sz w:val="20"/>
              </w:rPr>
              <w:t>Truy cập đầy đủ lịch sử sở hữu</w:t>
            </w:r>
          </w:p>
        </w:tc>
        <w:tc>
          <w:tcPr>
            <w:tcW w:type="dxa" w:w="3120"/>
          </w:tcPr>
          <w:p>
            <w:pPr>
              <w:spacing w:before="60" w:after="60"/>
            </w:pPr>
            <w:r>
              <w:rPr>
                <w:rFonts w:ascii="Times New Roman" w:hAnsi="Times New Roman"/>
                <w:sz w:val="20"/>
              </w:rPr>
              <w:t>Hệ thống xác nhận “sở hữu ≥ 2 BĐS” mà không tiết lộ chi tiết</w:t>
            </w:r>
          </w:p>
        </w:tc>
      </w:tr>
      <w:tr>
        <w:tc>
          <w:tcPr>
            <w:tcW w:type="dxa" w:w="3120"/>
          </w:tcPr>
          <w:p>
            <w:pPr>
              <w:spacing w:before="60" w:after="60"/>
            </w:pPr>
            <w:r>
              <w:rPr>
                <w:rFonts w:ascii="Times New Roman" w:hAnsi="Times New Roman"/>
                <w:sz w:val="20"/>
              </w:rPr>
              <w:t>Đối tác nước ngoài thẩm định dự án</w:t>
            </w:r>
          </w:p>
        </w:tc>
        <w:tc>
          <w:tcPr>
            <w:tcW w:type="dxa" w:w="3120"/>
          </w:tcPr>
          <w:p>
            <w:pPr>
              <w:spacing w:before="60" w:after="60"/>
            </w:pPr>
            <w:r>
              <w:rPr>
                <w:rFonts w:ascii="Times New Roman" w:hAnsi="Times New Roman"/>
                <w:sz w:val="20"/>
              </w:rPr>
              <w:t>Truy cập dữ liệu gốc chứa thông tin định danh (vi phạm Điều 33 khoản 8)</w:t>
            </w:r>
          </w:p>
        </w:tc>
        <w:tc>
          <w:tcPr>
            <w:tcW w:type="dxa" w:w="3120"/>
          </w:tcPr>
          <w:p>
            <w:pPr>
              <w:spacing w:before="60" w:after="60"/>
            </w:pPr>
            <w:r>
              <w:rPr>
                <w:rFonts w:ascii="Times New Roman" w:hAnsi="Times New Roman"/>
                <w:sz w:val="20"/>
              </w:rPr>
              <w:t>Cung cấp bản chứng minh ZKP: dữ liệu hợp lệ, đã kiểm toán, không chứa thông tin cá nhân</w:t>
            </w:r>
          </w:p>
        </w:tc>
      </w:tr>
    </w:tbl>
    <w:p>
      <w:pPr>
        <w:spacing w:before="0" w:after="80"/>
      </w:pPr>
    </w:p>
    <w:p>
      <w:pPr>
        <w:pStyle w:val="Heading4"/>
        <w:spacing w:before="240" w:after="160"/>
      </w:pPr>
      <w:r>
        <w:rPr>
          <w:rFonts w:ascii="Times New Roman" w:hAnsi="Times New Roman" w:eastAsia="Times New Roman"/>
          <w:color w:val="1A1A2E"/>
          <w:sz w:val="28"/>
        </w:rPr>
        <w:t>E.6. Tokenization bất động sản — Xu hướng toàn cầu và tiền lệ quốc tế</w:t>
      </w:r>
    </w:p>
    <w:p>
      <w:r>
        <w:rPr>
          <w:b/>
        </w:rPr>
        <w:t>Tokenization</w:t>
      </w:r>
      <w:r>
        <w:t xml:space="preserve"> là quá trình chuyển đổi quyền sở hữu tài sản thực (bất động sản, chứng khoán, hàng hóa) thành các token kỹ thuật số trên blockchain. Mỗi token đại diện cho một phần quyền sở hữu, cho phép chia nhỏ tài sản có giá trị lớn thành các đơn vị đầu tư nhỏ hơn.</w:t>
      </w:r>
    </w:p>
    <w:p>
      <w:r>
        <w:rPr>
          <w:b/>
        </w:rPr>
        <w:t>Tiền lệ quốc tế về blockchain cho BĐS:</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Quốc gia / Vùng lãnh thổ</w:t>
            </w:r>
          </w:p>
        </w:tc>
        <w:tc>
          <w:tcPr>
            <w:tcW w:type="dxa" w:w="2340"/>
            <w:shd w:fill="E2E8F0" w:val="clear"/>
          </w:tcPr>
          <w:p>
            <w:pPr>
              <w:spacing w:before="60" w:after="60"/>
            </w:pPr>
            <w:r>
              <w:rPr>
                <w:rFonts w:ascii="Times New Roman" w:hAnsi="Times New Roman"/>
                <w:b/>
                <w:sz w:val="20"/>
              </w:rPr>
              <w:t>Chương trình</w:t>
            </w:r>
          </w:p>
        </w:tc>
        <w:tc>
          <w:tcPr>
            <w:tcW w:type="dxa" w:w="2340"/>
            <w:shd w:fill="E2E8F0" w:val="clear"/>
          </w:tcPr>
          <w:p>
            <w:pPr>
              <w:spacing w:before="60" w:after="60"/>
            </w:pPr>
            <w:r>
              <w:rPr>
                <w:rFonts w:ascii="Times New Roman" w:hAnsi="Times New Roman"/>
                <w:b/>
                <w:sz w:val="20"/>
              </w:rPr>
              <w:t>Nội dung</w:t>
            </w:r>
          </w:p>
        </w:tc>
        <w:tc>
          <w:tcPr>
            <w:tcW w:type="dxa" w:w="2340"/>
            <w:shd w:fill="E2E8F0" w:val="clear"/>
          </w:tcPr>
          <w:p>
            <w:pPr>
              <w:spacing w:before="60" w:after="60"/>
            </w:pPr>
            <w:r>
              <w:rPr>
                <w:rFonts w:ascii="Times New Roman" w:hAnsi="Times New Roman"/>
                <w:b/>
                <w:sz w:val="20"/>
              </w:rPr>
              <w:t>Kết quả</w:t>
            </w:r>
          </w:p>
        </w:tc>
      </w:tr>
      <w:tr>
        <w:tc>
          <w:tcPr>
            <w:tcW w:type="dxa" w:w="2340"/>
          </w:tcPr>
          <w:p>
            <w:pPr>
              <w:spacing w:before="60" w:after="60"/>
            </w:pPr>
            <w:r>
              <w:rPr>
                <w:rFonts w:ascii="Times New Roman" w:hAnsi="Times New Roman"/>
                <w:sz w:val="20"/>
              </w:rPr>
              <w:t>Dubai (UAE)</w:t>
            </w:r>
          </w:p>
        </w:tc>
        <w:tc>
          <w:tcPr>
            <w:tcW w:type="dxa" w:w="2340"/>
          </w:tcPr>
          <w:p>
            <w:pPr>
              <w:spacing w:before="60" w:after="60"/>
            </w:pPr>
            <w:r>
              <w:rPr>
                <w:rFonts w:ascii="Times New Roman" w:hAnsi="Times New Roman"/>
                <w:sz w:val="20"/>
              </w:rPr>
              <w:t>Dubai Blockchain Strategy 2020 → Dubai Real Estate Blockchain</w:t>
            </w:r>
          </w:p>
        </w:tc>
        <w:tc>
          <w:tcPr>
            <w:tcW w:type="dxa" w:w="2340"/>
          </w:tcPr>
          <w:p>
            <w:pPr>
              <w:spacing w:before="60" w:after="60"/>
            </w:pPr>
            <w:r>
              <w:rPr>
                <w:rFonts w:ascii="Times New Roman" w:hAnsi="Times New Roman"/>
                <w:sz w:val="20"/>
              </w:rPr>
              <w:t>100% giao dịch BĐS ghi nhận trên blockchain từ 2020; tích hợp Dubai Land Department</w:t>
            </w:r>
          </w:p>
        </w:tc>
        <w:tc>
          <w:tcPr>
            <w:tcW w:type="dxa" w:w="2340"/>
          </w:tcPr>
          <w:p>
            <w:pPr>
              <w:spacing w:before="60" w:after="60"/>
            </w:pPr>
            <w:r>
              <w:rPr>
                <w:rFonts w:ascii="Times New Roman" w:hAnsi="Times New Roman"/>
                <w:sz w:val="20"/>
              </w:rPr>
              <w:t>Giảm 76% thời gian đăng ký quyền sở hữu; tiết kiệm 25% chi phí vận hành</w:t>
            </w:r>
          </w:p>
        </w:tc>
      </w:tr>
      <w:tr>
        <w:tc>
          <w:tcPr>
            <w:tcW w:type="dxa" w:w="2340"/>
          </w:tcPr>
          <w:p>
            <w:pPr>
              <w:spacing w:before="60" w:after="60"/>
            </w:pPr>
            <w:r>
              <w:rPr>
                <w:rFonts w:ascii="Times New Roman" w:hAnsi="Times New Roman"/>
                <w:sz w:val="20"/>
              </w:rPr>
              <w:t>Singapore</w:t>
            </w:r>
          </w:p>
        </w:tc>
        <w:tc>
          <w:tcPr>
            <w:tcW w:type="dxa" w:w="2340"/>
          </w:tcPr>
          <w:p>
            <w:pPr>
              <w:spacing w:before="60" w:after="60"/>
            </w:pPr>
            <w:r>
              <w:rPr>
                <w:rFonts w:ascii="Times New Roman" w:hAnsi="Times New Roman"/>
                <w:sz w:val="20"/>
              </w:rPr>
              <w:t>MAS Regulatory Sandbox + Project Guardian</w:t>
            </w:r>
          </w:p>
        </w:tc>
        <w:tc>
          <w:tcPr>
            <w:tcW w:type="dxa" w:w="2340"/>
          </w:tcPr>
          <w:p>
            <w:pPr>
              <w:spacing w:before="60" w:after="60"/>
            </w:pPr>
            <w:r>
              <w:rPr>
                <w:rFonts w:ascii="Times New Roman" w:hAnsi="Times New Roman"/>
                <w:sz w:val="20"/>
              </w:rPr>
              <w:t>Token hóa BĐS thương mại; khung pháp lý cho Security Token Offering (STO)</w:t>
            </w:r>
          </w:p>
        </w:tc>
        <w:tc>
          <w:tcPr>
            <w:tcW w:type="dxa" w:w="2340"/>
          </w:tcPr>
          <w:p>
            <w:pPr>
              <w:spacing w:before="60" w:after="60"/>
            </w:pPr>
            <w:r>
              <w:rPr>
                <w:rFonts w:ascii="Times New Roman" w:hAnsi="Times New Roman"/>
                <w:sz w:val="20"/>
              </w:rPr>
              <w:t>Marketnode (SGX) phát hành token BĐS thương mại thành công</w:t>
            </w:r>
          </w:p>
        </w:tc>
      </w:tr>
      <w:tr>
        <w:tc>
          <w:tcPr>
            <w:tcW w:type="dxa" w:w="2340"/>
          </w:tcPr>
          <w:p>
            <w:pPr>
              <w:spacing w:before="60" w:after="60"/>
            </w:pPr>
            <w:r>
              <w:rPr>
                <w:rFonts w:ascii="Times New Roman" w:hAnsi="Times New Roman"/>
                <w:sz w:val="20"/>
              </w:rPr>
              <w:t>Thụy Điển</w:t>
            </w:r>
          </w:p>
        </w:tc>
        <w:tc>
          <w:tcPr>
            <w:tcW w:type="dxa" w:w="2340"/>
          </w:tcPr>
          <w:p>
            <w:pPr>
              <w:spacing w:before="60" w:after="60"/>
            </w:pPr>
            <w:r>
              <w:rPr>
                <w:rFonts w:ascii="Times New Roman" w:hAnsi="Times New Roman"/>
                <w:sz w:val="20"/>
              </w:rPr>
              <w:t>Lantmäteriet Blockchain Project</w:t>
            </w:r>
          </w:p>
        </w:tc>
        <w:tc>
          <w:tcPr>
            <w:tcW w:type="dxa" w:w="2340"/>
          </w:tcPr>
          <w:p>
            <w:pPr>
              <w:spacing w:before="60" w:after="60"/>
            </w:pPr>
            <w:r>
              <w:rPr>
                <w:rFonts w:ascii="Times New Roman" w:hAnsi="Times New Roman"/>
                <w:sz w:val="20"/>
              </w:rPr>
              <w:t>Thí điểm chuyển nhượng BĐS trên blockchain (hợp tác ChromaWay)</w:t>
            </w:r>
          </w:p>
        </w:tc>
        <w:tc>
          <w:tcPr>
            <w:tcW w:type="dxa" w:w="2340"/>
          </w:tcPr>
          <w:p>
            <w:pPr>
              <w:spacing w:before="60" w:after="60"/>
            </w:pPr>
            <w:r>
              <w:rPr>
                <w:rFonts w:ascii="Times New Roman" w:hAnsi="Times New Roman"/>
                <w:sz w:val="20"/>
              </w:rPr>
              <w:t>Giảm thời gian chuyển nhượng từ 3-6 tháng xuống vài giờ; dự kiến tiết kiệm 100 triệu EUR/năm</w:t>
            </w:r>
          </w:p>
        </w:tc>
      </w:tr>
      <w:tr>
        <w:tc>
          <w:tcPr>
            <w:tcW w:type="dxa" w:w="2340"/>
          </w:tcPr>
          <w:p>
            <w:pPr>
              <w:spacing w:before="60" w:after="60"/>
            </w:pPr>
            <w:r>
              <w:rPr>
                <w:rFonts w:ascii="Times New Roman" w:hAnsi="Times New Roman"/>
                <w:sz w:val="20"/>
              </w:rPr>
              <w:t>Georgia</w:t>
            </w:r>
          </w:p>
        </w:tc>
        <w:tc>
          <w:tcPr>
            <w:tcW w:type="dxa" w:w="2340"/>
          </w:tcPr>
          <w:p>
            <w:pPr>
              <w:spacing w:before="60" w:after="60"/>
            </w:pPr>
            <w:r>
              <w:rPr>
                <w:rFonts w:ascii="Times New Roman" w:hAnsi="Times New Roman"/>
                <w:sz w:val="20"/>
              </w:rPr>
              <w:t>National Agency of Public Registry + Bitfury</w:t>
            </w:r>
          </w:p>
        </w:tc>
        <w:tc>
          <w:tcPr>
            <w:tcW w:type="dxa" w:w="2340"/>
          </w:tcPr>
          <w:p>
            <w:pPr>
              <w:spacing w:before="60" w:after="60"/>
            </w:pPr>
            <w:r>
              <w:rPr>
                <w:rFonts w:ascii="Times New Roman" w:hAnsi="Times New Roman"/>
                <w:sz w:val="20"/>
              </w:rPr>
              <w:t>Đăng ký quyền sở hữu đất trên blockchain (từ 2017)</w:t>
            </w:r>
          </w:p>
        </w:tc>
        <w:tc>
          <w:tcPr>
            <w:tcW w:type="dxa" w:w="2340"/>
          </w:tcPr>
          <w:p>
            <w:pPr>
              <w:spacing w:before="60" w:after="60"/>
            </w:pPr>
            <w:r>
              <w:rPr>
                <w:rFonts w:ascii="Times New Roman" w:hAnsi="Times New Roman"/>
                <w:sz w:val="20"/>
              </w:rPr>
              <w:t>&gt; 1,5 triệu giấy chứng nhận quyền sở hữu đã ghi nhận on-chain</w:t>
            </w:r>
          </w:p>
        </w:tc>
      </w:tr>
      <w:tr>
        <w:tc>
          <w:tcPr>
            <w:tcW w:type="dxa" w:w="2340"/>
          </w:tcPr>
          <w:p>
            <w:pPr>
              <w:spacing w:before="60" w:after="60"/>
            </w:pPr>
            <w:r>
              <w:rPr>
                <w:rFonts w:ascii="Times New Roman" w:hAnsi="Times New Roman"/>
                <w:sz w:val="20"/>
              </w:rPr>
              <w:t>Hồng Kông (Trung Quốc)</w:t>
            </w:r>
          </w:p>
        </w:tc>
        <w:tc>
          <w:tcPr>
            <w:tcW w:type="dxa" w:w="2340"/>
          </w:tcPr>
          <w:p>
            <w:pPr>
              <w:spacing w:before="60" w:after="60"/>
            </w:pPr>
            <w:r>
              <w:rPr>
                <w:rFonts w:ascii="Times New Roman" w:hAnsi="Times New Roman"/>
                <w:sz w:val="20"/>
              </w:rPr>
              <w:t>HKMA eHKD Pilot / SFC Tokenized Securities</w:t>
            </w:r>
          </w:p>
        </w:tc>
        <w:tc>
          <w:tcPr>
            <w:tcW w:type="dxa" w:w="2340"/>
          </w:tcPr>
          <w:p>
            <w:pPr>
              <w:spacing w:before="60" w:after="60"/>
            </w:pPr>
            <w:r>
              <w:rPr>
                <w:rFonts w:ascii="Times New Roman" w:hAnsi="Times New Roman"/>
                <w:sz w:val="20"/>
              </w:rPr>
              <w:t>Token hóa bất động sản bán lẻ; khung pháp lý cho Real Estate STO</w:t>
            </w:r>
          </w:p>
        </w:tc>
        <w:tc>
          <w:tcPr>
            <w:tcW w:type="dxa" w:w="2340"/>
          </w:tcPr>
          <w:p>
            <w:pPr>
              <w:spacing w:before="60" w:after="60"/>
            </w:pPr>
            <w:r>
              <w:rPr>
                <w:rFonts w:ascii="Times New Roman" w:hAnsi="Times New Roman"/>
                <w:sz w:val="20"/>
              </w:rPr>
              <w:t>Quỹ đầu tư BĐS token hóa đầu tiên được cấp phép 2024</w:t>
            </w:r>
          </w:p>
        </w:tc>
      </w:tr>
    </w:tbl>
    <w:p>
      <w:pPr>
        <w:spacing w:before="0" w:after="80"/>
      </w:pPr>
    </w:p>
    <w:p>
      <w:pPr>
        <w:pStyle w:val="Heading4"/>
        <w:spacing w:before="240" w:after="160"/>
      </w:pPr>
      <w:r>
        <w:rPr>
          <w:rFonts w:ascii="Times New Roman" w:hAnsi="Times New Roman" w:eastAsia="Times New Roman"/>
          <w:color w:val="1A1A2E"/>
          <w:sz w:val="28"/>
        </w:rPr>
        <w:t>E.7. Bảng thuật ngữ blockchain (Glossary)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Thuật ngữ</w:t>
            </w:r>
          </w:p>
        </w:tc>
        <w:tc>
          <w:tcPr>
            <w:tcW w:type="dxa" w:w="3120"/>
            <w:shd w:fill="E2E8F0" w:val="clear"/>
          </w:tcPr>
          <w:p>
            <w:pPr>
              <w:spacing w:before="60" w:after="60"/>
            </w:pPr>
            <w:r>
              <w:rPr>
                <w:rFonts w:ascii="Times New Roman" w:hAnsi="Times New Roman"/>
                <w:b/>
                <w:sz w:val="20"/>
              </w:rPr>
              <w:t>Giải nghĩa</w:t>
            </w:r>
          </w:p>
        </w:tc>
        <w:tc>
          <w:tcPr>
            <w:tcW w:type="dxa" w:w="3120"/>
            <w:shd w:fill="E2E8F0" w:val="clear"/>
          </w:tcPr>
          <w:p>
            <w:pPr>
              <w:spacing w:before="60" w:after="60"/>
            </w:pPr>
            <w:r>
              <w:rPr>
                <w:rFonts w:ascii="Times New Roman" w:hAnsi="Times New Roman"/>
                <w:b/>
                <w:sz w:val="20"/>
              </w:rPr>
              <w:t>Liên quan Phần 5</w:t>
            </w:r>
          </w:p>
        </w:tc>
      </w:tr>
      <w:tr>
        <w:tc>
          <w:tcPr>
            <w:tcW w:type="dxa" w:w="3120"/>
          </w:tcPr>
          <w:p>
            <w:pPr>
              <w:spacing w:before="60" w:after="60"/>
            </w:pPr>
            <w:r>
              <w:rPr>
                <w:rFonts w:ascii="Times New Roman" w:hAnsi="Times New Roman"/>
                <w:sz w:val="20"/>
              </w:rPr>
              <w:t>Block (Khối)</w:t>
            </w:r>
          </w:p>
        </w:tc>
        <w:tc>
          <w:tcPr>
            <w:tcW w:type="dxa" w:w="3120"/>
          </w:tcPr>
          <w:p>
            <w:pPr>
              <w:spacing w:before="60" w:after="60"/>
            </w:pPr>
            <w:r>
              <w:rPr>
                <w:rFonts w:ascii="Times New Roman" w:hAnsi="Times New Roman"/>
                <w:sz w:val="20"/>
              </w:rPr>
              <w:t>Đơn vị dữ liệu chứa danh sách giao dịch, hash khối trước, và dấu thời gian</w:t>
            </w:r>
          </w:p>
        </w:tc>
        <w:tc>
          <w:tcPr>
            <w:tcW w:type="dxa" w:w="3120"/>
          </w:tcPr>
          <w:p>
            <w:pPr>
              <w:spacing w:before="60" w:after="60"/>
            </w:pPr>
            <w:r>
              <w:rPr>
                <w:rFonts w:ascii="Times New Roman" w:hAnsi="Times New Roman"/>
                <w:sz w:val="20"/>
              </w:rPr>
              <w:t>Nền tảng lưu trữ mã định danh BĐS</w:t>
            </w:r>
          </w:p>
        </w:tc>
      </w:tr>
      <w:tr>
        <w:tc>
          <w:tcPr>
            <w:tcW w:type="dxa" w:w="3120"/>
          </w:tcPr>
          <w:p>
            <w:pPr>
              <w:spacing w:before="60" w:after="60"/>
            </w:pPr>
            <w:r>
              <w:rPr>
                <w:rFonts w:ascii="Times New Roman" w:hAnsi="Times New Roman"/>
                <w:sz w:val="20"/>
              </w:rPr>
              <w:t>Hash (Hàm băm)</w:t>
            </w:r>
          </w:p>
        </w:tc>
        <w:tc>
          <w:tcPr>
            <w:tcW w:type="dxa" w:w="3120"/>
          </w:tcPr>
          <w:p>
            <w:pPr>
              <w:spacing w:before="60" w:after="60"/>
            </w:pPr>
            <w:r>
              <w:rPr>
                <w:rFonts w:ascii="Times New Roman" w:hAnsi="Times New Roman"/>
                <w:sz w:val="20"/>
              </w:rPr>
              <w:t>Hàm toán học chuyển dữ liệu bất kỳ thành chuỗi ký tự cố định, không thể đảo ngược</w:t>
            </w:r>
          </w:p>
        </w:tc>
        <w:tc>
          <w:tcPr>
            <w:tcW w:type="dxa" w:w="3120"/>
          </w:tcPr>
          <w:p>
            <w:pPr>
              <w:spacing w:before="60" w:after="60"/>
            </w:pPr>
            <w:r>
              <w:rPr>
                <w:rFonts w:ascii="Times New Roman" w:hAnsi="Times New Roman"/>
                <w:sz w:val="20"/>
              </w:rPr>
              <w:t>Đảm bảo tính bất biến của mã định danh</w:t>
            </w:r>
          </w:p>
        </w:tc>
      </w:tr>
      <w:tr>
        <w:tc>
          <w:tcPr>
            <w:tcW w:type="dxa" w:w="3120"/>
          </w:tcPr>
          <w:p>
            <w:pPr>
              <w:spacing w:before="60" w:after="60"/>
            </w:pPr>
            <w:r>
              <w:rPr>
                <w:rFonts w:ascii="Times New Roman" w:hAnsi="Times New Roman"/>
                <w:sz w:val="20"/>
              </w:rPr>
              <w:t>Node (Nút mạng)</w:t>
            </w:r>
          </w:p>
        </w:tc>
        <w:tc>
          <w:tcPr>
            <w:tcW w:type="dxa" w:w="3120"/>
          </w:tcPr>
          <w:p>
            <w:pPr>
              <w:spacing w:before="60" w:after="60"/>
            </w:pPr>
            <w:r>
              <w:rPr>
                <w:rFonts w:ascii="Times New Roman" w:hAnsi="Times New Roman"/>
                <w:sz w:val="20"/>
              </w:rPr>
              <w:t>Máy tính tham gia mạng blockchain, lưu trữ bản sao sổ cái và xác nhận giao dịch</w:t>
            </w:r>
          </w:p>
        </w:tc>
        <w:tc>
          <w:tcPr>
            <w:tcW w:type="dxa" w:w="3120"/>
          </w:tcPr>
          <w:p>
            <w:pPr>
              <w:spacing w:before="60" w:after="60"/>
            </w:pPr>
            <w:r>
              <w:rPr>
                <w:rFonts w:ascii="Times New Roman" w:hAnsi="Times New Roman"/>
                <w:sz w:val="20"/>
              </w:rPr>
              <w:t>Bộ Xây dựng, các Sở vận hành node trong mô hình permissioned</w:t>
            </w:r>
          </w:p>
        </w:tc>
      </w:tr>
      <w:tr>
        <w:tc>
          <w:tcPr>
            <w:tcW w:type="dxa" w:w="3120"/>
          </w:tcPr>
          <w:p>
            <w:pPr>
              <w:spacing w:before="60" w:after="60"/>
            </w:pPr>
            <w:r>
              <w:rPr>
                <w:rFonts w:ascii="Times New Roman" w:hAnsi="Times New Roman"/>
                <w:sz w:val="20"/>
              </w:rPr>
              <w:t>Smart Contract (Hợp đồng thông minh)</w:t>
            </w:r>
          </w:p>
        </w:tc>
        <w:tc>
          <w:tcPr>
            <w:tcW w:type="dxa" w:w="3120"/>
          </w:tcPr>
          <w:p>
            <w:pPr>
              <w:spacing w:before="60" w:after="60"/>
            </w:pPr>
            <w:r>
              <w:rPr>
                <w:rFonts w:ascii="Times New Roman" w:hAnsi="Times New Roman"/>
                <w:sz w:val="20"/>
              </w:rPr>
              <w:t>Chương trình tự thực thi trên blockchain khi đủ điều kiện định trước</w:t>
            </w:r>
          </w:p>
        </w:tc>
        <w:tc>
          <w:tcPr>
            <w:tcW w:type="dxa" w:w="3120"/>
          </w:tcPr>
          <w:p>
            <w:pPr>
              <w:spacing w:before="60" w:after="60"/>
            </w:pPr>
            <w:r>
              <w:rPr>
                <w:rFonts w:ascii="Times New Roman" w:hAnsi="Times New Roman"/>
                <w:sz w:val="20"/>
              </w:rPr>
              <w:t>Tự động hóa quy trình giao dịch BĐS</w:t>
            </w:r>
          </w:p>
        </w:tc>
      </w:tr>
      <w:tr>
        <w:tc>
          <w:tcPr>
            <w:tcW w:type="dxa" w:w="3120"/>
          </w:tcPr>
          <w:p>
            <w:pPr>
              <w:spacing w:before="60" w:after="60"/>
            </w:pPr>
            <w:r>
              <w:rPr>
                <w:rFonts w:ascii="Times New Roman" w:hAnsi="Times New Roman"/>
                <w:sz w:val="20"/>
              </w:rPr>
              <w:t>NFT (Non-Fungible Token)</w:t>
            </w:r>
          </w:p>
        </w:tc>
        <w:tc>
          <w:tcPr>
            <w:tcW w:type="dxa" w:w="3120"/>
          </w:tcPr>
          <w:p>
            <w:pPr>
              <w:spacing w:before="60" w:after="60"/>
            </w:pPr>
            <w:r>
              <w:rPr>
                <w:rFonts w:ascii="Times New Roman" w:hAnsi="Times New Roman"/>
                <w:sz w:val="20"/>
              </w:rPr>
              <w:t>Token duy nhất, không thể thay thế, đại diện cho một tài sản cụ thể</w:t>
            </w:r>
          </w:p>
        </w:tc>
        <w:tc>
          <w:tcPr>
            <w:tcW w:type="dxa" w:w="3120"/>
          </w:tcPr>
          <w:p>
            <w:pPr>
              <w:spacing w:before="60" w:after="60"/>
            </w:pPr>
            <w:r>
              <w:rPr>
                <w:rFonts w:ascii="Times New Roman" w:hAnsi="Times New Roman"/>
                <w:sz w:val="20"/>
              </w:rPr>
              <w:t>Mã định danh BĐS có thể biểu diễn dưới dạng NFT</w:t>
            </w:r>
          </w:p>
        </w:tc>
      </w:tr>
      <w:tr>
        <w:tc>
          <w:tcPr>
            <w:tcW w:type="dxa" w:w="3120"/>
          </w:tcPr>
          <w:p>
            <w:pPr>
              <w:spacing w:before="60" w:after="60"/>
            </w:pPr>
            <w:r>
              <w:rPr>
                <w:rFonts w:ascii="Times New Roman" w:hAnsi="Times New Roman"/>
                <w:sz w:val="20"/>
              </w:rPr>
              <w:t>SBT (Soulbound Token)</w:t>
            </w:r>
          </w:p>
        </w:tc>
        <w:tc>
          <w:tcPr>
            <w:tcW w:type="dxa" w:w="3120"/>
          </w:tcPr>
          <w:p>
            <w:pPr>
              <w:spacing w:before="60" w:after="60"/>
            </w:pPr>
            <w:r>
              <w:rPr>
                <w:rFonts w:ascii="Times New Roman" w:hAnsi="Times New Roman"/>
                <w:sz w:val="20"/>
              </w:rPr>
              <w:t>Token gắn liền với danh tính, không thể chuyển nhượng</w:t>
            </w:r>
          </w:p>
        </w:tc>
        <w:tc>
          <w:tcPr>
            <w:tcW w:type="dxa" w:w="3120"/>
          </w:tcPr>
          <w:p>
            <w:pPr>
              <w:spacing w:before="60" w:after="60"/>
            </w:pPr>
            <w:r>
              <w:rPr>
                <w:rFonts w:ascii="Times New Roman" w:hAnsi="Times New Roman"/>
                <w:sz w:val="20"/>
              </w:rPr>
              <w:t>Phù hợp cho mã chứng chỉ hành nghề môi giới (17 ký tự)</w:t>
            </w:r>
          </w:p>
        </w:tc>
      </w:tr>
      <w:tr>
        <w:tc>
          <w:tcPr>
            <w:tcW w:type="dxa" w:w="3120"/>
          </w:tcPr>
          <w:p>
            <w:pPr>
              <w:spacing w:before="60" w:after="60"/>
            </w:pPr>
            <w:r>
              <w:rPr>
                <w:rFonts w:ascii="Times New Roman" w:hAnsi="Times New Roman"/>
                <w:sz w:val="20"/>
              </w:rPr>
              <w:t>ZKP (Zero-Knowledge Proof)</w:t>
            </w:r>
          </w:p>
        </w:tc>
        <w:tc>
          <w:tcPr>
            <w:tcW w:type="dxa" w:w="3120"/>
          </w:tcPr>
          <w:p>
            <w:pPr>
              <w:spacing w:before="60" w:after="60"/>
            </w:pPr>
            <w:r>
              <w:rPr>
                <w:rFonts w:ascii="Times New Roman" w:hAnsi="Times New Roman"/>
                <w:sz w:val="20"/>
              </w:rPr>
              <w:t>Giao thức chứng minh mệnh đề đúng mà không tiết lộ thông tin chi tiết</w:t>
            </w:r>
          </w:p>
        </w:tc>
        <w:tc>
          <w:tcPr>
            <w:tcW w:type="dxa" w:w="3120"/>
          </w:tcPr>
          <w:p>
            <w:pPr>
              <w:spacing w:before="60" w:after="60"/>
            </w:pPr>
            <w:r>
              <w:rPr>
                <w:rFonts w:ascii="Times New Roman" w:hAnsi="Times New Roman"/>
                <w:sz w:val="20"/>
              </w:rPr>
              <w:t>Bảo vệ dữ liệu cá nhân theo Điều 33 khoản 7-8</w:t>
            </w:r>
          </w:p>
        </w:tc>
      </w:tr>
      <w:tr>
        <w:tc>
          <w:tcPr>
            <w:tcW w:type="dxa" w:w="3120"/>
          </w:tcPr>
          <w:p>
            <w:pPr>
              <w:spacing w:before="60" w:after="60"/>
            </w:pPr>
            <w:r>
              <w:rPr>
                <w:rFonts w:ascii="Times New Roman" w:hAnsi="Times New Roman"/>
                <w:sz w:val="20"/>
              </w:rPr>
              <w:t>Oracle (Bộ cầu nối)</w:t>
            </w:r>
          </w:p>
        </w:tc>
        <w:tc>
          <w:tcPr>
            <w:tcW w:type="dxa" w:w="3120"/>
          </w:tcPr>
          <w:p>
            <w:pPr>
              <w:spacing w:before="60" w:after="60"/>
            </w:pPr>
            <w:r>
              <w:rPr>
                <w:rFonts w:ascii="Times New Roman" w:hAnsi="Times New Roman"/>
                <w:sz w:val="20"/>
              </w:rPr>
              <w:t>Dịch vụ cung cấp dữ liệu từ thế giới thực cho blockchain</w:t>
            </w:r>
          </w:p>
        </w:tc>
        <w:tc>
          <w:tcPr>
            <w:tcW w:type="dxa" w:w="3120"/>
          </w:tcPr>
          <w:p>
            <w:pPr>
              <w:spacing w:before="60" w:after="60"/>
            </w:pPr>
            <w:r>
              <w:rPr>
                <w:rFonts w:ascii="Times New Roman" w:hAnsi="Times New Roman"/>
                <w:sz w:val="20"/>
              </w:rPr>
              <w:t>Đồng bộ dữ liệu giữa Cổng quốc gia và blockchain</w:t>
            </w:r>
          </w:p>
        </w:tc>
      </w:tr>
      <w:tr>
        <w:tc>
          <w:tcPr>
            <w:tcW w:type="dxa" w:w="3120"/>
          </w:tcPr>
          <w:p>
            <w:pPr>
              <w:spacing w:before="60" w:after="60"/>
            </w:pPr>
            <w:r>
              <w:rPr>
                <w:rFonts w:ascii="Times New Roman" w:hAnsi="Times New Roman"/>
                <w:sz w:val="20"/>
              </w:rPr>
              <w:t>Permissioned Blockchain</w:t>
            </w:r>
          </w:p>
        </w:tc>
        <w:tc>
          <w:tcPr>
            <w:tcW w:type="dxa" w:w="3120"/>
          </w:tcPr>
          <w:p>
            <w:pPr>
              <w:spacing w:before="60" w:after="60"/>
            </w:pPr>
            <w:r>
              <w:rPr>
                <w:rFonts w:ascii="Times New Roman" w:hAnsi="Times New Roman"/>
                <w:sz w:val="20"/>
              </w:rPr>
              <w:t>Blockchain có kiểm soát quyền tham gia, chỉ tổ chức được cấp phép mới vận hành node</w:t>
            </w:r>
          </w:p>
        </w:tc>
        <w:tc>
          <w:tcPr>
            <w:tcW w:type="dxa" w:w="3120"/>
          </w:tcPr>
          <w:p>
            <w:pPr>
              <w:spacing w:before="60" w:after="60"/>
            </w:pPr>
            <w:r>
              <w:rPr>
                <w:rFonts w:ascii="Times New Roman" w:hAnsi="Times New Roman"/>
                <w:sz w:val="20"/>
              </w:rPr>
              <w:t>Mô hình phù hợp cho hệ thống nhà nước (Điều 7)</w:t>
            </w:r>
          </w:p>
        </w:tc>
      </w:tr>
      <w:tr>
        <w:tc>
          <w:tcPr>
            <w:tcW w:type="dxa" w:w="3120"/>
          </w:tcPr>
          <w:p>
            <w:pPr>
              <w:spacing w:before="60" w:after="60"/>
            </w:pPr>
            <w:r>
              <w:rPr>
                <w:rFonts w:ascii="Times New Roman" w:hAnsi="Times New Roman"/>
                <w:sz w:val="20"/>
              </w:rPr>
              <w:t>TPS (Transactions Per Second)</w:t>
            </w:r>
          </w:p>
        </w:tc>
        <w:tc>
          <w:tcPr>
            <w:tcW w:type="dxa" w:w="3120"/>
          </w:tcPr>
          <w:p>
            <w:pPr>
              <w:spacing w:before="60" w:after="60"/>
            </w:pPr>
            <w:r>
              <w:rPr>
                <w:rFonts w:ascii="Times New Roman" w:hAnsi="Times New Roman"/>
                <w:sz w:val="20"/>
              </w:rPr>
              <w:t>Số giao dịch xử lý mỗi giây — thước đo hiệu năng blockchain</w:t>
            </w:r>
          </w:p>
        </w:tc>
        <w:tc>
          <w:tcPr>
            <w:tcW w:type="dxa" w:w="3120"/>
          </w:tcPr>
          <w:p>
            <w:pPr>
              <w:spacing w:before="60" w:after="60"/>
            </w:pPr>
            <w:r>
              <w:rPr>
                <w:rFonts w:ascii="Times New Roman" w:hAnsi="Times New Roman"/>
                <w:sz w:val="20"/>
              </w:rPr>
              <w:t>Hyperledger Fabric đạt 3.000-20.000 TPS</w:t>
            </w:r>
          </w:p>
        </w:tc>
      </w:tr>
      <w:tr>
        <w:tc>
          <w:tcPr>
            <w:tcW w:type="dxa" w:w="3120"/>
          </w:tcPr>
          <w:p>
            <w:pPr>
              <w:spacing w:before="60" w:after="60"/>
            </w:pPr>
            <w:r>
              <w:rPr>
                <w:rFonts w:ascii="Times New Roman" w:hAnsi="Times New Roman"/>
                <w:sz w:val="20"/>
              </w:rPr>
              <w:t>Tokenization (Mã hóa tài sản)</w:t>
            </w:r>
          </w:p>
        </w:tc>
        <w:tc>
          <w:tcPr>
            <w:tcW w:type="dxa" w:w="3120"/>
          </w:tcPr>
          <w:p>
            <w:pPr>
              <w:spacing w:before="60" w:after="60"/>
            </w:pPr>
            <w:r>
              <w:rPr>
                <w:rFonts w:ascii="Times New Roman" w:hAnsi="Times New Roman"/>
                <w:sz w:val="20"/>
              </w:rPr>
              <w:t>Chuyển đổi quyền sở hữu tài sản thực thành token kỹ thuật số</w:t>
            </w:r>
          </w:p>
        </w:tc>
        <w:tc>
          <w:tcPr>
            <w:tcW w:type="dxa" w:w="3120"/>
          </w:tcPr>
          <w:p>
            <w:pPr>
              <w:spacing w:before="60" w:after="60"/>
            </w:pPr>
            <w:r>
              <w:rPr>
                <w:rFonts w:ascii="Times New Roman" w:hAnsi="Times New Roman"/>
                <w:sz w:val="20"/>
              </w:rPr>
              <w:t>Xu hướng toàn cầu, cơ hội tương lai cho VNDA</w:t>
            </w:r>
          </w:p>
        </w:tc>
      </w:tr>
      <w:tr>
        <w:tc>
          <w:tcPr>
            <w:tcW w:type="dxa" w:w="3120"/>
          </w:tcPr>
          <w:p>
            <w:pPr>
              <w:spacing w:before="60" w:after="60"/>
            </w:pPr>
            <w:r>
              <w:rPr>
                <w:rFonts w:ascii="Times New Roman" w:hAnsi="Times New Roman"/>
                <w:sz w:val="20"/>
              </w:rPr>
              <w:t>DLT (Distributed Ledger Technology)</w:t>
            </w:r>
          </w:p>
        </w:tc>
        <w:tc>
          <w:tcPr>
            <w:tcW w:type="dxa" w:w="3120"/>
          </w:tcPr>
          <w:p>
            <w:pPr>
              <w:spacing w:before="60" w:after="60"/>
            </w:pPr>
            <w:r>
              <w:rPr>
                <w:rFonts w:ascii="Times New Roman" w:hAnsi="Times New Roman"/>
                <w:sz w:val="20"/>
              </w:rPr>
              <w:t>Công nghệ sổ cái phân tán — tên gọi chung bao gồm blockchain và các biến thể</w:t>
            </w:r>
          </w:p>
        </w:tc>
        <w:tc>
          <w:tcPr>
            <w:tcW w:type="dxa" w:w="3120"/>
          </w:tcPr>
          <w:p>
            <w:pPr>
              <w:spacing w:before="60" w:after="60"/>
            </w:pPr>
            <w:r>
              <w:rPr>
                <w:rFonts w:ascii="Times New Roman" w:hAnsi="Times New Roman"/>
                <w:sz w:val="20"/>
              </w:rPr>
              <w:t>Thuật ngữ chính thức trong văn bản pháp lý quốc tế</w:t>
            </w:r>
          </w:p>
        </w:tc>
      </w:tr>
    </w:tbl>
    <w:p>
      <w:pPr>
        <w:spacing w:before="0" w:after="80"/>
      </w:pP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