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Bdr>
          <w:bottom w:val="single" w:sz="12" w:space="1" w:color="CCCCCC"/>
        </w:pBdr>
      </w:pPr>
    </w:p>
    <w:p>
      <w:r>
        <w:t>title: “Báo cáo đánh giá tác động Nghị định 357/2025/NĐ-CP tới hoạt động Tập đoàn Sun Group”</w:t>
        <w:br/>
        <w:t>version: 7</w:t>
        <w:br/>
        <w:t>created: 2026-03-05</w:t>
        <w:br/>
        <w:t>previous_version: bao-cao-nd357-v6.md</w:t>
        <w:br/>
        <w:t>changes: “Tiếp thu phản hồi SPG + BPC: (1) Hạ tầm VNDA — từ 13 mentions xuống 1-2 footnote; (2) Phân biệt vai trò CĐT (chuẩn bị, tiếp nhận) vs CQNN (cấp mã); (3) Bổ sung Phase 0 khảo sát thực tế PTDA; (4) Cân bằng tone cơ hội/rủi ro cấu trúc; (5) Bổ sung rủi ro kênh referral, chia sẻ mã trả phí, liên thông CSDL dài hạn; (6) Bổ sung Phòng Nguồn vốn vào RACI.”</w:t>
      </w:r>
    </w:p>
    <w:p>
      <w:pPr>
        <w:spacing w:before="120" w:after="120"/>
        <w:pBdr>
          <w:bottom w:val="single" w:sz="12" w:space="1" w:color="CCCCCC"/>
        </w:pBdr>
      </w:pPr>
    </w:p>
    <w:p>
      <w:pPr>
        <w:pStyle w:val="Heading1"/>
        <w:spacing w:before="360" w:after="160"/>
      </w:pPr>
      <w:r>
        <w:rPr>
          <w:rFonts w:ascii="Calibri" w:hAnsi="Calibri" w:eastAsia="Calibri"/>
          <w:color w:val="1A1A2E"/>
          <w:sz w:val="40"/>
        </w:rPr>
        <w:t>Báo cáo đánh giá tác động Nghị định 357/2025/NĐ-CP tới hoạt động Tập đoàn Sun Group</w:t>
      </w:r>
    </w:p>
    <w:p>
      <w:r>
        <w:rPr>
          <w:b/>
        </w:rPr>
        <w:t>Loại tài liệu:</w:t>
      </w:r>
      <w:r>
        <w:t xml:space="preserve"> Báo cáo nội bộ</w:t>
        <w:br/>
      </w:r>
      <w:r>
        <w:rPr>
          <w:b/>
        </w:rPr>
        <w:t>Ngày:</w:t>
      </w:r>
      <w:r>
        <w:t xml:space="preserve"> 23/02/2026 (cập nhật lần 2: 05/03/2026)</w:t>
        <w:br/>
      </w:r>
      <w:r>
        <w:rPr>
          <w:b/>
        </w:rPr>
        <w:t>Đơn vị soạn thảo:</w:t>
      </w:r>
      <w:r>
        <w:t xml:space="preserve"> Trợ lý Phó Chủ tịch HĐQT/TGĐ</w:t>
        <w:br/>
      </w:r>
      <w:r>
        <w:rPr>
          <w:b/>
        </w:rPr>
        <w:t>Phương pháp:</w:t>
      </w:r>
      <w:r>
        <w:t xml:space="preserve"> Phân tích tác động theo chuỗi giá trị (Value Chain Impact Assessment)</w:t>
        <w:br/>
      </w:r>
      <w:r>
        <w:rPr>
          <w:b/>
        </w:rPr>
        <w:t>Căn cứ pháp lý:</w:t>
      </w:r>
      <w:r>
        <w:t xml:space="preserve"> Nghị định số 357/2025/NĐ-CP ngày 31/12/2025 của Chính phủ về xây dựng và quản lý hệ thống thông tin, cơ sở dữ liệu về nhà ở và thị trường bất động sản</w:t>
      </w:r>
    </w:p>
    <w:p>
      <w:pPr>
        <w:pStyle w:val="Heading2"/>
        <w:spacing w:before="360" w:after="160"/>
      </w:pPr>
      <w:r>
        <w:rPr>
          <w:rFonts w:ascii="Calibri" w:hAnsi="Calibri" w:eastAsia="Calibri"/>
          <w:color w:val="1A1A2E"/>
          <w:sz w:val="36"/>
        </w:rPr>
        <w:t>KHUYẾN CÁO SỬ DỤNG BÁO CÁO</w:t>
      </w:r>
    </w:p>
    <w:p>
      <w:r>
        <w:t>Các phân tích, nhận định và đề xuất trong tài liệu này là bước nhận diện ban đầu dựa trên góc nhìn của người soạn thảo/đơn vị soạn thảo đối với Nghị định 357/2025/NĐ-CP. Báo cáo mang tính chất thông tin sớm và cung cấp định hướng chiến lược sơ bộ. Để đưa ra những quyết định điều hành hoặc ban hành quy trình thực thi chính thức, mức độ tác động chuyên sâu tới từng nghiệp vụ cần tiếp tục được khảo sát, lượng hóa và thẩm định chéo bởi các Khối/Ban chuyên trách liên quan (Pháp chế, Kinh doanh, Đối ngoại, Xây dựng, Tài chính - Kế toán, CNTT, DEC). Việc phân công chi tiết cho các đơn vị cũng cần rà soát và xây dựng cụ thể.</w:t>
      </w:r>
    </w:p>
    <w:p>
      <w:r>
        <w:t>Một số thông tin về tham chiếu luật cũng như quy trình hoạt động/yếu tố chuyên môn có thể sẽ được thay đổi sau khi các Ban/Khối chuyên môn tham gia ý kiến.</w:t>
      </w:r>
    </w:p>
    <w:p>
      <w:r>
        <w:rPr>
          <w:b/>
        </w:rPr>
        <w:t>Lưu ý bổ sung (v7):</w:t>
      </w:r>
      <w:r>
        <w:t xml:space="preserve"> Báo cáo đã tiếp thu ý kiến góp ý từ đại diện Khối SPG và Ban Pháp chế. Tuy nhiên, cần tham vấn thêm ý kiến của Phòng Nguồn vốn – Ban Tài chính Tập đoàn, cũng như thu thập thông tin thực tế từ PTDA các Vùng/Khu vực về hiện trạng triển khai tại các địa phương trước khi hoàn thiện kế hoạch triển khai.</w:t>
      </w:r>
    </w:p>
    <w:p>
      <w:pPr>
        <w:spacing w:before="120" w:after="120"/>
        <w:pBdr>
          <w:bottom w:val="single" w:sz="12" w:space="1" w:color="CCCCCC"/>
        </w:pBdr>
      </w:pPr>
    </w:p>
    <w:p>
      <w:pPr>
        <w:pStyle w:val="Heading2"/>
        <w:spacing w:before="360" w:after="160"/>
      </w:pPr>
      <w:r>
        <w:rPr>
          <w:rFonts w:ascii="Calibri" w:hAnsi="Calibri" w:eastAsia="Calibri"/>
          <w:color w:val="1A1A2E"/>
          <w:sz w:val="36"/>
        </w:rPr>
        <w:t>TÓM TẮT ĐIỀU HÀNH (EXECUTIVE SUMMARY)</w:t>
      </w:r>
    </w:p>
    <w:p>
      <w:r>
        <w:t>Bản tóm tắt được lập ra để Ban Lãnh đạo xem và đưa ra quyết định nhanh.</w:t>
      </w:r>
    </w:p>
    <w:p>
      <w:pPr>
        <w:pStyle w:val="Heading3"/>
        <w:spacing w:before="240" w:after="160"/>
      </w:pPr>
      <w:r>
        <w:rPr>
          <w:rFonts w:ascii="Calibri" w:hAnsi="Calibri" w:eastAsia="Calibri"/>
          <w:color w:val="1A1A2E"/>
          <w:sz w:val="32"/>
        </w:rPr>
        <w:t>ES.1. Ba điểm chính của Nghị định 357</w:t>
      </w:r>
    </w:p>
    <w:p>
      <w:r>
        <w:t>Nghị định 357/2025/NĐ-CP (sau đây gọi tắt là “NĐ 357”) có hiệu lực từ ngày 01/03/2026 (Điều 41 khoản 1), quy định chi tiết các Điều 72, 73, 74 và điểm a, b khoản 2 Điều 75 của Luật Kinh doanh bất động sản số 29/2023/QH15 (Điều 1). Theo nhận định của người soạn thảo, ba trụ cột chính bao gồm:</w:t>
      </w:r>
    </w:p>
    <w:p>
      <w:pPr>
        <w:spacing w:after="40" w:before="20"/>
        <w:ind w:left="720" w:hanging="357"/>
      </w:pPr>
      <w:r>
        <w:t xml:space="preserve">1. </w:t>
      </w:r>
      <w:r>
        <w:rPr>
          <w:b/>
        </w:rPr>
        <w:t>Định danh tài sản bất động sản:</w:t>
      </w:r>
      <w:r>
        <w:t>Mỗi sản phẩm BĐS (nhà ở, phần diện tích sàn xây dựng) được cơ quan nhà nước có thẩm quyền cấp một mã định danh điện tử tối đa 40 ký tự (</w:t>
      </w:r>
      <w:r>
        <w:rPr>
          <w:i/>
        </w:rPr>
        <w:t>lưu ý: Phụ lục I mục 1 ghi “tối đa 50 ký tự” — chưa thống nhất</w:t>
      </w:r>
      <w:r>
        <w:t>), duy nhất và không thể tẩy xóa (Điều 3 khoản 5; Điều 8; Điều 9). Mã này được gắn tự động trên hệ thống quốc gia cùng thời điểm ban hành văn bản thông báo đủ điều kiện bán nhà hình thành trong tương lai (Điều 8 khoản 2).</w:t>
      </w:r>
      <w:r>
        <w:rPr>
          <w:b/>
        </w:rPr>
        <w:t>Quyền khởi tạo mã thuộc về CQNN — chủ đầu tư là bên tiếp nhận và sử dụng mã trong quá trình kinh doanh, vận hành.</w:t>
      </w:r>
    </w:p>
    <w:p>
      <w:pPr>
        <w:spacing w:after="40" w:before="20"/>
        <w:ind w:left="720" w:hanging="357"/>
      </w:pPr>
      <w:r>
        <w:t xml:space="preserve">2. </w:t>
      </w:r>
      <w:r>
        <w:rPr>
          <w:b/>
        </w:rPr>
        <w:t>Định danh chủ thể tham gia thị trường:</w:t>
      </w:r>
      <w:r>
        <w:t>Bao gồm mã định danh đơn vị quản lý vận hành nhà chung cư (Điều 10), mã định danh chứng chỉ hành nghề môi giới BĐS - chuỗi 17 ký tự (Điều 11) và mã định danh cá nhân thụ hưởng chính sách nhà ở (Điều 12). Mọi chủ thể tham gia hệ thống phải có danh tính điện tử (Điều 13 khoản 1).</w:t>
      </w:r>
    </w:p>
    <w:p>
      <w:pPr>
        <w:spacing w:after="40" w:before="20"/>
        <w:ind w:left="720" w:hanging="357"/>
      </w:pPr>
      <w:r>
        <w:t xml:space="preserve">3. </w:t>
      </w:r>
      <w:r>
        <w:rPr>
          <w:b/>
        </w:rPr>
        <w:t>Liên thông cơ sở dữ liệu quốc gia:</w:t>
      </w:r>
      <w:r>
        <w:t>NĐ 357 quy định kết nối API thời gian thực (Điều 31 khoản 2) với CSDL quốc gia về dân cư (Bộ Công an - Điều 28 khoản 1), đất đai (Bộ Nông nghiệp và Môi trường - Điều 28 khoản 2), thuế, nguồn vốn đầu tư FDI và trái phiếu (Bộ Tài chính - Điều 28 khoản 3), tín dụng BĐS (Ngân hàng Nhà nước - Điều 28 khoản 4) và công chứng (Bộ Tư pháp - Điều 28 khoản 5).</w:t>
      </w:r>
      <w:r>
        <w:rPr>
          <w:i/>
        </w:rPr>
        <w:t>Tuy nhiên, thực tế triển khai liên thông giữa các hệ thống phụ thuộc vào tiến độ hạ tầng của từng bộ, ngành — bài học từ VNeID cho thấy kết nối liên thông có thể mất vài năm.</w:t>
      </w:r>
    </w:p>
    <w:p>
      <w:pPr>
        <w:pStyle w:val="Heading3"/>
        <w:spacing w:before="240" w:after="160"/>
      </w:pPr>
      <w:r>
        <w:rPr>
          <w:rFonts w:ascii="Calibri" w:hAnsi="Calibri" w:eastAsia="Calibri"/>
          <w:color w:val="1A1A2E"/>
          <w:sz w:val="32"/>
        </w:rPr>
        <w:t>ES.2. Cảnh báo rủi ro</w:t>
      </w:r>
    </w:p>
    <w:p>
      <w:pPr>
        <w:spacing w:after="40" w:before="20"/>
        <w:ind w:left="720" w:hanging="357"/>
      </w:pPr>
      <w:r>
        <w:rPr>
          <w:sz w:val="20"/>
        </w:rPr>
        <w:t xml:space="preserve">• </w:t>
      </w:r>
      <w:r>
        <w:rPr>
          <w:b/>
        </w:rPr>
        <w:t>Rủi ro thanh khoản từ tâm lý tệp khách VIP:</w:t>
      </w:r>
      <w:r>
        <w:t>Việc liên thông dữ liệu giao dịch với cơ quan Thuế (Điều 28 khoản 3) và lưu vết toàn bộ lịch sử giao dịch theo mã định danh (Điều 4 khoản 5; Phụ lục VI mục 5) có thể khiến nhóm khách hàng sở hữu nhiều tài sản phát sinh tâm lý e ngại, dẫn tới sụt thanh khoản cục bộ trong phân khúc cao cấp.</w:t>
      </w:r>
    </w:p>
    <w:p>
      <w:pPr>
        <w:spacing w:after="40" w:before="20"/>
        <w:ind w:left="720" w:hanging="357"/>
      </w:pPr>
      <w:r>
        <w:rPr>
          <w:sz w:val="20"/>
        </w:rPr>
        <w:t xml:space="preserve">• </w:t>
      </w:r>
      <w:r>
        <w:rPr>
          <w:b/>
        </w:rPr>
        <w:t>Nguy cơ đứt gãy hệ thống phân phối đại lý:</w:t>
      </w:r>
      <w:r>
        <w:t>Theo Điều 11, mọi môi giới BĐS phải có mã định danh điện tử chứng chỉ hành nghề. Theo Điều 22, sàn giao dịch phải cung cấp đầy đủ thông tin nhân sự có chứng chỉ. Những nhân viên bán hàng tại các đại lý F1, F2 chưa có chứng chỉ sau ngày 01/03/2026 sẽ không thể thực hiện giao dịch hợp pháp. Ngoài ra, tại Việt Nam, khách hàng đầu tư BĐS thường giới thiệu khách hàng khác (kênh referral) và thực chất đóng vai trò môi giới — kênh phân phối phi chính thức này cũng sẽ bị ảnh hưởng nghiêm trọng.</w:t>
      </w:r>
    </w:p>
    <w:p>
      <w:pPr>
        <w:spacing w:after="40" w:before="20"/>
        <w:ind w:left="720" w:hanging="357"/>
      </w:pPr>
      <w:r>
        <w:rPr>
          <w:sz w:val="20"/>
        </w:rPr>
        <w:t xml:space="preserve">• </w:t>
      </w:r>
      <w:r>
        <w:rPr>
          <w:b/>
        </w:rPr>
        <w:t>Rủi ro cấu trúc ngành BĐS:</w:t>
      </w:r>
      <w:r>
        <w:t>NĐ 357 đẩy nhanh tiến trình minh bạch hóa thị trường theo hướng tương tự các nước Châu Âu. Về dài hạn, điều này có thể thay đổi cơ cấu thị trường BĐS Việt Nam: giảm yếu tố đầu cơ, tăng yếu tố giá trị sử dụng thực. Đây là rủi ro cấu trúc cần được Ban Lãnh đạo nhận diện sớm.</w:t>
      </w:r>
    </w:p>
    <w:p>
      <w:pPr>
        <w:spacing w:after="40" w:before="20"/>
        <w:ind w:left="720" w:hanging="357"/>
      </w:pPr>
      <w:r>
        <w:rPr>
          <w:sz w:val="20"/>
        </w:rPr>
        <w:t xml:space="preserve">• </w:t>
      </w:r>
      <w:r>
        <w:rPr>
          <w:b/>
        </w:rPr>
        <w:t>Bất nhất kỹ thuật trong NĐ 357:</w:t>
      </w:r>
      <w:r>
        <w:t>Điều 3 khoản 5 quy định mã định danh “tối đa 40 ký tự”, trong khi Phụ lục I mục 1 ghi “tối đa 50 ký tự”. Sự chưa thống nhất này ảnh hưởng trực tiếp đến thiết kế database nội bộ và cần được Bộ Xây dựng làm rõ.</w:t>
      </w:r>
    </w:p>
    <w:p>
      <w:pPr>
        <w:pStyle w:val="Heading3"/>
        <w:spacing w:before="240" w:after="160"/>
      </w:pPr>
      <w:r>
        <w:rPr>
          <w:rFonts w:ascii="Calibri" w:hAnsi="Calibri" w:eastAsia="Calibri"/>
          <w:color w:val="1A1A2E"/>
          <w:sz w:val="32"/>
        </w:rPr>
        <w:t>ES.3. Nhận diện cơ hội</w:t>
      </w:r>
    </w:p>
    <w:p>
      <w:pPr>
        <w:spacing w:after="40" w:before="20"/>
        <w:ind w:left="720" w:hanging="357"/>
      </w:pPr>
      <w:r>
        <w:rPr>
          <w:sz w:val="20"/>
        </w:rPr>
        <w:t xml:space="preserve">• </w:t>
      </w:r>
      <w:r>
        <w:rPr>
          <w:b/>
        </w:rPr>
        <w:t>Biến chi phí tuân thủ thành rào cản cạnh tranh:</w:t>
      </w:r>
      <w:r>
        <w:t>Các chủ đầu tư nhỏ, yếu năng lực công nghệ và pháp lý sẽ không đáp ứng được yêu cầu chuẩn hóa dữ liệu trước thời hạn 01/07/2026 (Điều 40 khoản 1). Sun Group, với hệ sinh thái cùng nền tảng và năng lực công nghệ sẵn có (CRM, App, SAP), có thể nắm giữ lợi thế tiên phong. Trong trường hợp Ban Lãnh đạo quan tâm, Sun Group có thể cung cấp dịch vụ hỗ trợ các doanh nghiệp BĐS khác chuẩn bị hạ tầng tiếp nhận và tích hợp mã định danh BĐS do CQNN cấp.</w:t>
      </w:r>
    </w:p>
    <w:p>
      <w:pPr>
        <w:spacing w:after="40" w:before="20"/>
        <w:ind w:left="720" w:hanging="357"/>
      </w:pPr>
      <w:r>
        <w:rPr>
          <w:sz w:val="20"/>
        </w:rPr>
        <w:t xml:space="preserve">• </w:t>
      </w:r>
      <w:r>
        <w:rPr>
          <w:b/>
        </w:rPr>
        <w:t>Định vị BĐS của Sun Group là “tài sản minh bạch, an toàn tuyệt đối”:</w:t>
      </w:r>
      <w:r>
        <w:t>Mỗi sản phẩm được gắn mã định danh quốc gia, toàn bộ lịch sử pháp lý, thế chấp và giao dịch có thể được truy xuất tức thời. Lúc này, việc minh bạch hóa thông tin trở thành công cụ marketing mạnh mẽ cho sản phẩm của Sun Group.</w:t>
      </w:r>
    </w:p>
    <w:p>
      <w:pPr>
        <w:spacing w:after="40" w:before="20"/>
        <w:ind w:left="720" w:hanging="357"/>
      </w:pPr>
      <w:r>
        <w:rPr>
          <w:sz w:val="20"/>
        </w:rPr>
        <w:t xml:space="preserve">• </w:t>
      </w:r>
      <w:r>
        <w:rPr>
          <w:b/>
        </w:rPr>
        <w:t>Tiềm năng ứng dụng blockchain làm hạ tầng bổ trợ:</w:t>
      </w:r>
      <w:r>
        <w:t>Các yêu cầu kỹ thuật của NĐ 357 (mã bất biến, truy xuất lịch sử, chữ ký số, lưu vết toàn diện) tương thích cao với đặc tính cốt lõi của công nghệ blockchain. Đây là cơ hội để Sun Group nghiên cứu ứng dụng blockchain vào lớp xác thực bổ sung cho hệ thống định danh BĐS, đồng thời mở ra tiềm năng doanh thu mới từ mô hình SaaS/Platform cung cấp giải pháp cho các công ty BĐS khác trên thị trường (chi tiết trình bày tại Phần 4).</w:t>
      </w:r>
      <w:r>
        <w:rPr>
          <w:i/>
        </w:rPr>
        <w:t>Lưu ý: Cơ hội blockchain là cơ hội về công cụ/hạ tầng công nghệ — không nên nhầm lẫn với cơ hội kinh doanh BĐS.</w:t>
      </w:r>
    </w:p>
    <w:p>
      <w:pPr>
        <w:pStyle w:val="Heading3"/>
        <w:spacing w:before="240" w:after="160"/>
      </w:pPr>
      <w:r>
        <w:rPr>
          <w:rFonts w:ascii="Calibri" w:hAnsi="Calibri" w:eastAsia="Calibri"/>
          <w:color w:val="1A1A2E"/>
          <w:sz w:val="32"/>
        </w:rPr>
        <w:t>ES.4. Đề xuất thực hiện ngay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w:t>
            </w:r>
          </w:p>
        </w:tc>
        <w:tc>
          <w:tcPr>
            <w:tcW w:type="dxa" w:w="3120"/>
            <w:shd w:fill="E2E8F0" w:val="clear"/>
          </w:tcPr>
          <w:p>
            <w:pPr>
              <w:spacing w:before="60" w:after="60"/>
            </w:pPr>
            <w:r>
              <w:rPr>
                <w:rFonts w:ascii="Calibri" w:hAnsi="Calibri"/>
                <w:b/>
                <w:sz w:val="20"/>
              </w:rPr>
              <w:t>Nội dung</w:t>
            </w:r>
          </w:p>
        </w:tc>
        <w:tc>
          <w:tcPr>
            <w:tcW w:type="dxa" w:w="3120"/>
            <w:shd w:fill="E2E8F0" w:val="clear"/>
          </w:tcPr>
          <w:p>
            <w:pPr>
              <w:spacing w:before="60" w:after="60"/>
            </w:pPr>
            <w:r>
              <w:rPr>
                <w:rFonts w:ascii="Calibri" w:hAnsi="Calibri"/>
                <w:b/>
                <w:sz w:val="20"/>
              </w:rPr>
              <w:t>Thời gian</w:t>
            </w:r>
          </w:p>
        </w:tc>
      </w:tr>
      <w:tr>
        <w:tc>
          <w:tcPr>
            <w:tcW w:type="dxa" w:w="3120"/>
          </w:tcPr>
          <w:p>
            <w:pPr>
              <w:spacing w:before="60" w:after="60"/>
            </w:pPr>
            <w:r>
              <w:rPr>
                <w:rFonts w:ascii="Calibri" w:hAnsi="Calibri"/>
                <w:sz w:val="20"/>
              </w:rPr>
              <w:t>1</w:t>
            </w:r>
          </w:p>
        </w:tc>
        <w:tc>
          <w:tcPr>
            <w:tcW w:type="dxa" w:w="3120"/>
          </w:tcPr>
          <w:p>
            <w:pPr>
              <w:spacing w:before="60" w:after="60"/>
            </w:pPr>
            <w:r>
              <w:rPr>
                <w:rFonts w:ascii="Calibri" w:hAnsi="Calibri"/>
                <w:sz w:val="20"/>
              </w:rPr>
              <w:t>Thành lập Tổ công tác Task Force 357</w:t>
            </w:r>
          </w:p>
        </w:tc>
        <w:tc>
          <w:tcPr>
            <w:tcW w:type="dxa" w:w="3120"/>
          </w:tcPr>
          <w:p>
            <w:pPr>
              <w:spacing w:before="60" w:after="60"/>
            </w:pPr>
            <w:r>
              <w:rPr>
                <w:rFonts w:ascii="Calibri" w:hAnsi="Calibri"/>
                <w:sz w:val="20"/>
              </w:rPr>
              <w:t>Tuần này</w:t>
            </w:r>
          </w:p>
        </w:tc>
      </w:tr>
      <w:tr>
        <w:tc>
          <w:tcPr>
            <w:tcW w:type="dxa" w:w="3120"/>
          </w:tcPr>
          <w:p>
            <w:pPr>
              <w:spacing w:before="60" w:after="60"/>
            </w:pPr>
            <w:r>
              <w:rPr>
                <w:rFonts w:ascii="Calibri" w:hAnsi="Calibri"/>
                <w:sz w:val="20"/>
              </w:rPr>
              <w:t>2</w:t>
            </w:r>
          </w:p>
        </w:tc>
        <w:tc>
          <w:tcPr>
            <w:tcW w:type="dxa" w:w="3120"/>
          </w:tcPr>
          <w:p>
            <w:pPr>
              <w:spacing w:before="60" w:after="60"/>
            </w:pPr>
            <w:r>
              <w:rPr>
                <w:rFonts w:ascii="Calibri" w:hAnsi="Calibri"/>
                <w:sz w:val="20"/>
              </w:rPr>
              <w:t>Giao PTDA các Vùng/Khu vực thu thập thông tin thực tế triển khai NĐ 357 tại các Sở Xây dựng địa phương (Phase 0 khảo sát)</w:t>
            </w:r>
          </w:p>
        </w:tc>
        <w:tc>
          <w:tcPr>
            <w:tcW w:type="dxa" w:w="3120"/>
          </w:tcPr>
          <w:p>
            <w:pPr>
              <w:spacing w:before="60" w:after="60"/>
            </w:pPr>
            <w:r>
              <w:rPr>
                <w:rFonts w:ascii="Calibri" w:hAnsi="Calibri"/>
                <w:sz w:val="20"/>
              </w:rPr>
              <w:t>14 ngày</w:t>
            </w:r>
          </w:p>
        </w:tc>
      </w:tr>
      <w:tr>
        <w:tc>
          <w:tcPr>
            <w:tcW w:type="dxa" w:w="3120"/>
          </w:tcPr>
          <w:p>
            <w:pPr>
              <w:spacing w:before="60" w:after="60"/>
            </w:pPr>
            <w:r>
              <w:rPr>
                <w:rFonts w:ascii="Calibri" w:hAnsi="Calibri"/>
                <w:sz w:val="20"/>
              </w:rPr>
              <w:t>3</w:t>
            </w:r>
          </w:p>
        </w:tc>
        <w:tc>
          <w:tcPr>
            <w:tcW w:type="dxa" w:w="3120"/>
          </w:tcPr>
          <w:p>
            <w:pPr>
              <w:spacing w:before="60" w:after="60"/>
            </w:pPr>
            <w:r>
              <w:rPr>
                <w:rFonts w:ascii="Calibri" w:hAnsi="Calibri"/>
                <w:sz w:val="20"/>
              </w:rPr>
              <w:t>Ban hành Thông báo yêu cầu đại lý F1/F2 rà soát và báo cáo tỷ lệ nhân viên có chứng chỉ hành nghề kèm mã định danh điện tử</w:t>
            </w:r>
          </w:p>
        </w:tc>
        <w:tc>
          <w:tcPr>
            <w:tcW w:type="dxa" w:w="3120"/>
          </w:tcPr>
          <w:p>
            <w:pPr>
              <w:spacing w:before="60" w:after="60"/>
            </w:pPr>
            <w:r>
              <w:rPr>
                <w:rFonts w:ascii="Calibri" w:hAnsi="Calibri"/>
                <w:sz w:val="20"/>
              </w:rPr>
              <w:t>14 ngày</w:t>
            </w:r>
          </w:p>
        </w:tc>
      </w:tr>
      <w:tr>
        <w:tc>
          <w:tcPr>
            <w:tcW w:type="dxa" w:w="3120"/>
          </w:tcPr>
          <w:p>
            <w:pPr>
              <w:spacing w:before="60" w:after="60"/>
            </w:pPr>
            <w:r>
              <w:rPr>
                <w:rFonts w:ascii="Calibri" w:hAnsi="Calibri"/>
                <w:sz w:val="20"/>
              </w:rPr>
              <w:t>4</w:t>
            </w:r>
          </w:p>
        </w:tc>
        <w:tc>
          <w:tcPr>
            <w:tcW w:type="dxa" w:w="3120"/>
          </w:tcPr>
          <w:p>
            <w:pPr>
              <w:spacing w:before="60" w:after="60"/>
            </w:pPr>
            <w:r>
              <w:rPr>
                <w:rFonts w:ascii="Calibri" w:hAnsi="Calibri"/>
                <w:sz w:val="20"/>
              </w:rPr>
              <w:t>Phê duyệt ngân sách nâng cấp hạ tầng CNTT (API, CRM, ERP)</w:t>
            </w:r>
          </w:p>
        </w:tc>
        <w:tc>
          <w:tcPr>
            <w:tcW w:type="dxa" w:w="3120"/>
          </w:tcPr>
          <w:p>
            <w:pPr>
              <w:spacing w:before="60" w:after="60"/>
            </w:pPr>
            <w:r>
              <w:rPr>
                <w:rFonts w:ascii="Calibri" w:hAnsi="Calibri"/>
                <w:sz w:val="20"/>
              </w:rPr>
              <w:t>21 ngày</w:t>
            </w:r>
          </w:p>
        </w:tc>
      </w:tr>
      <w:tr>
        <w:tc>
          <w:tcPr>
            <w:tcW w:type="dxa" w:w="3120"/>
          </w:tcPr>
          <w:p>
            <w:pPr>
              <w:spacing w:before="60" w:after="60"/>
            </w:pPr>
            <w:r>
              <w:rPr>
                <w:rFonts w:ascii="Calibri" w:hAnsi="Calibri"/>
                <w:sz w:val="20"/>
              </w:rPr>
              <w:t>5</w:t>
            </w:r>
          </w:p>
        </w:tc>
        <w:tc>
          <w:tcPr>
            <w:tcW w:type="dxa" w:w="3120"/>
          </w:tcPr>
          <w:p>
            <w:pPr>
              <w:spacing w:before="60" w:after="60"/>
            </w:pPr>
            <w:r>
              <w:rPr>
                <w:rFonts w:ascii="Calibri" w:hAnsi="Calibri"/>
                <w:sz w:val="20"/>
              </w:rPr>
              <w:t>Ban CNTT phối hợp DEC nghiên cứu khả thi ứng dụng blockchain cho hạ tầng định danh BĐS nội bộ</w:t>
            </w:r>
          </w:p>
        </w:tc>
        <w:tc>
          <w:tcPr>
            <w:tcW w:type="dxa" w:w="3120"/>
          </w:tcPr>
          <w:p>
            <w:pPr>
              <w:spacing w:before="60" w:after="60"/>
            </w:pPr>
            <w:r>
              <w:rPr>
                <w:rFonts w:ascii="Calibri" w:hAnsi="Calibri"/>
                <w:sz w:val="20"/>
              </w:rPr>
              <w:t>45 ngày</w:t>
            </w:r>
          </w:p>
        </w:tc>
      </w:tr>
    </w:tbl>
    <w:p>
      <w:pPr>
        <w:spacing w:before="0" w:after="80"/>
      </w:pPr>
    </w:p>
    <w:p>
      <w:pPr>
        <w:spacing w:before="120" w:after="120"/>
        <w:pBdr>
          <w:bottom w:val="single" w:sz="12" w:space="1" w:color="CCCCCC"/>
        </w:pBdr>
      </w:pPr>
    </w:p>
    <w:p>
      <w:pPr>
        <w:pStyle w:val="Heading2"/>
        <w:spacing w:before="360" w:after="160"/>
      </w:pPr>
      <w:r>
        <w:rPr>
          <w:rFonts w:ascii="Calibri" w:hAnsi="Calibri" w:eastAsia="Calibri"/>
          <w:color w:val="1A1A2E"/>
          <w:sz w:val="36"/>
        </w:rPr>
        <w:t>Mục lục</w:t>
      </w:r>
    </w:p>
    <w:p>
      <w:pPr>
        <w:spacing w:after="40" w:before="20"/>
        <w:ind w:left="720" w:hanging="357"/>
      </w:pPr>
      <w:r>
        <w:rPr>
          <w:sz w:val="20"/>
        </w:rPr>
        <w:t xml:space="preserve">• </w:t>
      </w:r>
      <w:r>
        <w:t>TÓM TẮT ĐIỀU HÀNH (EXECUTIVE SUMMARY)</w:t>
      </w:r>
    </w:p>
    <w:p>
      <w:pPr>
        <w:spacing w:after="40" w:before="20"/>
        <w:ind w:left="720" w:hanging="357"/>
      </w:pPr>
      <w:r>
        <w:rPr>
          <w:sz w:val="20"/>
        </w:rPr>
        <w:t xml:space="preserve">• </w:t>
      </w:r>
      <w:r>
        <w:t>ES.1. Ba điểm chính của Nghị định 357</w:t>
      </w:r>
    </w:p>
    <w:p>
      <w:pPr>
        <w:spacing w:after="40" w:before="20"/>
        <w:ind w:left="720" w:hanging="357"/>
      </w:pPr>
      <w:r>
        <w:rPr>
          <w:sz w:val="20"/>
        </w:rPr>
        <w:t xml:space="preserve">• </w:t>
      </w:r>
      <w:r>
        <w:t>ES.2. Cảnh báo rủi ro</w:t>
      </w:r>
    </w:p>
    <w:p>
      <w:pPr>
        <w:spacing w:after="40" w:before="20"/>
        <w:ind w:left="720" w:hanging="357"/>
      </w:pPr>
      <w:r>
        <w:rPr>
          <w:sz w:val="20"/>
        </w:rPr>
        <w:t xml:space="preserve">• </w:t>
      </w:r>
      <w:r>
        <w:t>ES.3. Nhận diện cơ hội</w:t>
      </w:r>
    </w:p>
    <w:p>
      <w:pPr>
        <w:spacing w:after="40" w:before="20"/>
        <w:ind w:left="720" w:hanging="357"/>
      </w:pPr>
      <w:r>
        <w:rPr>
          <w:sz w:val="20"/>
        </w:rPr>
        <w:t xml:space="preserve">• </w:t>
      </w:r>
      <w:r>
        <w:t>ES.4. Đề xuất thực hiện ngay</w:t>
      </w:r>
    </w:p>
    <w:p>
      <w:pPr>
        <w:spacing w:after="40" w:before="20"/>
        <w:ind w:left="720" w:hanging="357"/>
      </w:pPr>
      <w:r>
        <w:rPr>
          <w:sz w:val="20"/>
        </w:rPr>
        <w:t xml:space="preserve">• </w:t>
      </w:r>
      <w:r>
        <w:t>Phần 1. Bối cảnh vĩ mô và hàm ý chính sách của cơ quan quản lý nhà nước</w:t>
      </w:r>
    </w:p>
    <w:p>
      <w:pPr>
        <w:spacing w:after="40" w:before="20"/>
        <w:ind w:left="720" w:hanging="357"/>
      </w:pPr>
      <w:r>
        <w:rPr>
          <w:sz w:val="20"/>
        </w:rPr>
        <w:t xml:space="preserve">• </w:t>
      </w:r>
      <w:r>
        <w:t>1.1. Bức tranh toàn cảnh</w:t>
      </w:r>
    </w:p>
    <w:p>
      <w:pPr>
        <w:spacing w:after="40" w:before="20"/>
        <w:ind w:left="720" w:hanging="357"/>
      </w:pPr>
      <w:r>
        <w:rPr>
          <w:sz w:val="20"/>
        </w:rPr>
        <w:t xml:space="preserve">• </w:t>
      </w:r>
      <w:r>
        <w:t>1.2. Hàm ý chính sách của Chính phủ khi ban hành NĐ 357</w:t>
      </w:r>
    </w:p>
    <w:p>
      <w:pPr>
        <w:spacing w:after="40" w:before="20"/>
        <w:ind w:left="720" w:hanging="357"/>
      </w:pPr>
      <w:r>
        <w:rPr>
          <w:sz w:val="20"/>
        </w:rPr>
        <w:t xml:space="preserve">• </w:t>
      </w:r>
      <w:r>
        <w:t>1.3. Vị thế của Sun Group trong bối cảnh mới</w:t>
      </w:r>
    </w:p>
    <w:p>
      <w:pPr>
        <w:spacing w:after="40" w:before="20"/>
        <w:ind w:left="720" w:hanging="357"/>
      </w:pPr>
      <w:r>
        <w:rPr>
          <w:sz w:val="20"/>
        </w:rPr>
        <w:t xml:space="preserve">• </w:t>
      </w:r>
      <w:r>
        <w:t>Phần 2. Đánh giá tác động và kế hoạch hành động theo chuỗi giá trị</w:t>
      </w:r>
    </w:p>
    <w:p>
      <w:pPr>
        <w:spacing w:after="40" w:before="20"/>
        <w:ind w:left="720" w:hanging="357"/>
      </w:pPr>
      <w:r>
        <w:rPr>
          <w:sz w:val="20"/>
        </w:rPr>
        <w:t xml:space="preserve">• </w:t>
      </w:r>
      <w:r>
        <w:t>Bảng tổng hợp nhanh về tác động</w:t>
      </w:r>
    </w:p>
    <w:p>
      <w:pPr>
        <w:spacing w:after="40" w:before="20"/>
        <w:ind w:left="720" w:hanging="357"/>
      </w:pPr>
      <w:r>
        <w:rPr>
          <w:sz w:val="20"/>
        </w:rPr>
        <w:t xml:space="preserve">• </w:t>
      </w:r>
      <w:r>
        <w:t>2.1. Giai đoạn khởi tạo dự án, pháp lý và xử lý tồn kho</w:t>
      </w:r>
    </w:p>
    <w:p>
      <w:pPr>
        <w:spacing w:after="40" w:before="20"/>
        <w:ind w:left="720" w:hanging="357"/>
      </w:pPr>
      <w:r>
        <w:rPr>
          <w:sz w:val="20"/>
        </w:rPr>
        <w:t xml:space="preserve">• </w:t>
      </w:r>
      <w:r>
        <w:t>2.2. Giai đoạn phân phối, marketing và giao dịch</w:t>
      </w:r>
    </w:p>
    <w:p>
      <w:pPr>
        <w:spacing w:after="40" w:before="20"/>
        <w:ind w:left="720" w:hanging="357"/>
      </w:pPr>
      <w:r>
        <w:rPr>
          <w:sz w:val="20"/>
        </w:rPr>
        <w:t xml:space="preserve">• </w:t>
      </w:r>
      <w:r>
        <w:t>2.3. Giai đoạn bàn giao, quản lý vận hành và hậu mãi</w:t>
      </w:r>
    </w:p>
    <w:p>
      <w:pPr>
        <w:spacing w:after="40" w:before="20"/>
        <w:ind w:left="720" w:hanging="357"/>
      </w:pPr>
      <w:r>
        <w:rPr>
          <w:sz w:val="20"/>
        </w:rPr>
        <w:t xml:space="preserve">• </w:t>
      </w:r>
      <w:r>
        <w:t>2.4. Giai đoạn xây dựng hạ tầng công nghệ, dữ liệu và tài chính</w:t>
      </w:r>
    </w:p>
    <w:p>
      <w:pPr>
        <w:spacing w:after="40" w:before="20"/>
        <w:ind w:left="720" w:hanging="357"/>
      </w:pPr>
      <w:r>
        <w:rPr>
          <w:sz w:val="20"/>
        </w:rPr>
        <w:t xml:space="preserve">• </w:t>
      </w:r>
      <w:r>
        <w:t>Phần 3. Kế hoạch dự phòng kinh doanh liên tục (Business Continuity Plan)</w:t>
      </w:r>
    </w:p>
    <w:p>
      <w:pPr>
        <w:spacing w:after="40" w:before="20"/>
        <w:ind w:left="720" w:hanging="357"/>
      </w:pPr>
      <w:r>
        <w:rPr>
          <w:sz w:val="20"/>
        </w:rPr>
        <w:t xml:space="preserve">• </w:t>
      </w:r>
      <w:r>
        <w:t>3.1. Kịch bản sập/nghẽn cổng dữ liệu</w:t>
      </w:r>
    </w:p>
    <w:p>
      <w:pPr>
        <w:spacing w:after="40" w:before="20"/>
        <w:ind w:left="720" w:hanging="357"/>
      </w:pPr>
      <w:r>
        <w:rPr>
          <w:sz w:val="20"/>
        </w:rPr>
        <w:t xml:space="preserve">• </w:t>
      </w:r>
      <w:r>
        <w:t>3.2. Kịch bản bảo mật an toàn thông tin</w:t>
      </w:r>
    </w:p>
    <w:p>
      <w:pPr>
        <w:spacing w:after="40" w:before="20"/>
        <w:ind w:left="720" w:hanging="357"/>
      </w:pPr>
      <w:r>
        <w:rPr>
          <w:sz w:val="20"/>
        </w:rPr>
        <w:t xml:space="preserve">• </w:t>
      </w:r>
      <w:r>
        <w:t>3.3. Kịch bản xử lý sai lệch dữ liệu</w:t>
      </w:r>
    </w:p>
    <w:p>
      <w:pPr>
        <w:spacing w:after="40" w:before="20"/>
        <w:ind w:left="720" w:hanging="357"/>
      </w:pPr>
      <w:r>
        <w:rPr>
          <w:sz w:val="20"/>
        </w:rPr>
        <w:t xml:space="preserve">• </w:t>
      </w:r>
      <w:r>
        <w:t>Phần 4. Phân tích tiềm năng ứng dụng blockchain cho hạ tầng định danh BĐS</w:t>
      </w:r>
    </w:p>
    <w:p>
      <w:pPr>
        <w:spacing w:after="40" w:before="20"/>
        <w:ind w:left="720" w:hanging="357"/>
      </w:pPr>
      <w:r>
        <w:rPr>
          <w:sz w:val="20"/>
        </w:rPr>
        <w:t xml:space="preserve">• </w:t>
      </w:r>
      <w:r>
        <w:t>4.1. Tại sao blockchain có thể đóng vai trò hạ tầng bổ trợ</w:t>
      </w:r>
    </w:p>
    <w:p>
      <w:pPr>
        <w:spacing w:after="40" w:before="20"/>
        <w:ind w:left="720" w:hanging="357"/>
      </w:pPr>
      <w:r>
        <w:rPr>
          <w:sz w:val="20"/>
        </w:rPr>
        <w:t xml:space="preserve">• </w:t>
      </w:r>
      <w:r>
        <w:t>4.2. Phân tích tính tương thích theo từng yêu cầu của NĐ 357</w:t>
      </w:r>
    </w:p>
    <w:p>
      <w:pPr>
        <w:spacing w:after="40" w:before="20"/>
        <w:ind w:left="720" w:hanging="357"/>
      </w:pPr>
      <w:r>
        <w:rPr>
          <w:sz w:val="20"/>
        </w:rPr>
        <w:t xml:space="preserve">• </w:t>
      </w:r>
      <w:r>
        <w:t>4.3. Rào cản và thách thức</w:t>
      </w:r>
    </w:p>
    <w:p>
      <w:pPr>
        <w:spacing w:after="40" w:before="20"/>
        <w:ind w:left="720" w:hanging="357"/>
      </w:pPr>
      <w:r>
        <w:rPr>
          <w:sz w:val="20"/>
        </w:rPr>
        <w:t xml:space="preserve">• </w:t>
      </w:r>
      <w:r>
        <w:t>4.4. Cơ hội chiến lược cho Sun Group</w:t>
      </w:r>
    </w:p>
    <w:p>
      <w:pPr>
        <w:spacing w:after="40" w:before="20"/>
        <w:ind w:left="720" w:hanging="357"/>
      </w:pPr>
      <w:r>
        <w:rPr>
          <w:sz w:val="20"/>
        </w:rPr>
        <w:t xml:space="preserve">• </w:t>
      </w:r>
      <w:r>
        <w:t>4.5. Đề xuất lộ trình triển khai</w:t>
      </w:r>
    </w:p>
    <w:p>
      <w:pPr>
        <w:spacing w:after="40" w:before="20"/>
        <w:ind w:left="720" w:hanging="357"/>
      </w:pPr>
      <w:r>
        <w:rPr>
          <w:sz w:val="20"/>
        </w:rPr>
        <w:t xml:space="preserve">• </w:t>
      </w:r>
      <w:r>
        <w:t>Phần 5. Tổ chức thực thi và phân bổ nguồn lực</w:t>
      </w:r>
    </w:p>
    <w:p>
      <w:pPr>
        <w:spacing w:after="40" w:before="20"/>
        <w:ind w:left="720" w:hanging="357"/>
      </w:pPr>
      <w:r>
        <w:rPr>
          <w:sz w:val="20"/>
        </w:rPr>
        <w:t xml:space="preserve">• </w:t>
      </w:r>
      <w:r>
        <w:t>5.1. Kickoff Tổ công tác Task Force 357</w:t>
      </w:r>
    </w:p>
    <w:p>
      <w:pPr>
        <w:spacing w:after="40" w:before="20"/>
        <w:ind w:left="720" w:hanging="357"/>
      </w:pPr>
      <w:r>
        <w:rPr>
          <w:sz w:val="20"/>
        </w:rPr>
        <w:t xml:space="preserve">• </w:t>
      </w:r>
      <w:r>
        <w:t>5.2. Phân công trách nhiệm RACI</w:t>
      </w:r>
    </w:p>
    <w:p>
      <w:pPr>
        <w:spacing w:after="40" w:before="20"/>
        <w:ind w:left="720" w:hanging="357"/>
      </w:pPr>
      <w:r>
        <w:rPr>
          <w:sz w:val="20"/>
        </w:rPr>
        <w:t xml:space="preserve">• </w:t>
      </w:r>
      <w:r>
        <w:t>5.3. Lộ trình triển khai (Phase 0 – 30 – 60 – 90 ngày)</w:t>
      </w:r>
    </w:p>
    <w:p>
      <w:pPr>
        <w:spacing w:after="40" w:before="20"/>
        <w:ind w:left="720" w:hanging="357"/>
      </w:pPr>
      <w:r>
        <w:rPr>
          <w:sz w:val="20"/>
        </w:rPr>
        <w:t xml:space="preserve">• </w:t>
      </w:r>
      <w:r>
        <w:t>5.4. Dự toán ngân sách</w:t>
      </w:r>
    </w:p>
    <w:p>
      <w:pPr>
        <w:spacing w:after="40" w:before="20"/>
        <w:ind w:left="720" w:hanging="357"/>
      </w:pPr>
      <w:r>
        <w:rPr>
          <w:sz w:val="20"/>
        </w:rPr>
        <w:t xml:space="preserve">• </w:t>
      </w:r>
      <w:r>
        <w:t>5.5. Cơ chế báo cáo tiến độ và theo dõi</w:t>
      </w:r>
    </w:p>
    <w:p>
      <w:pPr>
        <w:spacing w:after="40" w:before="20"/>
        <w:ind w:left="720" w:hanging="357"/>
      </w:pPr>
      <w:r>
        <w:rPr>
          <w:sz w:val="20"/>
        </w:rPr>
        <w:t xml:space="preserve">• </w:t>
      </w:r>
      <w:r>
        <w:t>Phần 6. Kết luận và đề xuất</w:t>
      </w:r>
    </w:p>
    <w:p>
      <w:pPr>
        <w:spacing w:after="40" w:before="20"/>
        <w:ind w:left="720" w:hanging="357"/>
      </w:pPr>
      <w:r>
        <w:rPr>
          <w:sz w:val="20"/>
        </w:rPr>
        <w:t xml:space="preserve">• </w:t>
      </w:r>
      <w:r>
        <w:t>6.1. Kết luận</w:t>
      </w:r>
    </w:p>
    <w:p>
      <w:pPr>
        <w:spacing w:after="40" w:before="20"/>
        <w:ind w:left="720" w:hanging="357"/>
      </w:pPr>
      <w:r>
        <w:rPr>
          <w:sz w:val="20"/>
        </w:rPr>
        <w:t xml:space="preserve">• </w:t>
      </w:r>
      <w:r>
        <w:t>6.2. Đề xuất triển khai</w:t>
      </w:r>
    </w:p>
    <w:p>
      <w:pPr>
        <w:spacing w:after="40" w:before="20"/>
        <w:ind w:left="720" w:hanging="357"/>
      </w:pPr>
      <w:r>
        <w:rPr>
          <w:sz w:val="20"/>
        </w:rPr>
        <w:t xml:space="preserve">• </w:t>
      </w:r>
      <w:r>
        <w:t>Phần phụ lục</w:t>
      </w:r>
    </w:p>
    <w:p>
      <w:pPr>
        <w:spacing w:after="40" w:before="20"/>
        <w:ind w:left="720" w:hanging="357"/>
      </w:pPr>
      <w:r>
        <w:rPr>
          <w:sz w:val="20"/>
        </w:rPr>
        <w:t xml:space="preserve">• </w:t>
      </w:r>
      <w:r>
        <w:t>Phụ lục A: Cơ sở pháp lý và tìm hiểu quy định</w:t>
      </w:r>
    </w:p>
    <w:p>
      <w:pPr>
        <w:spacing w:after="40" w:before="20"/>
        <w:ind w:left="720" w:hanging="357"/>
      </w:pPr>
      <w:r>
        <w:rPr>
          <w:sz w:val="20"/>
        </w:rPr>
        <w:t xml:space="preserve">• </w:t>
      </w:r>
      <w:r>
        <w:t>Phụ lục B: Khung phân tích và phương pháp luận</w:t>
      </w:r>
    </w:p>
    <w:p>
      <w:pPr>
        <w:spacing w:after="40" w:before="20"/>
        <w:ind w:left="720" w:hanging="357"/>
      </w:pPr>
      <w:r>
        <w:rPr>
          <w:sz w:val="20"/>
        </w:rPr>
        <w:t xml:space="preserve">• </w:t>
      </w:r>
      <w:r>
        <w:t>Phụ lục C: Đặc tả kỹ thuật (dành riêng cho Ban CNTT, DEC)</w:t>
      </w:r>
    </w:p>
    <w:p>
      <w:pPr>
        <w:spacing w:after="40" w:before="20"/>
        <w:ind w:left="720" w:hanging="357"/>
      </w:pPr>
      <w:r>
        <w:rPr>
          <w:sz w:val="20"/>
        </w:rPr>
        <w:t xml:space="preserve">• </w:t>
      </w:r>
      <w:r>
        <w:t>Phụ lục D: Một số biểu mẫu</w:t>
      </w:r>
    </w:p>
    <w:p>
      <w:pPr>
        <w:spacing w:after="40" w:before="20"/>
        <w:ind w:left="720" w:hanging="357"/>
      </w:pPr>
      <w:r>
        <w:rPr>
          <w:sz w:val="20"/>
        </w:rPr>
        <w:t xml:space="preserve">• </w:t>
      </w:r>
      <w:r>
        <w:t>Phụ lục E: Cơ sở kỹ thuật công nghệ blockchain</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1. Bối cảnh vĩ mô và hàm ý chính sách của cơ quan quản lý nhà nước</w:t>
      </w:r>
    </w:p>
    <w:p>
      <w:r>
        <w:rPr>
          <w:i/>
        </w:rPr>
        <w:t>Giúp Tập đoàn nắm rõ chính sách để nắn dòng truyền thông và định hướng chiến lược.</w:t>
      </w:r>
    </w:p>
    <w:p>
      <w:pPr>
        <w:pStyle w:val="Heading3"/>
        <w:spacing w:before="240" w:after="160"/>
      </w:pPr>
      <w:r>
        <w:rPr>
          <w:rFonts w:ascii="Calibri" w:hAnsi="Calibri" w:eastAsia="Calibri"/>
          <w:color w:val="1A1A2E"/>
          <w:sz w:val="32"/>
        </w:rPr>
        <w:t>1.1. Bức tranh toàn cảnh</w:t>
      </w:r>
    </w:p>
    <w:p>
      <w:r>
        <w:t>Thị trường bất động sản Việt Nam đang trải qua bước chuyển mình căn bản: từ mô hình quản lý “hồ sơ giấy phân mảnh” - nơi dữ liệu về đất đai, nhà ở, giao dịch, thế chấp, thuế phân tán tại nhiều đơn vị, cơ quan từ trung ương đến địa phương cũng như từ ngân hàng tới các tổ chức, cá nhân liên quan - sang “hệ sinh thái tài sản số tập trung”.</w:t>
      </w:r>
    </w:p>
    <w:p>
      <w:r>
        <w:t>NĐ 357 là bước cụ thể hóa chiến lược này. Nghị định quy định rõ Bộ Xây dựng là cơ quan xây dựng, quản lý, sử dụng hệ thống thông tin trên phạm vi toàn quốc; UBND cấp tỉnh chịu trách nhiệm thu thập, cập nhật, quản lý và khai thác trong phạm vi địa phương (Điều 4 khoản 1). Hạ tầng kỹ thuật được quản lý và vận hành tại Trung tâm dữ liệu quốc gia (Điều 7 khoản 2), phần mềm do Bộ Xây dựng phát triển tập trung, thống nhất (Điều 7 khoản 3).</w:t>
      </w:r>
    </w:p>
    <w:p>
      <w:r>
        <w:t>Đây không phải một nghị định đơn lẻ. NĐ 357 nằm trong danh mục văn bản pháp lý đồng bộ với Luật Dữ liệu số 60/2024/QH15, Luật Bảo vệ dữ liệu cá nhân số 91/2025/QH15 và Đề án 06 về phát triển ứng dụng dữ liệu dân cư. Nhóm văn bản quy phạm pháp luật này tạo thành một hạ tầng thể chế quản trị số quốc gia bao trùm toàn bộ vòng đời tài sản bất động sản.</w:t>
      </w:r>
    </w:p>
    <w:p>
      <w:r>
        <w:rPr>
          <w:b/>
        </w:rPr>
        <w:t>Lưu ý thực tiễn:</w:t>
      </w:r>
      <w:r>
        <w:t xml:space="preserve"> Hệ thống CSDL nhà ở, thị trường bất động sản thuộc quản lý của Bộ Xây dựng tồn tại song song với các hệ thống dữ liệu khác (dân cư, đất đai, thuế, tín dụng, công chứng). Điều này không có nghĩa là các hệ thống mặc định phải liên thông và tương thích ngay với nhau. Khả năng, phương thức và thời điểm kết nối liên thông không phải vấn đề có thể xảy ra ngắn hạn — tiền lệ VNeID cho thấy quá trình kết nối có thể mất vài năm. Thực tế hiện nay, hoạt động công khai thông tin và báo cáo kinh doanh BĐS tại các địa phương cũng thực hiện qua các account của Sở XD nhưng mỗi địa phương một kiểu và chưa đồng bộ trên cả nước.</w:t>
      </w:r>
    </w:p>
    <w:p>
      <w:pPr>
        <w:pStyle w:val="Heading3"/>
        <w:spacing w:before="240" w:after="160"/>
      </w:pPr>
      <w:r>
        <w:rPr>
          <w:rFonts w:ascii="Calibri" w:hAnsi="Calibri" w:eastAsia="Calibri"/>
          <w:color w:val="1A1A2E"/>
          <w:sz w:val="32"/>
        </w:rPr>
        <w:t>1.2. Hàm ý chính sách của Chính phủ khi ban hành NĐ 357</w:t>
      </w:r>
    </w:p>
    <w:p>
      <w:pPr>
        <w:pStyle w:val="Heading4"/>
        <w:spacing w:before="240" w:after="160"/>
      </w:pPr>
      <w:r>
        <w:rPr>
          <w:rFonts w:ascii="Calibri" w:hAnsi="Calibri" w:eastAsia="Calibri"/>
          <w:color w:val="1A1A2E"/>
          <w:sz w:val="28"/>
        </w:rPr>
        <w:t>1.2.1. Thiết lập CSDL lõi sạch để tiến tới ban hành Luật Thuế bất động sản</w:t>
      </w:r>
    </w:p>
    <w:p>
      <w:r>
        <w:t>Để đánh thuế tài sản (đặc biệt thuế BĐS thứ 2 trở lên), Nhà nước cần biết chính xác mỗi cá nhân sở hữu bao nhiêu tài sản, tại đâu, giá trị bao nhiêu, lịch sử giao dịch thế nào. NĐ 357 hướng tới việc xây dựng nền tảng dữ liệu này thông qua:</w:t>
      </w:r>
    </w:p>
    <w:p>
      <w:pPr>
        <w:spacing w:after="40" w:before="20"/>
        <w:ind w:left="720" w:hanging="357"/>
      </w:pPr>
      <w:r>
        <w:rPr>
          <w:sz w:val="20"/>
        </w:rPr>
        <w:t xml:space="preserve">• </w:t>
      </w:r>
      <w:r>
        <w:t>Thu thập thông tin sở hữu nhà ở của tổ chức, cá nhân trong nước và nước ngoài (Điều 20), bao gồm loại hình, địa chỉ, diện tích, số lượng, thời hạn sở hữu, tình trạng pháp lý.</w:t>
      </w:r>
    </w:p>
    <w:p>
      <w:pPr>
        <w:spacing w:after="40" w:before="20"/>
        <w:ind w:left="720" w:hanging="357"/>
      </w:pPr>
      <w:r>
        <w:rPr>
          <w:sz w:val="20"/>
        </w:rPr>
        <w:t xml:space="preserve">• </w:t>
      </w:r>
      <w:r>
        <w:t>Lưu trữ đầy đủ lịch sử giao dịch theo mã định danh: giá giao dịch (triệu đồng/m²), tổng giá trị, thông tin các bên liên quan (Điều 19).</w:t>
      </w:r>
    </w:p>
    <w:p>
      <w:pPr>
        <w:spacing w:after="40" w:before="20"/>
        <w:ind w:left="720" w:hanging="357"/>
      </w:pPr>
      <w:r>
        <w:rPr>
          <w:sz w:val="20"/>
        </w:rPr>
        <w:t xml:space="preserve">• </w:t>
      </w:r>
      <w:r>
        <w:t>Kết nối dữ liệu thuế chuyển nhượng BĐS từ Bộ Tài chính (Điều 28 khoản 3 điểm a).</w:t>
      </w:r>
    </w:p>
    <w:p>
      <w:pPr>
        <w:pStyle w:val="Heading4"/>
        <w:spacing w:before="240" w:after="160"/>
      </w:pPr>
      <w:r>
        <w:rPr>
          <w:rFonts w:ascii="Calibri" w:hAnsi="Calibri" w:eastAsia="Calibri"/>
          <w:color w:val="1A1A2E"/>
          <w:sz w:val="28"/>
        </w:rPr>
        <w:t>1.2.2. Minh bạch hóa dòng tiền, triệt tiêu giao dịch “hai giá”</w:t>
      </w:r>
    </w:p>
    <w:p>
      <w:r>
        <w:t>NĐ 357 yêu cầu mọi hợp đồng giao dịch BĐS phải ghi nhận: số ký hiệu hợp đồng, mã định danh BĐS, thời gian ký kết, loại hợp đồng, thông tin các bên kèm số định danh cá nhân/tổ chức (Điều 19 khoản 3). Dữ liệu giao dịch qua công chứng cũng được Bộ Tư pháp chia sẻ (Điều 28 khoản 5). Khi giá giao dịch thực tế được ghi nhận tập trung, hành vi khai “hai giá” trên thị trường thứ cấp sẽ bị phát hiện sớm và xử lý kịp thời.</w:t>
      </w:r>
    </w:p>
    <w:p>
      <w:pPr>
        <w:pStyle w:val="Heading4"/>
        <w:spacing w:before="240" w:after="160"/>
      </w:pPr>
      <w:r>
        <w:rPr>
          <w:rFonts w:ascii="Calibri" w:hAnsi="Calibri" w:eastAsia="Calibri"/>
          <w:color w:val="1A1A2E"/>
          <w:sz w:val="28"/>
        </w:rPr>
        <w:t>1.2.3. Quản trị rủi ro và chống rửa tiền</w:t>
      </w:r>
    </w:p>
    <w:p>
      <w:r>
        <w:t>Mỗi bản ghi dữ liệu được lưu vết truy cập, chỉnh sửa, cập nhật, đảm bảo khả năng truy xuất lịch sử thay đổi và biến động (Điều 4 khoản 5). Dữ liệu được xác thực bằng chữ ký số, cấp dấu thời gian (Điều 32 khoản 2 điểm b, c). Phụ lục VI mục 5 cho phép truy xuất toàn bộ lịch sử giao dịch của một sản phẩm BĐS theo mã định danh khiến việc giả mạo trở nên bất khả thi.</w:t>
      </w:r>
    </w:p>
    <w:p>
      <w:pPr>
        <w:pStyle w:val="Heading4"/>
        <w:spacing w:before="240" w:after="160"/>
      </w:pPr>
      <w:r>
        <w:rPr>
          <w:rFonts w:ascii="Calibri" w:hAnsi="Calibri" w:eastAsia="Calibri"/>
          <w:color w:val="1A1A2E"/>
          <w:sz w:val="28"/>
        </w:rPr>
        <w:t>1.2.4. Thanh lọc thị trường</w:t>
      </w:r>
    </w:p>
    <w:p>
      <w:r>
        <w:t>NĐ 357 tạo cơ chế sàng lọc tự nhiên:</w:t>
      </w:r>
    </w:p>
    <w:p>
      <w:pPr>
        <w:spacing w:after="40" w:before="20"/>
        <w:ind w:left="720" w:hanging="357"/>
      </w:pPr>
      <w:r>
        <w:rPr>
          <w:sz w:val="20"/>
        </w:rPr>
        <w:t xml:space="preserve">• </w:t>
      </w:r>
      <w:r>
        <w:rPr>
          <w:b/>
        </w:rPr>
        <w:t>Chủ đầu tư yếu kém pháp lý:</w:t>
      </w:r>
      <w:r>
        <w:t>Không cung cấp đủ thông tin dự án theo Điều 15, Điều 30 → bị công bố vi phạm trên Cổng thông tin quốc gia (Điều 36 khoản 5).</w:t>
      </w:r>
    </w:p>
    <w:p>
      <w:pPr>
        <w:spacing w:after="40" w:before="20"/>
        <w:ind w:left="720" w:hanging="357"/>
      </w:pPr>
      <w:r>
        <w:rPr>
          <w:sz w:val="20"/>
        </w:rPr>
        <w:t xml:space="preserve">• </w:t>
      </w:r>
      <w:r>
        <w:rPr>
          <w:b/>
        </w:rPr>
        <w:t>Môi giới “tay ngang”:</w:t>
      </w:r>
      <w:r>
        <w:t>Không có chứng chỉ → không có mã định danh (Điều 11) → không thể thực hiện giao dịch hợp pháp.</w:t>
      </w:r>
    </w:p>
    <w:p>
      <w:pPr>
        <w:spacing w:after="40" w:before="20"/>
        <w:ind w:left="720" w:hanging="357"/>
      </w:pPr>
      <w:r>
        <w:rPr>
          <w:sz w:val="20"/>
        </w:rPr>
        <w:t xml:space="preserve">• </w:t>
      </w:r>
      <w:r>
        <w:rPr>
          <w:b/>
        </w:rPr>
        <w:t>Sàn giao dịch không đạt chuẩn:</w:t>
      </w:r>
      <w:r>
        <w:t>Phải báo cáo số lượng nhân viên có chứng chỉ, số lượng và giá trị giao dịch (Điều 22 khoản 1) - dữ liệu này được công khai.</w:t>
      </w:r>
    </w:p>
    <w:p>
      <w:pPr>
        <w:pStyle w:val="Heading3"/>
        <w:spacing w:before="240" w:after="160"/>
      </w:pPr>
      <w:r>
        <w:rPr>
          <w:rFonts w:ascii="Calibri" w:hAnsi="Calibri" w:eastAsia="Calibri"/>
          <w:color w:val="1A1A2E"/>
          <w:sz w:val="32"/>
        </w:rPr>
        <w:t>1.3. Vị thế của Sun Group trong bối cảnh mới</w:t>
      </w:r>
    </w:p>
    <w:p>
      <w:r>
        <w:t>Sun Group xem xét chuyển đổi tư duy từ “thích ứng thụ động” sang “sẵn sàng đón đầu — tiên phong chuẩn bị hạ tầng tiếp nhận mã định danh là lợi thế cạnh tranh”.</w:t>
      </w:r>
    </w:p>
    <w:p>
      <w:r>
        <w:rPr>
          <w:b/>
        </w:rPr>
        <w:t>Nguyên tắc quan trọng:</w:t>
      </w:r>
      <w:r>
        <w:t xml:space="preserve"> Mã định danh BĐS do CQNN có thẩm quyền (Sở Xây dựng) cấp và quản lý. Chủ đầu tư không tự tạo mã, mà đóng vai trò: (i) chuẩn bị hồ sơ kỹ thuật theo đúng cấu trúc để CQNN xem xét cấp mã; (ii) tiếp nhận mã từ CQNN; (iii) tích hợp mã vào hệ thống nội bộ (CRM, ERP, App); (iv) sử dụng mã trong toàn bộ quá trình kinh doanh, vận hành.</w:t>
      </w:r>
    </w:p>
    <w:p>
      <w:r>
        <w:rPr>
          <w:b/>
        </w:rPr>
        <w:t>Lợi thế sẵn có:</w:t>
      </w:r>
    </w:p>
    <w:p>
      <w:pPr>
        <w:spacing w:after="40" w:before="20"/>
        <w:ind w:left="720" w:hanging="357"/>
      </w:pPr>
      <w:r>
        <w:rPr>
          <w:sz w:val="20"/>
        </w:rPr>
        <w:t xml:space="preserve">• </w:t>
      </w:r>
      <w:r>
        <w:t>Hệ sinh thái công nghệ nội bộ (CRM, SAP/ERP, App) - nền tảng có thể tích hợp mã định danh nhanh nhất thị trường.</w:t>
      </w:r>
    </w:p>
    <w:p>
      <w:pPr>
        <w:spacing w:after="40" w:before="20"/>
        <w:ind w:left="720" w:hanging="357"/>
      </w:pPr>
      <w:r>
        <w:rPr>
          <w:sz w:val="20"/>
        </w:rPr>
        <w:t xml:space="preserve">• </w:t>
      </w:r>
      <w:r>
        <w:t>Năng lực pháp chế mạnh, quan hệ chặt chẽ với Bộ Xây dựng, Bộ Công an và UBND các tỉnh trọng điểm.</w:t>
      </w:r>
    </w:p>
    <w:p>
      <w:pPr>
        <w:spacing w:after="40" w:before="20"/>
        <w:ind w:left="720" w:hanging="357"/>
      </w:pPr>
      <w:r>
        <w:rPr>
          <w:sz w:val="20"/>
        </w:rPr>
        <w:t xml:space="preserve">• </w:t>
      </w:r>
      <w:r>
        <w:t>Khối lượng dự án lớn, đa dạng loại hình (nhà ở, du lịch nghỉ dưỡng, khu đô thị, BĐS công nghiệp) giúp tạo vị thế đàm phán về tiêu chuẩn, SLA cấp mã.</w:t>
      </w:r>
    </w:p>
    <w:p>
      <w:pPr>
        <w:spacing w:after="40" w:before="20"/>
        <w:ind w:left="720" w:hanging="357"/>
      </w:pPr>
      <w:r>
        <w:rPr>
          <w:sz w:val="20"/>
        </w:rPr>
        <w:t xml:space="preserve">• </w:t>
      </w:r>
      <w:r>
        <w:t>Sun Group đã có khoản đầu tư ban đầu vào lĩnh vực blockchain (Công ty cổ phần Tài sản số Việt Nam - VNDA), tuy nhiên năng lực thực tế của VNDA cần được đánh giá kỹ trước khi tận dụng cho mục đích triển khai giải pháp blockchain trong BĐS.</w:t>
      </w:r>
    </w:p>
    <w:p>
      <w:r>
        <w:rPr>
          <w:b/>
        </w:rPr>
        <w:t>Chiến lược đề xuất:</w:t>
      </w:r>
      <w:r>
        <w:t xml:space="preserve"> Trở thành chủ đầu tư đầu tiên hoàn tất 100% chuẩn bị hồ sơ để CQNN cấp mã định danh cho toàn bộ giỏ hàng, biến thông điệp “Mỗi sản phẩm Sun Group - một mã định danh quốc gia” thành USP (Unique Selling Proposition) trên toàn bộ kênh truyền thông. Đồng thời, nghiên cứu khả năng xây dựng lớp xác thực blockchain bổ sung (blockchain-backed verification) cho hệ thống nội bộ, nâng tầm định vị từ “tuân thủ” lên “tiên phong công nghệ trong kỷ nguyên vươn mình”.</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2. Đánh giá tác động và kế hoạch hành động theo chuỗi giá trị</w:t>
      </w:r>
    </w:p>
    <w:p>
      <w:r>
        <w:rPr>
          <w:i/>
        </w:rPr>
        <w:t>Cấu trúc mỗi mục: Nhận diện vấn đề → Lượng hóa hậu quả → Đề xuất hành động &amp; Phân công đơn vị phụ trách.</w:t>
      </w:r>
    </w:p>
    <w:p>
      <w:pPr>
        <w:pStyle w:val="Heading3"/>
        <w:spacing w:before="240" w:after="160"/>
      </w:pPr>
      <w:r>
        <w:rPr>
          <w:rFonts w:ascii="Calibri" w:hAnsi="Calibri" w:eastAsia="Calibri"/>
          <w:color w:val="1A1A2E"/>
          <w:sz w:val="32"/>
        </w:rPr>
        <w:t>Bảng tổng hợp nhanh về tác động</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Giai đoạn</w:t>
            </w:r>
          </w:p>
        </w:tc>
        <w:tc>
          <w:tcPr>
            <w:tcW w:type="dxa" w:w="1872"/>
            <w:shd w:fill="E2E8F0" w:val="clear"/>
          </w:tcPr>
          <w:p>
            <w:pPr>
              <w:spacing w:before="60" w:after="60"/>
            </w:pPr>
            <w:r>
              <w:rPr>
                <w:rFonts w:ascii="Calibri" w:hAnsi="Calibri"/>
                <w:b/>
                <w:sz w:val="20"/>
              </w:rPr>
              <w:t>Mức độ</w:t>
            </w:r>
          </w:p>
        </w:tc>
        <w:tc>
          <w:tcPr>
            <w:tcW w:type="dxa" w:w="1872"/>
            <w:shd w:fill="E2E8F0" w:val="clear"/>
          </w:tcPr>
          <w:p>
            <w:pPr>
              <w:spacing w:before="60" w:after="60"/>
            </w:pPr>
            <w:r>
              <w:rPr>
                <w:rFonts w:ascii="Calibri" w:hAnsi="Calibri"/>
                <w:b/>
                <w:sz w:val="20"/>
              </w:rPr>
              <w:t>Rủi ro chính</w:t>
            </w:r>
          </w:p>
        </w:tc>
        <w:tc>
          <w:tcPr>
            <w:tcW w:type="dxa" w:w="1872"/>
            <w:shd w:fill="E2E8F0" w:val="clear"/>
          </w:tcPr>
          <w:p>
            <w:pPr>
              <w:spacing w:before="60" w:after="60"/>
            </w:pPr>
            <w:r>
              <w:rPr>
                <w:rFonts w:ascii="Calibri" w:hAnsi="Calibri"/>
                <w:b/>
                <w:sz w:val="20"/>
              </w:rPr>
              <w:t>Hành động ưu tiên</w:t>
            </w:r>
          </w:p>
        </w:tc>
        <w:tc>
          <w:tcPr>
            <w:tcW w:type="dxa" w:w="1872"/>
            <w:shd w:fill="E2E8F0" w:val="clear"/>
          </w:tcPr>
          <w:p>
            <w:pPr>
              <w:spacing w:before="60" w:after="60"/>
            </w:pPr>
            <w:r>
              <w:rPr>
                <w:rFonts w:ascii="Calibri" w:hAnsi="Calibri"/>
                <w:b/>
                <w:sz w:val="20"/>
              </w:rPr>
              <w:t>Lead</w:t>
            </w:r>
          </w:p>
        </w:tc>
      </w:tr>
      <w:tr>
        <w:tc>
          <w:tcPr>
            <w:tcW w:type="dxa" w:w="1872"/>
          </w:tcPr>
          <w:p>
            <w:pPr>
              <w:spacing w:before="60" w:after="60"/>
            </w:pPr>
            <w:r>
              <w:rPr>
                <w:rFonts w:ascii="Calibri" w:hAnsi="Calibri"/>
                <w:sz w:val="20"/>
              </w:rPr>
              <w:t>Khởi tạo dự án &amp; pháp lý</w:t>
            </w:r>
          </w:p>
        </w:tc>
        <w:tc>
          <w:tcPr>
            <w:tcW w:type="dxa" w:w="1872"/>
          </w:tcPr>
          <w:p>
            <w:pPr>
              <w:spacing w:before="60" w:after="60"/>
            </w:pPr>
            <w:r>
              <w:rPr>
                <w:rFonts w:ascii="Calibri" w:hAnsi="Calibri"/>
                <w:sz w:val="20"/>
              </w:rPr>
              <w:t>🟡 Trung bình</w:t>
            </w:r>
          </w:p>
        </w:tc>
        <w:tc>
          <w:tcPr>
            <w:tcW w:type="dxa" w:w="1872"/>
          </w:tcPr>
          <w:p>
            <w:pPr>
              <w:spacing w:before="60" w:after="60"/>
            </w:pPr>
            <w:r>
              <w:rPr>
                <w:rFonts w:ascii="Calibri" w:hAnsi="Calibri"/>
                <w:sz w:val="20"/>
              </w:rPr>
              <w:t>Tăng lead-time, vướng sản phẩm đặc thù, phụ thuộc tiến độ CQNN</w:t>
            </w:r>
          </w:p>
        </w:tc>
        <w:tc>
          <w:tcPr>
            <w:tcW w:type="dxa" w:w="1872"/>
          </w:tcPr>
          <w:p>
            <w:pPr>
              <w:spacing w:before="60" w:after="60"/>
            </w:pPr>
            <w:r>
              <w:rPr>
                <w:rFonts w:ascii="Calibri" w:hAnsi="Calibri"/>
                <w:sz w:val="20"/>
              </w:rPr>
              <w:t>Chuẩn bị hồ sơ để CQNN cấp mã hồi tố theo lô</w:t>
            </w:r>
          </w:p>
        </w:tc>
        <w:tc>
          <w:tcPr>
            <w:tcW w:type="dxa" w:w="1872"/>
          </w:tcPr>
          <w:p>
            <w:pPr>
              <w:spacing w:before="60" w:after="60"/>
            </w:pPr>
            <w:r>
              <w:rPr>
                <w:rFonts w:ascii="Calibri" w:hAnsi="Calibri"/>
                <w:sz w:val="20"/>
              </w:rPr>
              <w:t>Ban Pháp chế</w:t>
            </w:r>
          </w:p>
        </w:tc>
      </w:tr>
      <w:tr>
        <w:tc>
          <w:tcPr>
            <w:tcW w:type="dxa" w:w="1872"/>
          </w:tcPr>
          <w:p>
            <w:pPr>
              <w:spacing w:before="60" w:after="60"/>
            </w:pPr>
            <w:r>
              <w:rPr>
                <w:rFonts w:ascii="Calibri" w:hAnsi="Calibri"/>
                <w:sz w:val="20"/>
              </w:rPr>
              <w:t>Phân phối &amp; marketing</w:t>
            </w:r>
          </w:p>
        </w:tc>
        <w:tc>
          <w:tcPr>
            <w:tcW w:type="dxa" w:w="1872"/>
          </w:tcPr>
          <w:p>
            <w:pPr>
              <w:spacing w:before="60" w:after="60"/>
            </w:pPr>
            <w:r>
              <w:rPr>
                <w:rFonts w:ascii="Calibri" w:hAnsi="Calibri"/>
                <w:sz w:val="20"/>
              </w:rPr>
              <w:t>🔴 Cao</w:t>
            </w:r>
          </w:p>
        </w:tc>
        <w:tc>
          <w:tcPr>
            <w:tcW w:type="dxa" w:w="1872"/>
          </w:tcPr>
          <w:p>
            <w:pPr>
              <w:spacing w:before="60" w:after="60"/>
            </w:pPr>
            <w:r>
              <w:rPr>
                <w:rFonts w:ascii="Calibri" w:hAnsi="Calibri"/>
                <w:sz w:val="20"/>
              </w:rPr>
              <w:t>Sụt giảm thanh khoản từ tệp khách hàng VIP, đứt gãy chuỗi đại lý + kênh referral</w:t>
            </w:r>
          </w:p>
        </w:tc>
        <w:tc>
          <w:tcPr>
            <w:tcW w:type="dxa" w:w="1872"/>
          </w:tcPr>
          <w:p>
            <w:pPr>
              <w:spacing w:before="60" w:after="60"/>
            </w:pPr>
            <w:r>
              <w:rPr>
                <w:rFonts w:ascii="Calibri" w:hAnsi="Calibri"/>
                <w:sz w:val="20"/>
              </w:rPr>
              <w:t>Thông báo đại lý, xoay trục truyền thông</w:t>
            </w:r>
          </w:p>
        </w:tc>
        <w:tc>
          <w:tcPr>
            <w:tcW w:type="dxa" w:w="1872"/>
          </w:tcPr>
          <w:p>
            <w:pPr>
              <w:spacing w:before="60" w:after="60"/>
            </w:pPr>
            <w:r>
              <w:rPr>
                <w:rFonts w:ascii="Calibri" w:hAnsi="Calibri"/>
                <w:sz w:val="20"/>
              </w:rPr>
              <w:t>SPG</w:t>
            </w:r>
          </w:p>
        </w:tc>
      </w:tr>
      <w:tr>
        <w:tc>
          <w:tcPr>
            <w:tcW w:type="dxa" w:w="1872"/>
          </w:tcPr>
          <w:p>
            <w:pPr>
              <w:spacing w:before="60" w:after="60"/>
            </w:pPr>
            <w:r>
              <w:rPr>
                <w:rFonts w:ascii="Calibri" w:hAnsi="Calibri"/>
                <w:sz w:val="20"/>
              </w:rPr>
              <w:t>Bàn giao &amp; vận hành</w:t>
            </w:r>
          </w:p>
        </w:tc>
        <w:tc>
          <w:tcPr>
            <w:tcW w:type="dxa" w:w="1872"/>
          </w:tcPr>
          <w:p>
            <w:pPr>
              <w:spacing w:before="60" w:after="60"/>
            </w:pPr>
            <w:r>
              <w:rPr>
                <w:rFonts w:ascii="Calibri" w:hAnsi="Calibri"/>
                <w:sz w:val="20"/>
              </w:rPr>
              <w:t>🟡 Trung bình</w:t>
            </w:r>
          </w:p>
        </w:tc>
        <w:tc>
          <w:tcPr>
            <w:tcW w:type="dxa" w:w="1872"/>
          </w:tcPr>
          <w:p>
            <w:pPr>
              <w:spacing w:before="60" w:after="60"/>
            </w:pPr>
            <w:r>
              <w:rPr>
                <w:rFonts w:ascii="Calibri" w:hAnsi="Calibri"/>
                <w:sz w:val="20"/>
              </w:rPr>
              <w:t>Rủi ro thuế rental pool</w:t>
            </w:r>
          </w:p>
        </w:tc>
        <w:tc>
          <w:tcPr>
            <w:tcW w:type="dxa" w:w="1872"/>
          </w:tcPr>
          <w:p>
            <w:pPr>
              <w:spacing w:before="60" w:after="60"/>
            </w:pPr>
            <w:r>
              <w:rPr>
                <w:rFonts w:ascii="Calibri" w:hAnsi="Calibri"/>
                <w:sz w:val="20"/>
              </w:rPr>
              <w:t>Tích hợp mã vào App</w:t>
            </w:r>
          </w:p>
        </w:tc>
        <w:tc>
          <w:tcPr>
            <w:tcW w:type="dxa" w:w="1872"/>
          </w:tcPr>
          <w:p>
            <w:pPr>
              <w:spacing w:before="60" w:after="60"/>
            </w:pPr>
            <w:r>
              <w:rPr>
                <w:rFonts w:ascii="Calibri" w:hAnsi="Calibri"/>
                <w:sz w:val="20"/>
              </w:rPr>
              <w:t>SPL</w:t>
            </w:r>
          </w:p>
        </w:tc>
      </w:tr>
      <w:tr>
        <w:tc>
          <w:tcPr>
            <w:tcW w:type="dxa" w:w="1872"/>
          </w:tcPr>
          <w:p>
            <w:pPr>
              <w:spacing w:before="60" w:after="60"/>
            </w:pPr>
            <w:r>
              <w:rPr>
                <w:rFonts w:ascii="Calibri" w:hAnsi="Calibri"/>
                <w:sz w:val="20"/>
              </w:rPr>
              <w:t>Hạ tầng công nghệ</w:t>
            </w:r>
          </w:p>
        </w:tc>
        <w:tc>
          <w:tcPr>
            <w:tcW w:type="dxa" w:w="1872"/>
          </w:tcPr>
          <w:p>
            <w:pPr>
              <w:spacing w:before="60" w:after="60"/>
            </w:pPr>
            <w:r>
              <w:rPr>
                <w:rFonts w:ascii="Calibri" w:hAnsi="Calibri"/>
                <w:sz w:val="20"/>
              </w:rPr>
              <w:t>🟠 Cao vừa</w:t>
            </w:r>
          </w:p>
        </w:tc>
        <w:tc>
          <w:tcPr>
            <w:tcW w:type="dxa" w:w="1872"/>
          </w:tcPr>
          <w:p>
            <w:pPr>
              <w:spacing w:before="60" w:after="60"/>
            </w:pPr>
            <w:r>
              <w:rPr>
                <w:rFonts w:ascii="Calibri" w:hAnsi="Calibri"/>
                <w:sz w:val="20"/>
              </w:rPr>
              <w:t>Chưa có API, database chưa sẵn sàng, bất nhất 40/50 ký tự</w:t>
            </w:r>
          </w:p>
        </w:tc>
        <w:tc>
          <w:tcPr>
            <w:tcW w:type="dxa" w:w="1872"/>
          </w:tcPr>
          <w:p>
            <w:pPr>
              <w:spacing w:before="60" w:after="60"/>
            </w:pPr>
            <w:r>
              <w:rPr>
                <w:rFonts w:ascii="Calibri" w:hAnsi="Calibri"/>
                <w:sz w:val="20"/>
              </w:rPr>
              <w:t>Tái cấu trúc CRM/ERP, xây API</w:t>
            </w:r>
          </w:p>
        </w:tc>
        <w:tc>
          <w:tcPr>
            <w:tcW w:type="dxa" w:w="1872"/>
          </w:tcPr>
          <w:p>
            <w:pPr>
              <w:spacing w:before="60" w:after="60"/>
            </w:pPr>
            <w:r>
              <w:rPr>
                <w:rFonts w:ascii="Calibri" w:hAnsi="Calibri"/>
                <w:sz w:val="20"/>
              </w:rPr>
              <w:t>Ban CNTT</w:t>
            </w:r>
          </w:p>
        </w:tc>
      </w:tr>
      <w:tr>
        <w:tc>
          <w:tcPr>
            <w:tcW w:type="dxa" w:w="1872"/>
          </w:tcPr>
          <w:p>
            <w:pPr>
              <w:spacing w:before="60" w:after="60"/>
            </w:pPr>
            <w:r>
              <w:rPr>
                <w:rFonts w:ascii="Calibri" w:hAnsi="Calibri"/>
                <w:sz w:val="20"/>
              </w:rPr>
              <w:t>Blockchain &amp; định danh nâng cao</w:t>
            </w:r>
          </w:p>
        </w:tc>
        <w:tc>
          <w:tcPr>
            <w:tcW w:type="dxa" w:w="1872"/>
          </w:tcPr>
          <w:p>
            <w:pPr>
              <w:spacing w:before="60" w:after="60"/>
            </w:pPr>
            <w:r>
              <w:rPr>
                <w:rFonts w:ascii="Calibri" w:hAnsi="Calibri"/>
                <w:sz w:val="20"/>
              </w:rPr>
              <w:t>🟢 Cơ hội (dài hạn)</w:t>
            </w:r>
          </w:p>
        </w:tc>
        <w:tc>
          <w:tcPr>
            <w:tcW w:type="dxa" w:w="1872"/>
          </w:tcPr>
          <w:p>
            <w:pPr>
              <w:spacing w:before="60" w:after="60"/>
            </w:pPr>
            <w:r>
              <w:rPr>
                <w:rFonts w:ascii="Calibri" w:hAnsi="Calibri"/>
                <w:sz w:val="20"/>
              </w:rPr>
              <w:t>Cần đánh giá năng lực thực tế trước khi triển khai</w:t>
            </w:r>
          </w:p>
        </w:tc>
        <w:tc>
          <w:tcPr>
            <w:tcW w:type="dxa" w:w="1872"/>
          </w:tcPr>
          <w:p>
            <w:pPr>
              <w:spacing w:before="60" w:after="60"/>
            </w:pPr>
            <w:r>
              <w:rPr>
                <w:rFonts w:ascii="Calibri" w:hAnsi="Calibri"/>
                <w:sz w:val="20"/>
              </w:rPr>
              <w:t>Nghiên cứu khả thi nội bộ</w:t>
            </w:r>
          </w:p>
        </w:tc>
        <w:tc>
          <w:tcPr>
            <w:tcW w:type="dxa" w:w="1872"/>
          </w:tcPr>
          <w:p>
            <w:pPr>
              <w:spacing w:before="60" w:after="60"/>
            </w:pPr>
            <w:r>
              <w:rPr>
                <w:rFonts w:ascii="Calibri" w:hAnsi="Calibri"/>
                <w:sz w:val="20"/>
              </w:rPr>
              <w:t>Ban CNTT + DEC</w:t>
            </w:r>
          </w:p>
        </w:tc>
      </w:tr>
    </w:tbl>
    <w:p>
      <w:pPr>
        <w:spacing w:before="0" w:after="80"/>
      </w:pPr>
    </w:p>
    <w:p>
      <w:pPr>
        <w:pStyle w:val="Heading3"/>
        <w:spacing w:before="240" w:after="160"/>
      </w:pPr>
      <w:r>
        <w:rPr>
          <w:rFonts w:ascii="Calibri" w:hAnsi="Calibri" w:eastAsia="Calibri"/>
          <w:color w:val="1A1A2E"/>
          <w:sz w:val="32"/>
        </w:rPr>
        <w:t>2.1. Giai đoạn khởi tạo dự án, pháp lý và xử lý tồn kho</w:t>
      </w:r>
    </w:p>
    <w:p>
      <w:r>
        <w:rPr>
          <w:b/>
        </w:rPr>
        <w:t>Lead:</w:t>
      </w:r>
      <w:r>
        <w:t xml:space="preserve"> Ban Pháp chế, SPG, Khối Xây dựng, Ban Đối ngoại</w:t>
      </w:r>
    </w:p>
    <w:p>
      <w:pPr>
        <w:pStyle w:val="Heading4"/>
        <w:spacing w:before="240" w:after="160"/>
      </w:pPr>
      <w:r>
        <w:rPr>
          <w:rFonts w:ascii="Calibri" w:hAnsi="Calibri" w:eastAsia="Calibri"/>
          <w:color w:val="1A1A2E"/>
          <w:sz w:val="28"/>
        </w:rPr>
        <w:t>2.1.1. Tác động đến quy trình</w:t>
      </w:r>
    </w:p>
    <w:p>
      <w:r>
        <w:t>NĐ 357 bổ sung một bước bắt buộc mới trong quy trình đưa sản phẩm ra thị trường: sản phẩm BĐS phải được CQNN gắn mã định danh điện tử trước khi được phép giao dịch.</w:t>
      </w:r>
    </w:p>
    <w:p>
      <w:r>
        <w:t>Cụ thể, đối với nhà ở hình thành trong tương lai, Sở Xây dựng thực hiện gắn mã định danh cùng thời điểm ban hành văn bản thông báo đủ điều kiện bán (Điều 8 khoản 2). Đối với phần diện tích sàn xây dựng trong công trình (condotel, shophouse, văn phòng), mã được gắn cùng thời điểm ban hành kết quả thẩm định báo cáo nghiên cứu khả thi đầu tư xây dựng (Điều 9 khoản 2).</w:t>
      </w:r>
    </w:p>
    <w:p>
      <w:r>
        <w:rPr>
          <w:b/>
        </w:rPr>
        <w:t>Rủi ro:</w:t>
      </w:r>
      <w:r>
        <w:t xml:space="preserve"> Quy trình phụ thuộc vào tốc độ xử lý của Sở Xây dựng địa phương. Nếu hệ thống phần mềm quốc gia chưa sẵn sàng hoặc quá tải, độ trễ từ lúc dự án đủ điều kiện pháp lý đến lúc được cấp mã định danh để bán hàng có thể kéo dài, ảnh hưởng trực tiếp đến doanh số các đợt mở bán. Lưu ý: mỗi địa phương có thể triển khai với tiến độ và phương thức khác nhau — cần khảo sát thực tế trước khi lên kế hoạch chi tiết (xem Phase 0 tại Mục 5.3).</w:t>
      </w:r>
    </w:p>
    <w:p>
      <w:r>
        <w:rPr>
          <w:b/>
        </w:rPr>
        <w:t>Đề xuất:</w:t>
      </w:r>
    </w:p>
    <w:p>
      <w:pPr>
        <w:spacing w:after="40" w:before="20"/>
        <w:ind w:left="720" w:hanging="357"/>
      </w:pPr>
      <w:r>
        <w:rPr>
          <w:sz w:val="20"/>
        </w:rPr>
        <w:t xml:space="preserve">• </w:t>
      </w:r>
      <w:r>
        <w:t>Giao PTDA các Vùng thu thập thông tin thực tế từ Sở Xây dựng các tỉnh trọng điểm (Quảng Ninh, Hà Nội, Ninh Bình, Thanh Hóa, Đà Nẵng, Nha Trang, TPHCM, Phú Quốc – An Giang) về tiến độ triển khai hệ thống, quy trình cấp mã và SLA dự kiến.</w:t>
      </w:r>
    </w:p>
    <w:p>
      <w:pPr>
        <w:spacing w:after="40" w:before="20"/>
        <w:ind w:left="720" w:hanging="357"/>
      </w:pPr>
      <w:r>
        <w:rPr>
          <w:sz w:val="20"/>
        </w:rPr>
        <w:t xml:space="preserve">• </w:t>
      </w:r>
      <w:r>
        <w:t>Chủ động chuẩn bị sẵn hồ sơ kỹ thuật (mã thửa đất, mã dự án, sơ đồ block/tầng/căn) theo đúng cấu trúc quy định tại Phụ lục I để rút ngắn thời gian xử lý khi CQNN sẵn sàng cấp mã.</w:t>
      </w:r>
    </w:p>
    <w:p>
      <w:pPr>
        <w:pStyle w:val="Heading4"/>
        <w:spacing w:before="240" w:after="160"/>
      </w:pPr>
      <w:r>
        <w:rPr>
          <w:rFonts w:ascii="Calibri" w:hAnsi="Calibri" w:eastAsia="Calibri"/>
          <w:color w:val="1A1A2E"/>
          <w:sz w:val="28"/>
        </w:rPr>
        <w:t>2.1.2. Kịch bản xử lý hồi tố</w:t>
      </w:r>
    </w:p>
    <w:p>
      <w:r>
        <w:t>NĐ 357 yêu cầu các bộ, ngành, UBND cấp tỉnh phải chuẩn hóa dữ liệu đã có trước khi nghị định có hiệu lực, đảm bảo tích hợp vào hệ thống chậm nhất đến ngày 01/07/2026 (Điều 40 khoản 1). Đồng thời, chủ đầu tư dự án BĐS phải cung cấp thông tin dự án cho UBND cấp tỉnh (Điều 30 khoản 1).</w:t>
      </w:r>
    </w:p>
    <w:p>
      <w:r>
        <w:rPr>
          <w:b/>
        </w:rPr>
        <w:t>Lưu ý quan trọng:</w:t>
      </w:r>
      <w:r>
        <w:t xml:space="preserve"> Việc cấp mã hồi tố do CQNN thực hiện. Sun Group đóng vai trò chuẩn bị và nộp hồ sơ đề nghị cấp mã theo lô — không tự tạo mã.</w:t>
      </w:r>
    </w:p>
    <w:p>
      <w:r>
        <w:t>Sun Group cần lập kế hoạch chuẩn bị hồ sơ đề nghị cấp mã hàng loạt cho 3 nhóm tài sản: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w:t>
            </w:r>
          </w:p>
        </w:tc>
        <w:tc>
          <w:tcPr>
            <w:tcW w:type="dxa" w:w="1872"/>
            <w:shd w:fill="E2E8F0" w:val="clear"/>
          </w:tcPr>
          <w:p>
            <w:pPr>
              <w:spacing w:before="60" w:after="60"/>
            </w:pPr>
            <w:r>
              <w:rPr>
                <w:rFonts w:ascii="Calibri" w:hAnsi="Calibri"/>
                <w:b/>
                <w:sz w:val="20"/>
              </w:rPr>
              <w:t>Nhóm tài sản</w:t>
            </w:r>
          </w:p>
        </w:tc>
        <w:tc>
          <w:tcPr>
            <w:tcW w:type="dxa" w:w="1872"/>
            <w:shd w:fill="E2E8F0" w:val="clear"/>
          </w:tcPr>
          <w:p>
            <w:pPr>
              <w:spacing w:before="60" w:after="60"/>
            </w:pPr>
            <w:r>
              <w:rPr>
                <w:rFonts w:ascii="Calibri" w:hAnsi="Calibri"/>
                <w:b/>
                <w:sz w:val="20"/>
              </w:rPr>
              <w:t>Khối lượng ước tính</w:t>
            </w:r>
          </w:p>
        </w:tc>
        <w:tc>
          <w:tcPr>
            <w:tcW w:type="dxa" w:w="1872"/>
            <w:shd w:fill="E2E8F0" w:val="clear"/>
          </w:tcPr>
          <w:p>
            <w:pPr>
              <w:spacing w:before="60" w:after="60"/>
            </w:pPr>
            <w:r>
              <w:rPr>
                <w:rFonts w:ascii="Calibri" w:hAnsi="Calibri"/>
                <w:b/>
                <w:sz w:val="20"/>
              </w:rPr>
              <w:t>Ưu tiên</w:t>
            </w:r>
          </w:p>
        </w:tc>
        <w:tc>
          <w:tcPr>
            <w:tcW w:type="dxa" w:w="1872"/>
            <w:shd w:fill="E2E8F0" w:val="clear"/>
          </w:tcPr>
          <w:p>
            <w:pPr>
              <w:spacing w:before="60" w:after="60"/>
            </w:pPr>
            <w:r>
              <w:rPr>
                <w:rFonts w:ascii="Calibri" w:hAnsi="Calibri"/>
                <w:b/>
                <w:sz w:val="20"/>
              </w:rPr>
              <w:t>Căn cứ pháp lý</w:t>
            </w:r>
          </w:p>
        </w:tc>
      </w:tr>
      <w:tr>
        <w:tc>
          <w:tcPr>
            <w:tcW w:type="dxa" w:w="1872"/>
          </w:tcPr>
          <w:p>
            <w:pPr>
              <w:spacing w:before="60" w:after="60"/>
            </w:pPr>
            <w:r>
              <w:rPr>
                <w:rFonts w:ascii="Calibri" w:hAnsi="Calibri"/>
                <w:sz w:val="20"/>
              </w:rPr>
              <w:t>1</w:t>
            </w:r>
          </w:p>
        </w:tc>
        <w:tc>
          <w:tcPr>
            <w:tcW w:type="dxa" w:w="1872"/>
          </w:tcPr>
          <w:p>
            <w:pPr>
              <w:spacing w:before="60" w:after="60"/>
            </w:pPr>
            <w:r>
              <w:rPr>
                <w:rFonts w:ascii="Calibri" w:hAnsi="Calibri"/>
                <w:sz w:val="20"/>
              </w:rPr>
              <w:t>Giỏ hàng tồn kho các sản phẩm đủ điều kiện bán nhưng chưa giao dịch</w:t>
            </w:r>
          </w:p>
        </w:tc>
        <w:tc>
          <w:tcPr>
            <w:tcW w:type="dxa" w:w="1872"/>
          </w:tcPr>
          <w:p>
            <w:pPr>
              <w:spacing w:before="60" w:after="60"/>
            </w:pPr>
            <w:r>
              <w:rPr>
                <w:rFonts w:ascii="Calibri" w:hAnsi="Calibri"/>
                <w:sz w:val="20"/>
              </w:rPr>
              <w:t>Cần rà soát toàn bộ dự án đang mở bán</w:t>
            </w:r>
          </w:p>
        </w:tc>
        <w:tc>
          <w:tcPr>
            <w:tcW w:type="dxa" w:w="1872"/>
          </w:tcPr>
          <w:p>
            <w:pPr>
              <w:spacing w:before="60" w:after="60"/>
            </w:pPr>
            <w:r>
              <w:rPr>
                <w:rFonts w:ascii="Calibri" w:hAnsi="Calibri"/>
                <w:sz w:val="20"/>
              </w:rPr>
              <w:t>Cao</w:t>
            </w:r>
          </w:p>
        </w:tc>
        <w:tc>
          <w:tcPr>
            <w:tcW w:type="dxa" w:w="1872"/>
          </w:tcPr>
          <w:p>
            <w:pPr>
              <w:spacing w:before="60" w:after="60"/>
            </w:pPr>
            <w:r>
              <w:rPr>
                <w:rFonts w:ascii="Calibri" w:hAnsi="Calibri"/>
                <w:sz w:val="20"/>
              </w:rPr>
              <w:t>Điều 3 khoản 1</w:t>
            </w:r>
          </w:p>
        </w:tc>
      </w:tr>
      <w:tr>
        <w:tc>
          <w:tcPr>
            <w:tcW w:type="dxa" w:w="1872"/>
          </w:tcPr>
          <w:p>
            <w:pPr>
              <w:spacing w:before="60" w:after="60"/>
            </w:pPr>
            <w:r>
              <w:rPr>
                <w:rFonts w:ascii="Calibri" w:hAnsi="Calibri"/>
                <w:sz w:val="20"/>
              </w:rPr>
              <w:t>2</w:t>
            </w:r>
          </w:p>
        </w:tc>
        <w:tc>
          <w:tcPr>
            <w:tcW w:type="dxa" w:w="1872"/>
          </w:tcPr>
          <w:p>
            <w:pPr>
              <w:spacing w:before="60" w:after="60"/>
            </w:pPr>
            <w:r>
              <w:rPr>
                <w:rFonts w:ascii="Calibri" w:hAnsi="Calibri"/>
                <w:sz w:val="20"/>
              </w:rPr>
              <w:t>Hàng đã bán - đang chờ ra sổ</w:t>
            </w:r>
          </w:p>
        </w:tc>
        <w:tc>
          <w:tcPr>
            <w:tcW w:type="dxa" w:w="1872"/>
          </w:tcPr>
          <w:p>
            <w:pPr>
              <w:spacing w:before="60" w:after="60"/>
            </w:pPr>
            <w:r>
              <w:rPr>
                <w:rFonts w:ascii="Calibri" w:hAnsi="Calibri"/>
                <w:sz w:val="20"/>
              </w:rPr>
              <w:t>Tất cả sản phẩm đã ký HĐMB chưa cấp GCN</w:t>
            </w:r>
          </w:p>
        </w:tc>
        <w:tc>
          <w:tcPr>
            <w:tcW w:type="dxa" w:w="1872"/>
          </w:tcPr>
          <w:p>
            <w:pPr>
              <w:spacing w:before="60" w:after="60"/>
            </w:pPr>
            <w:r>
              <w:rPr>
                <w:rFonts w:ascii="Calibri" w:hAnsi="Calibri"/>
                <w:sz w:val="20"/>
              </w:rPr>
              <w:t>Trung bình</w:t>
            </w:r>
          </w:p>
        </w:tc>
        <w:tc>
          <w:tcPr>
            <w:tcW w:type="dxa" w:w="1872"/>
          </w:tcPr>
          <w:p>
            <w:pPr>
              <w:spacing w:before="60" w:after="60"/>
            </w:pPr>
            <w:r>
              <w:rPr>
                <w:rFonts w:ascii="Calibri" w:hAnsi="Calibri"/>
                <w:sz w:val="20"/>
              </w:rPr>
              <w:t>Điều 20</w:t>
            </w:r>
          </w:p>
        </w:tc>
      </w:tr>
      <w:tr>
        <w:tc>
          <w:tcPr>
            <w:tcW w:type="dxa" w:w="1872"/>
          </w:tcPr>
          <w:p>
            <w:pPr>
              <w:spacing w:before="60" w:after="60"/>
            </w:pPr>
            <w:r>
              <w:rPr>
                <w:rFonts w:ascii="Calibri" w:hAnsi="Calibri"/>
                <w:sz w:val="20"/>
              </w:rPr>
              <w:t>3</w:t>
            </w:r>
          </w:p>
        </w:tc>
        <w:tc>
          <w:tcPr>
            <w:tcW w:type="dxa" w:w="1872"/>
          </w:tcPr>
          <w:p>
            <w:pPr>
              <w:spacing w:before="60" w:after="60"/>
            </w:pPr>
            <w:r>
              <w:rPr>
                <w:rFonts w:ascii="Calibri" w:hAnsi="Calibri"/>
                <w:sz w:val="20"/>
              </w:rPr>
              <w:t>Tài sản đang thế chấp ngân hàng</w:t>
            </w:r>
          </w:p>
        </w:tc>
        <w:tc>
          <w:tcPr>
            <w:tcW w:type="dxa" w:w="1872"/>
          </w:tcPr>
          <w:p>
            <w:pPr>
              <w:spacing w:before="60" w:after="60"/>
            </w:pPr>
            <w:r>
              <w:rPr>
                <w:rFonts w:ascii="Calibri" w:hAnsi="Calibri"/>
                <w:sz w:val="20"/>
              </w:rPr>
              <w:t>Sản phẩm có văn bản thế chấp/giải chấp</w:t>
            </w:r>
          </w:p>
        </w:tc>
        <w:tc>
          <w:tcPr>
            <w:tcW w:type="dxa" w:w="1872"/>
          </w:tcPr>
          <w:p>
            <w:pPr>
              <w:spacing w:before="60" w:after="60"/>
            </w:pPr>
            <w:r>
              <w:rPr>
                <w:rFonts w:ascii="Calibri" w:hAnsi="Calibri"/>
                <w:sz w:val="20"/>
              </w:rPr>
              <w:t>Trung bình</w:t>
            </w:r>
          </w:p>
        </w:tc>
        <w:tc>
          <w:tcPr>
            <w:tcW w:type="dxa" w:w="1872"/>
          </w:tcPr>
          <w:p>
            <w:pPr>
              <w:spacing w:before="60" w:after="60"/>
            </w:pPr>
            <w:r>
              <w:rPr>
                <w:rFonts w:ascii="Calibri" w:hAnsi="Calibri"/>
                <w:sz w:val="20"/>
              </w:rPr>
              <w:t>Điều 15 khoản 2 điểm c</w:t>
            </w:r>
          </w:p>
        </w:tc>
      </w:tr>
    </w:tbl>
    <w:p>
      <w:pPr>
        <w:spacing w:before="0" w:after="80"/>
      </w:pPr>
    </w:p>
    <w:p>
      <w:r>
        <w:rPr>
          <w:b/>
        </w:rPr>
        <w:t>Quy trình đề xuất:</w:t>
      </w:r>
    </w:p>
    <w:p>
      <w:pPr>
        <w:spacing w:after="40" w:before="20"/>
        <w:ind w:left="720" w:hanging="357"/>
      </w:pPr>
      <w:r>
        <w:t xml:space="preserve">1. </w:t>
      </w:r>
      <w:r>
        <w:t>Ban Pháp chế đầu mối phối hợp với các đơn vị liên quan lập danh sách toàn bộ dự án theo từng tỉnh.</w:t>
      </w:r>
    </w:p>
    <w:p>
      <w:pPr>
        <w:spacing w:after="40" w:before="20"/>
        <w:ind w:left="720" w:hanging="357"/>
      </w:pPr>
      <w:r>
        <w:t xml:space="preserve">2. </w:t>
      </w:r>
      <w:r>
        <w:t>Ban CNTT export dữ liệu sản phẩm từ CSDL theo đúng cấu trúc Phụ lục I.</w:t>
      </w:r>
    </w:p>
    <w:p>
      <w:pPr>
        <w:spacing w:after="40" w:before="20"/>
        <w:ind w:left="720" w:hanging="357"/>
      </w:pPr>
      <w:r>
        <w:t xml:space="preserve">3. </w:t>
      </w:r>
      <w:r>
        <w:t>Nộp hồ sơ đề nghị CQNN cấp mã hàng loạt (theo lô) cho Sở Xây dựng các tỉnh — thời điểm nộp tùy thuộc vào mức độ sẵn sàng của hệ thống tại từng địa phương (kết quả Phase 0).</w:t>
      </w:r>
    </w:p>
    <w:p>
      <w:pPr>
        <w:pStyle w:val="Heading4"/>
        <w:spacing w:before="240" w:after="160"/>
      </w:pPr>
      <w:r>
        <w:rPr>
          <w:rFonts w:ascii="Calibri" w:hAnsi="Calibri" w:eastAsia="Calibri"/>
          <w:color w:val="1A1A2E"/>
          <w:sz w:val="28"/>
        </w:rPr>
        <w:t>2.1.3. Gỡ vướng sản phẩm đặc thù</w:t>
      </w:r>
    </w:p>
    <w:p>
      <w:r>
        <w:t>Cấu trúc mã định danh theo Phụ lục I được thiết kế cho hai loại hình: nhà ở (chuỗi 8 ký tự tự nhiên - Phụ lục I mục 1a) và phần diện tích sàn xây dựng (chuỗi 6 ký tự - Phụ lục I mục 1b). Tuy nhiên, chưa có hướng dẫn chi tiết về mã định danh cho những loại hình bất động sản khác như du lịch, lưu trú (danh mục BĐS tại Điều 17 khoản 2 điểm d bao gồm cả loại hình bất động sản này) - phân khúc Sun Group có danh mục lớn.</w:t>
      </w:r>
    </w:p>
    <w:p>
      <w:r>
        <w:rPr>
          <w:b/>
        </w:rPr>
        <w:t>Vướng mắc cần giải quyết:</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Loại hình</w:t>
            </w:r>
          </w:p>
        </w:tc>
        <w:tc>
          <w:tcPr>
            <w:tcW w:type="dxa" w:w="3120"/>
            <w:shd w:fill="E2E8F0" w:val="clear"/>
          </w:tcPr>
          <w:p>
            <w:pPr>
              <w:spacing w:before="60" w:after="60"/>
            </w:pPr>
            <w:r>
              <w:rPr>
                <w:rFonts w:ascii="Calibri" w:hAnsi="Calibri"/>
                <w:b/>
                <w:sz w:val="20"/>
              </w:rPr>
              <w:t>Vấn đề</w:t>
            </w:r>
          </w:p>
        </w:tc>
        <w:tc>
          <w:tcPr>
            <w:tcW w:type="dxa" w:w="3120"/>
            <w:shd w:fill="E2E8F0" w:val="clear"/>
          </w:tcPr>
          <w:p>
            <w:pPr>
              <w:spacing w:before="60" w:after="60"/>
            </w:pPr>
            <w:r>
              <w:rPr>
                <w:rFonts w:ascii="Calibri" w:hAnsi="Calibri"/>
                <w:b/>
                <w:sz w:val="20"/>
              </w:rPr>
              <w:t>Đề xuất</w:t>
            </w:r>
          </w:p>
        </w:tc>
      </w:tr>
      <w:tr>
        <w:tc>
          <w:tcPr>
            <w:tcW w:type="dxa" w:w="3120"/>
          </w:tcPr>
          <w:p>
            <w:pPr>
              <w:spacing w:before="60" w:after="60"/>
            </w:pPr>
            <w:r>
              <w:rPr>
                <w:rFonts w:ascii="Calibri" w:hAnsi="Calibri"/>
                <w:sz w:val="20"/>
              </w:rPr>
              <w:t>Condotel, căn hộ</w:t>
            </w:r>
          </w:p>
        </w:tc>
        <w:tc>
          <w:tcPr>
            <w:tcW w:type="dxa" w:w="3120"/>
          </w:tcPr>
          <w:p>
            <w:pPr>
              <w:spacing w:before="60" w:after="60"/>
            </w:pPr>
            <w:r>
              <w:rPr>
                <w:rFonts w:ascii="Calibri" w:hAnsi="Calibri"/>
                <w:sz w:val="20"/>
              </w:rPr>
              <w:t>Phân định mã cho phần sở hữu riêng vs. phần diện tích chung (pool, lobby)</w:t>
            </w:r>
          </w:p>
        </w:tc>
        <w:tc>
          <w:tcPr>
            <w:tcW w:type="dxa" w:w="3120"/>
          </w:tcPr>
          <w:p>
            <w:pPr>
              <w:spacing w:before="60" w:after="60"/>
            </w:pPr>
            <w:r>
              <w:rPr>
                <w:rFonts w:ascii="Calibri" w:hAnsi="Calibri"/>
                <w:sz w:val="20"/>
              </w:rPr>
              <w:t>Tham vấn Bộ Xây dựng về nguyên tắc, phương thức cấp mã</w:t>
            </w:r>
          </w:p>
        </w:tc>
      </w:tr>
      <w:tr>
        <w:tc>
          <w:tcPr>
            <w:tcW w:type="dxa" w:w="3120"/>
          </w:tcPr>
          <w:p>
            <w:pPr>
              <w:spacing w:before="60" w:after="60"/>
            </w:pPr>
            <w:r>
              <w:rPr>
                <w:rFonts w:ascii="Calibri" w:hAnsi="Calibri"/>
                <w:sz w:val="20"/>
              </w:rPr>
              <w:t>Shophouse khối đế</w:t>
            </w:r>
          </w:p>
        </w:tc>
        <w:tc>
          <w:tcPr>
            <w:tcW w:type="dxa" w:w="3120"/>
          </w:tcPr>
          <w:p>
            <w:pPr>
              <w:spacing w:before="60" w:after="60"/>
            </w:pPr>
            <w:r>
              <w:rPr>
                <w:rFonts w:ascii="Calibri" w:hAnsi="Calibri"/>
                <w:sz w:val="20"/>
              </w:rPr>
              <w:t>Một block có thể chứa cả nhà ở (tầng trên) và thương mại (tầng dưới) - 2 loại mã khác nhau?</w:t>
            </w:r>
          </w:p>
        </w:tc>
        <w:tc>
          <w:tcPr>
            <w:tcW w:type="dxa" w:w="3120"/>
          </w:tcPr>
          <w:p>
            <w:pPr>
              <w:spacing w:before="60" w:after="60"/>
            </w:pPr>
            <w:r>
              <w:rPr>
                <w:rFonts w:ascii="Calibri" w:hAnsi="Calibri"/>
                <w:sz w:val="20"/>
              </w:rPr>
              <w:t>Đề xuất cơ chế mã “cha-con”</w:t>
            </w:r>
          </w:p>
        </w:tc>
      </w:tr>
      <w:tr>
        <w:tc>
          <w:tcPr>
            <w:tcW w:type="dxa" w:w="3120"/>
          </w:tcPr>
          <w:p>
            <w:pPr>
              <w:spacing w:before="60" w:after="60"/>
            </w:pPr>
            <w:r>
              <w:rPr>
                <w:rFonts w:ascii="Calibri" w:hAnsi="Calibri"/>
                <w:sz w:val="20"/>
              </w:rPr>
              <w:t>Biệt thự chia sẻ kỳ nghỉ (Timeshare)</w:t>
            </w:r>
          </w:p>
        </w:tc>
        <w:tc>
          <w:tcPr>
            <w:tcW w:type="dxa" w:w="3120"/>
          </w:tcPr>
          <w:p>
            <w:pPr>
              <w:spacing w:before="60" w:after="60"/>
            </w:pPr>
            <w:r>
              <w:rPr>
                <w:rFonts w:ascii="Calibri" w:hAnsi="Calibri"/>
                <w:sz w:val="20"/>
              </w:rPr>
              <w:t>Nhiều chủ sở hữu cùng một đơn vị BĐS - mã gắn cho tài sản hay cho từng suất sở hữu?</w:t>
            </w:r>
          </w:p>
        </w:tc>
        <w:tc>
          <w:tcPr>
            <w:tcW w:type="dxa" w:w="3120"/>
          </w:tcPr>
          <w:p>
            <w:pPr>
              <w:spacing w:before="60" w:after="60"/>
            </w:pPr>
            <w:r>
              <w:rPr>
                <w:rFonts w:ascii="Calibri" w:hAnsi="Calibri"/>
                <w:sz w:val="20"/>
              </w:rPr>
              <w:t>Xây dựng hồ sơ tham vấn kèm case study quốc tế</w:t>
            </w:r>
          </w:p>
        </w:tc>
      </w:tr>
      <w:tr>
        <w:tc>
          <w:tcPr>
            <w:tcW w:type="dxa" w:w="3120"/>
          </w:tcPr>
          <w:p>
            <w:pPr>
              <w:spacing w:before="60" w:after="60"/>
            </w:pPr>
            <w:r>
              <w:rPr>
                <w:rFonts w:ascii="Calibri" w:hAnsi="Calibri"/>
                <w:sz w:val="20"/>
              </w:rPr>
              <w:t>BĐS không qua thẩm định BCNCKT</w:t>
            </w:r>
          </w:p>
        </w:tc>
        <w:tc>
          <w:tcPr>
            <w:tcW w:type="dxa" w:w="3120"/>
          </w:tcPr>
          <w:p>
            <w:pPr>
              <w:spacing w:before="60" w:after="60"/>
            </w:pPr>
            <w:r>
              <w:rPr>
                <w:rFonts w:ascii="Calibri" w:hAnsi="Calibri"/>
                <w:sz w:val="20"/>
              </w:rPr>
              <w:t>Thời điểm gắn mã chưa được NĐ 357 quy định rõ cho trường hợp sản phẩm không thẩm định BCNCKT (Điều 9 khoản 2 chỉ đề cập trường hợp có thẩm định)</w:t>
            </w:r>
          </w:p>
        </w:tc>
        <w:tc>
          <w:tcPr>
            <w:tcW w:type="dxa" w:w="3120"/>
          </w:tcPr>
          <w:p>
            <w:pPr>
              <w:spacing w:before="60" w:after="60"/>
            </w:pPr>
            <w:r>
              <w:rPr>
                <w:rFonts w:ascii="Calibri" w:hAnsi="Calibri"/>
                <w:sz w:val="20"/>
              </w:rPr>
              <w:t>Cần Bộ Xây dựng hướng dẫn bổ sung</w:t>
            </w:r>
          </w:p>
        </w:tc>
      </w:tr>
    </w:tbl>
    <w:p>
      <w:pPr>
        <w:spacing w:before="0" w:after="80"/>
      </w:pPr>
    </w:p>
    <w:p>
      <w:r>
        <w:rPr>
          <w:b/>
        </w:rPr>
        <w:t>Hành động:</w:t>
      </w:r>
      <w:r>
        <w:t xml:space="preserve"> Ban Pháp chế xây dựng văn bản tham vấn chính thức gửi Bộ Xây dựng trong vòng 30 ngày, kèm theo đề xuất phương án kỹ thuật cho từng loại hình.</w:t>
      </w:r>
    </w:p>
    <w:p>
      <w:pPr>
        <w:pStyle w:val="Heading4"/>
        <w:spacing w:before="240" w:after="160"/>
      </w:pPr>
      <w:r>
        <w:rPr>
          <w:rFonts w:ascii="Calibri" w:hAnsi="Calibri" w:eastAsia="Calibri"/>
          <w:color w:val="1A1A2E"/>
          <w:sz w:val="28"/>
        </w:rPr>
        <w:t>2.1.4. Rủi ro chia sẻ dữ liệu có trả phí</w:t>
      </w:r>
    </w:p>
    <w:p>
      <w:r>
        <w:t>Theo NĐ 357, mã định danh có giá trị gắn liền với lịch sử giao dịch của sản phẩm BĐS. Trong một số trường hợp, việc truy xuất thông tin lịch sử giao dịch theo mã có thể thuộc phạm vi “chia sẻ có trả phí theo pháp luật về giá” — thủ tục hành chính phức tạp và chưa rõ ràng.</w:t>
      </w:r>
    </w:p>
    <w:p>
      <w:r>
        <w:rPr>
          <w:b/>
        </w:rPr>
        <w:t>Rủi ro:</w:t>
      </w:r>
      <w:r>
        <w:t xml:space="preserve"> Chi phí vận hành tăng đáng kể nếu mỗi lần truy xuất lịch sử giao dịch theo mã phải trả phí cho CQNN. Đặc biệt ảnh hưởng đến hoạt động thẩm định, giao dịch thứ cấp và quản lý vận hành.</w:t>
      </w:r>
    </w:p>
    <w:p>
      <w:r>
        <w:rPr>
          <w:b/>
        </w:rPr>
        <w:t>Đề xuất:</w:t>
      </w:r>
      <w:r>
        <w:t xml:space="preserve"> Ban Pháp chế theo dõi các văn bản hướng dẫn của Bộ Xây dựng về cơ chế chia sẻ dữ liệu (Điều 33), làm rõ trường hợp nào miễn phí / trả phí, mức phí dự kiến.</w:t>
      </w:r>
    </w:p>
    <w:p>
      <w:pPr>
        <w:pStyle w:val="Heading3"/>
        <w:spacing w:before="240" w:after="160"/>
      </w:pPr>
      <w:r>
        <w:rPr>
          <w:rFonts w:ascii="Calibri" w:hAnsi="Calibri" w:eastAsia="Calibri"/>
          <w:color w:val="1A1A2E"/>
          <w:sz w:val="32"/>
        </w:rPr>
        <w:t>2.2. Giai đoạn phân phối, marketing và giao dịch</w:t>
      </w:r>
    </w:p>
    <w:p>
      <w:r>
        <w:rPr>
          <w:b/>
        </w:rPr>
        <w:t>Lead:</w:t>
      </w:r>
      <w:r>
        <w:t xml:space="preserve"> SPG, Ban Pháp chế, Ban Kinh doanh</w:t>
      </w:r>
    </w:p>
    <w:p>
      <w:r>
        <w:t>Đây là giai đoạn chịu tác động nặng nhất. Nếu không xử lý kịp thời, toàn bộ hệ thống bán hàng có thể bị ảnh hưởng lớn.</w:t>
      </w:r>
    </w:p>
    <w:p>
      <w:pPr>
        <w:pStyle w:val="Heading4"/>
        <w:spacing w:before="240" w:after="160"/>
      </w:pPr>
      <w:r>
        <w:rPr>
          <w:rFonts w:ascii="Calibri" w:hAnsi="Calibri" w:eastAsia="Calibri"/>
          <w:color w:val="1A1A2E"/>
          <w:sz w:val="28"/>
        </w:rPr>
        <w:t>2.2.1. Quản trị tâm lý khách hàng VIP/VVIP</w:t>
      </w:r>
    </w:p>
    <w:p>
      <w:r>
        <w:rPr>
          <w:b/>
        </w:rPr>
        <w:t>Tác động:</w:t>
      </w:r>
      <w:r>
        <w:t xml:space="preserve"> NĐ 357 yêu cầu thu thập thông tin sở hữu nhà ở chi tiết theo số định danh cá nhân (Điều 20 khoản 2), bao gồm: loại hình, địa chỉ, diện tích, số lượng, thời hạn sở hữu, hình thức sở hữu (chung/riêng) và tình trạng pháp lý. Toàn bộ dữ liệu giao dịch (giá, tổng giá trị, thông tin các bên liên quan) được lưu giữ vĩnh viễn và có thể truy xuất theo mã định danh sản phẩm (Phụ lục VI mục 5).</w:t>
      </w:r>
    </w:p>
    <w:p>
      <w:r>
        <w:t>Kết hợp với việc chia sẻ dữ liệu thuế chuyển nhượng BĐS từ Bộ Tài chính (Điều 28 khoản 3 điểm a) và dữ liệu tín dụng BĐS từ Ngân hàng Nhà nước (Điều 28 khoản 4), cơ quan quản lý nhà nước có bức tranh toàn diện về tổng tài sản BĐS, nguồn vốn vay và lịch sử thế chấp, giao dịch của mỗi cá nhân.</w:t>
      </w:r>
    </w:p>
    <w:p>
      <w:r>
        <w:rPr>
          <w:b/>
        </w:rPr>
        <w:t>Hậu quả dự kiến:</w:t>
      </w:r>
      <w:r>
        <w:t xml:space="preserve"> Nhóm khách hàng VIP/VVIP, đặc biệt những người sở hữu nhiều tài sản hoặc có cơ cấu sở hữu phức tạp (qua nhiều pháp nhân), có thể phát sinh tâm lý e ngại mua thêm BĐS do lo bị truy thuế tài sản, thuế TNCN trên giao dịch thứ cấp trước đây.</w:t>
      </w:r>
    </w:p>
    <w:p>
      <w:r>
        <w:rPr>
          <w:b/>
        </w:rPr>
        <w:t>Giải pháp:</w:t>
      </w:r>
    </w:p>
    <w:p>
      <w:pPr>
        <w:spacing w:after="40" w:before="20"/>
        <w:ind w:left="720" w:hanging="357"/>
      </w:pPr>
      <w:r>
        <w:t xml:space="preserve">1. </w:t>
      </w:r>
      <w:r>
        <w:rPr>
          <w:b/>
        </w:rPr>
        <w:t>Bổ sung trục truyền thông:</w:t>
      </w:r>
      <w:r>
        <w:t>- Đối với khách hàng: Chuyển narrative từ “Mua BĐS để đầu tư” sang “Mua BĐS Sun Group - Tài sản có chứng minh thư quốc gia, an toàn pháp lý trọn đời”. Campaign đề xuất: “Định danh BĐS Sun Group - Bảo chứng hàng hiệu &amp; an toàn pháp lý”.</w:t>
        <w:br/>
        <w:t xml:space="preserve">   - Đối với cơ quan quản lý: “Sun Group là đơn vị tiên phong, gương mẫu trong việc tuân thủ chính sách, định hướng của Chính phủ”; “Tiên phong tuân thủ trong kỷ nguyên vươn mình”.</w:t>
      </w:r>
    </w:p>
    <w:p>
      <w:pPr>
        <w:spacing w:after="40" w:before="20"/>
        <w:ind w:left="720" w:hanging="357"/>
      </w:pPr>
      <w:r>
        <w:t xml:space="preserve">2. </w:t>
      </w:r>
      <w:r>
        <w:rPr>
          <w:b/>
        </w:rPr>
        <w:t>Cung cấp sale-kit:</w:t>
      </w:r>
      <w:r>
        <w:t>Xây dựng bộ kịch bản (script) cho đội ngũ Sales, bao gồm:</w:t>
        <w:br/>
        <w:t xml:space="preserve">   - FAQ về quyền riêng tư dữ liệu (Điều 33 khoản 7: Sun Group sẽ không khai thác các thông tin liên quan đến dữ liệu của công dân, khách hàng trừ trường hợp phải cung cấp cho cơ quan quản lý Nhà nước theo yêu cầu).</w:t>
        <w:br/>
        <w:t xml:space="preserve">   - So sánh rủi ro: Tài sản có mã định danh (minh bạch, dễ giao dịch thứ cấp, được ngân hàng ưu tiên thẩm định, tăng khả năng được nhận thế chấp) vs. tài sản không có mã (rủi ro pháp lý, khó thanh khoản, khó được nhận thế chấp).</w:t>
      </w:r>
    </w:p>
    <w:p>
      <w:pPr>
        <w:spacing w:after="40" w:before="20"/>
        <w:ind w:left="720" w:hanging="357"/>
      </w:pPr>
      <w:r>
        <w:t xml:space="preserve">3. </w:t>
      </w:r>
      <w:r>
        <w:rPr>
          <w:b/>
        </w:rPr>
        <w:t>Tổ chức hội thảo VIP riêng:</w:t>
      </w:r>
      <w:r>
        <w:t>Mời chuyên gia pháp lý phân tích NĐ 357, trấn an tâm lý và nhấn mạnh lợi ích của minh bạch hóa.</w:t>
      </w:r>
    </w:p>
    <w:p>
      <w:pPr>
        <w:pStyle w:val="Heading4"/>
        <w:spacing w:before="240" w:after="160"/>
      </w:pPr>
      <w:r>
        <w:rPr>
          <w:rFonts w:ascii="Calibri" w:hAnsi="Calibri" w:eastAsia="Calibri"/>
          <w:color w:val="1A1A2E"/>
          <w:sz w:val="28"/>
        </w:rPr>
        <w:t>2.2.2. Xử lý rủi ro liên quan tới mạng lưới đại lý (Agency F1, F2)</w:t>
      </w:r>
    </w:p>
    <w:p>
      <w:r>
        <w:rPr>
          <w:b/>
        </w:rPr>
        <w:t>Tác động:</w:t>
      </w:r>
      <w:r>
        <w:t xml:space="preserve"> Theo Điều 11, mã định danh chứng chỉ hành nghề môi giới BĐS là chuỗi 17 ký tự bao gồm: 2 ký tự mã tỉnh + 12 ký tự số định danh cá nhân + 2 số cuối năm hết hạn + 1 ký tự trạng thái thu hồi (Phụ lục I mục 3). Mã này được gắn ngay sau khi Sở Xây dựng phê duyệt danh sách cá nhân được cấp chứng chỉ (Điều 11 khoản 2).</w:t>
      </w:r>
    </w:p>
    <w:p>
      <w:r>
        <w:t>Theo Điều 22 khoản 1, sàn giao dịch BĐS phải cung cấp thông tin: số lượng nhân viên có chứng chỉ, số lượng và giá trị giao dịch được xác nhận qua sàn. Theo Điều 39 khoản 1 điểm a, tổ chức, cá nhân phải chia sẻ, báo cáo đầy đủ thông tin đúng thời hạn, chịu hoàn toàn trách nhiệm về nội dung do mình cung cấp.</w:t>
      </w:r>
    </w:p>
    <w:p>
      <w:r>
        <w:rPr>
          <w:b/>
        </w:rPr>
        <w:t>Hậu quả dự kiến:</w:t>
      </w:r>
      <w:r>
        <w:t xml:space="preserve"> Ước tính một tỷ lệ đáng kể nhân viên bán hàng tại các đại lý F1, F2 hiện chưa có chứng chỉ hành nghề. Sau ngày 01/03/2026, những cá nhân này không thể thực hiện giao dịch hợp pháp, tiềm ẩn rủi ro:</w:t>
      </w:r>
    </w:p>
    <w:p>
      <w:pPr>
        <w:spacing w:after="40" w:before="20"/>
        <w:ind w:left="720" w:hanging="357"/>
      </w:pPr>
      <w:r>
        <w:rPr>
          <w:sz w:val="20"/>
        </w:rPr>
        <w:t xml:space="preserve">• </w:t>
      </w:r>
      <w:r>
        <w:t>Ách tắc hệ thống booking.</w:t>
      </w:r>
    </w:p>
    <w:p>
      <w:pPr>
        <w:spacing w:after="40" w:before="20"/>
        <w:ind w:left="720" w:hanging="357"/>
      </w:pPr>
      <w:r>
        <w:rPr>
          <w:sz w:val="20"/>
        </w:rPr>
        <w:t xml:space="preserve">• </w:t>
      </w:r>
      <w:r>
        <w:t>Rủi ro pháp lý nếu giao dịch được thực hiện bởi nhân viên không có mã.</w:t>
      </w:r>
    </w:p>
    <w:p>
      <w:pPr>
        <w:spacing w:after="40" w:before="20"/>
        <w:ind w:left="720" w:hanging="357"/>
      </w:pPr>
      <w:r>
        <w:rPr>
          <w:sz w:val="20"/>
        </w:rPr>
        <w:t xml:space="preserve">• </w:t>
      </w:r>
      <w:r>
        <w:t>Bộ Xây dựng và Sở Xây dựng công bố tổ chức, cá nhân vi phạm (Điều 36 khoản 5; Điều 38 khoản 5 điểm c).</w:t>
      </w:r>
    </w:p>
    <w:p>
      <w:r>
        <w:rPr>
          <w:b/>
        </w:rPr>
        <w:t>Giải pháp:</w:t>
      </w:r>
    </w:p>
    <w:p>
      <w:pPr>
        <w:spacing w:after="40" w:before="20"/>
        <w:ind w:left="720" w:hanging="357"/>
      </w:pPr>
      <w:r>
        <w:t xml:space="preserve">1. </w:t>
      </w:r>
      <w:r>
        <w:rPr>
          <w:b/>
        </w:rPr>
        <w:t>Ban hành Thông báo rà soát đại lý:</w:t>
      </w:r>
      <w:r>
        <w:t>Thông báo chính thức yêu cầu tất cả đại lý F1/F2 rà soát và báo cáo tỷ lệ nhân viên có chứng chỉ hành nghề kèm mã định danh điện tử trong vòng 14 ngày. Sau thời hạn nêu trên, những nhân viên môi giới chưa có chứng chỉ hành nghề kèm mã định danh sẽ không được bán BĐS của Sun Group cho tới khi đáp ứng điều kiện.</w:t>
      </w:r>
    </w:p>
    <w:p>
      <w:pPr>
        <w:spacing w:after="40" w:before="20"/>
        <w:ind w:left="720" w:hanging="357"/>
      </w:pPr>
      <w:r>
        <w:t xml:space="preserve">2. </w:t>
      </w:r>
      <w:r>
        <w:rPr>
          <w:b/>
        </w:rPr>
        <w:t>Phối hợp tổ chức thi chứng chỉ cấp tốc:</w:t>
      </w:r>
      <w:r>
        <w:t>Liên hệ với các cơ sở đào tạo được cấp phép (Điều 24) để tổ chức đợt thi/cấp chứng chỉ đặc biệt cho nhân viên thuộc SPG (nếu cần).</w:t>
      </w:r>
    </w:p>
    <w:p>
      <w:pPr>
        <w:spacing w:after="40" w:before="20"/>
        <w:ind w:left="720" w:hanging="357"/>
      </w:pPr>
      <w:r>
        <w:t xml:space="preserve">3. </w:t>
      </w:r>
      <w:r>
        <w:rPr>
          <w:b/>
        </w:rPr>
        <w:t>Bổ sung chế tài vào hợp đồng phân phối:</w:t>
      </w:r>
      <w:r>
        <w:t>Bổ sung điều khoản bắt buộc “Đại lý phân phối cam kết 100% nhân viên tham gia giao dịch sản phẩm Sun Group phải có chứng chỉ hành nghề và mã định danh điện tử theo yêu cầu của pháp luật”.</w:t>
      </w:r>
    </w:p>
    <w:p>
      <w:pPr>
        <w:pStyle w:val="Heading4"/>
        <w:spacing w:before="240" w:after="160"/>
      </w:pPr>
      <w:r>
        <w:rPr>
          <w:rFonts w:ascii="Calibri" w:hAnsi="Calibri" w:eastAsia="Calibri"/>
          <w:color w:val="1A1A2E"/>
          <w:sz w:val="28"/>
        </w:rPr>
        <w:t>2.2.3. Rủi ro kênh phân phối phi chính thức (khách hàng giới thiệu khách hàng)</w:t>
      </w:r>
    </w:p>
    <w:p>
      <w:r>
        <w:rPr>
          <w:b/>
        </w:rPr>
        <w:t>Tác động đặc thù thị trường Việt Nam:</w:t>
      </w:r>
      <w:r>
        <w:t xml:space="preserve"> Khác với nhiều thị trường quốc tế, tại Việt Nam mỗi khách hàng khi tham gia đầu tư BĐS cũng có thể trở thành một “môi giới” thực tế — giới thiệu khách hàng khác để nhận hoa hồng/chiết khấu (kênh referral). NĐ 357 yêu cầu mọi cá nhân thực hiện hoạt động môi giới BĐS phải có mã định danh chứng chỉ hành nghề (Điều 11). Việc quản lý chặt các đối tượng này qua mã định danh có thể ảnh hưởng nghiêm trọng đến kênh phân phối phi chính thức — vốn chiếm tỷ trọng đáng kể trong doanh số bán hàng của Sun Group.</w:t>
      </w:r>
    </w:p>
    <w:p>
      <w:r>
        <w:rPr>
          <w:b/>
        </w:rPr>
        <w:t>Giải pháp đề xuất:</w:t>
      </w:r>
    </w:p>
    <w:p>
      <w:pPr>
        <w:spacing w:after="40" w:before="20"/>
        <w:ind w:left="720" w:hanging="357"/>
      </w:pPr>
      <w:r>
        <w:t xml:space="preserve">1. </w:t>
      </w:r>
      <w:r>
        <w:t>SPG rà soát quy mô kênh referral hiện tại (số lượng KH giới thiệu, tỷ trọng doanh thu).</w:t>
      </w:r>
    </w:p>
    <w:p>
      <w:pPr>
        <w:spacing w:after="40" w:before="20"/>
        <w:ind w:left="720" w:hanging="357"/>
      </w:pPr>
      <w:r>
        <w:t xml:space="preserve">2. </w:t>
      </w:r>
      <w:r>
        <w:t>Nghiên cứu phương án: (i) chuyển đổi KH referral thành CTV có chứng chỉ hành nghề; hoặc (ii) tách biệt hoạt động “giới thiệu” (không cần mã) khỏi hoạt động “môi giới” (cần mã) — cần tham vấn Ban Pháp chế về ranh giới pháp lý.</w:t>
      </w:r>
    </w:p>
    <w:p>
      <w:pPr>
        <w:spacing w:after="40" w:before="20"/>
        <w:ind w:left="720" w:hanging="357"/>
      </w:pPr>
      <w:r>
        <w:t xml:space="preserve">3. </w:t>
      </w:r>
      <w:r>
        <w:t>Chờ hướng dẫn chi tiết từ Bộ Xây dựng trước khi ban hành quy định nội bộ.</w:t>
      </w:r>
    </w:p>
    <w:p>
      <w:pPr>
        <w:pStyle w:val="Heading4"/>
        <w:spacing w:before="240" w:after="160"/>
      </w:pPr>
      <w:r>
        <w:rPr>
          <w:rFonts w:ascii="Calibri" w:hAnsi="Calibri" w:eastAsia="Calibri"/>
          <w:color w:val="1A1A2E"/>
          <w:sz w:val="28"/>
        </w:rPr>
        <w:t>2.2.4. Cập nhật pháp lý thương mại</w:t>
      </w:r>
    </w:p>
    <w:p>
      <w:r>
        <w:t>NĐ 357 yêu cầu thông tin hợp đồng giao dịch phải bao gồm mã định danh điện tử sản phẩm BĐS (Điều 19 khoản 3 điểm a). Chủ đầu tư phải công khai thông tin dự án đưa vào kinh doanh theo quy định (Điều 30 khoản 2).</w:t>
      </w:r>
    </w:p>
    <w:p>
      <w:r>
        <w:rPr>
          <w:b/>
        </w:rPr>
        <w:t>Hành động cụ thể:</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Biểu mẫu</w:t>
            </w:r>
          </w:p>
        </w:tc>
        <w:tc>
          <w:tcPr>
            <w:tcW w:type="dxa" w:w="3120"/>
            <w:shd w:fill="E2E8F0" w:val="clear"/>
          </w:tcPr>
          <w:p>
            <w:pPr>
              <w:spacing w:before="60" w:after="60"/>
            </w:pPr>
            <w:r>
              <w:rPr>
                <w:rFonts w:ascii="Calibri" w:hAnsi="Calibri"/>
                <w:b/>
                <w:sz w:val="20"/>
              </w:rPr>
              <w:t>Trường bổ sung bắt buộc</w:t>
            </w:r>
          </w:p>
        </w:tc>
        <w:tc>
          <w:tcPr>
            <w:tcW w:type="dxa" w:w="3120"/>
            <w:shd w:fill="E2E8F0" w:val="clear"/>
          </w:tcPr>
          <w:p>
            <w:pPr>
              <w:spacing w:before="60" w:after="60"/>
            </w:pPr>
            <w:r>
              <w:rPr>
                <w:rFonts w:ascii="Calibri" w:hAnsi="Calibri"/>
                <w:b/>
                <w:sz w:val="20"/>
              </w:rPr>
              <w:t>Hạn hoàn thành</w:t>
            </w:r>
          </w:p>
        </w:tc>
      </w:tr>
      <w:tr>
        <w:tc>
          <w:tcPr>
            <w:tcW w:type="dxa" w:w="3120"/>
          </w:tcPr>
          <w:p>
            <w:pPr>
              <w:spacing w:before="60" w:after="60"/>
            </w:pPr>
            <w:r>
              <w:rPr>
                <w:rFonts w:ascii="Calibri" w:hAnsi="Calibri"/>
                <w:sz w:val="20"/>
              </w:rPr>
              <w:t>Thỏa thuận đặt cọc</w:t>
            </w:r>
          </w:p>
        </w:tc>
        <w:tc>
          <w:tcPr>
            <w:tcW w:type="dxa" w:w="3120"/>
          </w:tcPr>
          <w:p>
            <w:pPr>
              <w:spacing w:before="60" w:after="60"/>
            </w:pPr>
            <w:r>
              <w:rPr>
                <w:rFonts w:ascii="Calibri" w:hAnsi="Calibri"/>
                <w:sz w:val="20"/>
              </w:rPr>
              <w:t>Mã định danh BĐS (do CQNN cấp)</w:t>
            </w:r>
          </w:p>
        </w:tc>
        <w:tc>
          <w:tcPr>
            <w:tcW w:type="dxa" w:w="3120"/>
          </w:tcPr>
          <w:p>
            <w:pPr>
              <w:spacing w:before="60" w:after="60"/>
            </w:pPr>
            <w:r>
              <w:rPr>
                <w:rFonts w:ascii="Calibri" w:hAnsi="Calibri"/>
                <w:sz w:val="20"/>
              </w:rPr>
              <w:t>Khi CQNN sẵn sàng</w:t>
            </w:r>
          </w:p>
        </w:tc>
      </w:tr>
      <w:tr>
        <w:tc>
          <w:tcPr>
            <w:tcW w:type="dxa" w:w="3120"/>
          </w:tcPr>
          <w:p>
            <w:pPr>
              <w:spacing w:before="60" w:after="60"/>
            </w:pPr>
            <w:r>
              <w:rPr>
                <w:rFonts w:ascii="Calibri" w:hAnsi="Calibri"/>
                <w:sz w:val="20"/>
              </w:rPr>
              <w:t>Hợp đồng mua bán (HĐMB)</w:t>
            </w:r>
          </w:p>
        </w:tc>
        <w:tc>
          <w:tcPr>
            <w:tcW w:type="dxa" w:w="3120"/>
          </w:tcPr>
          <w:p>
            <w:pPr>
              <w:spacing w:before="60" w:after="60"/>
            </w:pPr>
            <w:r>
              <w:rPr>
                <w:rFonts w:ascii="Calibri" w:hAnsi="Calibri"/>
                <w:sz w:val="20"/>
              </w:rPr>
              <w:t>Mã định danh BĐS + Mã môi giới (17 ký tự)</w:t>
            </w:r>
          </w:p>
        </w:tc>
        <w:tc>
          <w:tcPr>
            <w:tcW w:type="dxa" w:w="3120"/>
          </w:tcPr>
          <w:p>
            <w:pPr>
              <w:spacing w:before="60" w:after="60"/>
            </w:pPr>
            <w:r>
              <w:rPr>
                <w:rFonts w:ascii="Calibri" w:hAnsi="Calibri"/>
                <w:sz w:val="20"/>
              </w:rPr>
              <w:t>Khi CQNN sẵn sàng</w:t>
            </w:r>
          </w:p>
        </w:tc>
      </w:tr>
      <w:tr>
        <w:tc>
          <w:tcPr>
            <w:tcW w:type="dxa" w:w="3120"/>
          </w:tcPr>
          <w:p>
            <w:pPr>
              <w:spacing w:before="60" w:after="60"/>
            </w:pPr>
            <w:r>
              <w:rPr>
                <w:rFonts w:ascii="Calibri" w:hAnsi="Calibri"/>
                <w:sz w:val="20"/>
              </w:rPr>
              <w:t>Văn bản chuyển nhượng</w:t>
            </w:r>
          </w:p>
        </w:tc>
        <w:tc>
          <w:tcPr>
            <w:tcW w:type="dxa" w:w="3120"/>
          </w:tcPr>
          <w:p>
            <w:pPr>
              <w:spacing w:before="60" w:after="60"/>
            </w:pPr>
            <w:r>
              <w:rPr>
                <w:rFonts w:ascii="Calibri" w:hAnsi="Calibri"/>
                <w:sz w:val="20"/>
              </w:rPr>
              <w:t>Mã định danh BĐS + Thông tin các bên (số định danh cá nhân/tổ chức)</w:t>
            </w:r>
          </w:p>
        </w:tc>
        <w:tc>
          <w:tcPr>
            <w:tcW w:type="dxa" w:w="3120"/>
          </w:tcPr>
          <w:p>
            <w:pPr>
              <w:spacing w:before="60" w:after="60"/>
            </w:pPr>
            <w:r>
              <w:rPr>
                <w:rFonts w:ascii="Calibri" w:hAnsi="Calibri"/>
                <w:sz w:val="20"/>
              </w:rPr>
              <w:t>Khi CQNN sẵn sàng</w:t>
            </w:r>
          </w:p>
        </w:tc>
      </w:tr>
      <w:tr>
        <w:tc>
          <w:tcPr>
            <w:tcW w:type="dxa" w:w="3120"/>
          </w:tcPr>
          <w:p>
            <w:pPr>
              <w:spacing w:before="60" w:after="60"/>
            </w:pPr>
            <w:r>
              <w:rPr>
                <w:rFonts w:ascii="Calibri" w:hAnsi="Calibri"/>
                <w:sz w:val="20"/>
              </w:rPr>
              <w:t>Phiếu booking nội bộ</w:t>
            </w:r>
          </w:p>
        </w:tc>
        <w:tc>
          <w:tcPr>
            <w:tcW w:type="dxa" w:w="3120"/>
          </w:tcPr>
          <w:p>
            <w:pPr>
              <w:spacing w:before="60" w:after="60"/>
            </w:pPr>
            <w:r>
              <w:rPr>
                <w:rFonts w:ascii="Calibri" w:hAnsi="Calibri"/>
                <w:sz w:val="20"/>
              </w:rPr>
              <w:t>Mã môi giới của nhân viên thực hiện giao dịch</w:t>
            </w:r>
          </w:p>
        </w:tc>
        <w:tc>
          <w:tcPr>
            <w:tcW w:type="dxa" w:w="3120"/>
          </w:tcPr>
          <w:p>
            <w:pPr>
              <w:spacing w:before="60" w:after="60"/>
            </w:pPr>
            <w:r>
              <w:rPr>
                <w:rFonts w:ascii="Calibri" w:hAnsi="Calibri"/>
                <w:sz w:val="20"/>
              </w:rPr>
              <w:t>15/03/2026</w:t>
            </w:r>
          </w:p>
        </w:tc>
      </w:tr>
    </w:tbl>
    <w:p>
      <w:pPr>
        <w:spacing w:before="0" w:after="80"/>
      </w:pPr>
    </w:p>
    <w:p>
      <w:r>
        <w:rPr>
          <w:i/>
        </w:rPr>
        <w:t>Lưu ý: Thời hạn cập nhật biểu mẫu phụ thuộc vào thời điểm Sở XD các địa phương bắt đầu cấp mã — chưa thể ấn định deadline cứng khi chưa biết Bộ XD hướng dẫn các Sở XD triển khai như thế nào.</w:t>
      </w:r>
    </w:p>
    <w:p>
      <w:r>
        <w:t>Ban Pháp chế phối hợp với SPG rà soát và chuẩn bị sẵn template biểu mẫu mới, áp dụng ngay khi có mã từ CQNN.</w:t>
      </w:r>
    </w:p>
    <w:p>
      <w:pPr>
        <w:pStyle w:val="Heading3"/>
        <w:spacing w:before="240" w:after="160"/>
      </w:pPr>
      <w:r>
        <w:rPr>
          <w:rFonts w:ascii="Calibri" w:hAnsi="Calibri" w:eastAsia="Calibri"/>
          <w:color w:val="1A1A2E"/>
          <w:sz w:val="32"/>
        </w:rPr>
        <w:t>2.3. Giai đoạn bàn giao, quản lý vận hành và hậu mãi</w:t>
      </w:r>
    </w:p>
    <w:p>
      <w:r>
        <w:rPr>
          <w:b/>
        </w:rPr>
        <w:t>Lead:</w:t>
      </w:r>
      <w:r>
        <w:t xml:space="preserve"> SPL</w:t>
      </w:r>
    </w:p>
    <w:p>
      <w:pPr>
        <w:pStyle w:val="Heading4"/>
        <w:spacing w:before="240" w:after="160"/>
      </w:pPr>
      <w:r>
        <w:rPr>
          <w:rFonts w:ascii="Calibri" w:hAnsi="Calibri" w:eastAsia="Calibri"/>
          <w:color w:val="1A1A2E"/>
          <w:sz w:val="28"/>
        </w:rPr>
        <w:t>2.3.1. Tuân thủ pháp nhân quản lý vận hành</w:t>
      </w:r>
    </w:p>
    <w:p>
      <w:r>
        <w:t>Theo Điều 10, đơn vị quản lý vận hành nhà chung cư phải có mã định danh điện tử là chuỗi 15 ký tự bao gồm: 13 ký tự số định danh tổ chức + 2 ký tự nhận diện đơn vị cấp thông báo (Phụ lục I mục 2). Mã định danh này được gắn cùng thời điểm ban hành văn bản thông báo đủ điều kiện (Điều 10 khoản 2).</w:t>
      </w:r>
    </w:p>
    <w:p>
      <w:r>
        <w:t>Ngoài ra, phải cung cấp danh sách nhân viên trực tiếp tham gia quản lý vận hành trong các lĩnh vực: xây dựng, kỹ thuật điện nước, phòng cháy chữa cháy, vận hành thang máy kèm theo họ tên và số định danh cá nhân (Điều 25 khoản 2).</w:t>
      </w:r>
    </w:p>
    <w:p>
      <w:r>
        <w:rPr>
          <w:b/>
        </w:rPr>
        <w:t>Hành động:</w:t>
      </w:r>
    </w:p>
    <w:p>
      <w:pPr>
        <w:spacing w:after="40" w:before="20"/>
        <w:ind w:left="720" w:hanging="357"/>
      </w:pPr>
      <w:r>
        <w:rPr>
          <w:sz w:val="20"/>
        </w:rPr>
        <w:t xml:space="preserve">• </w:t>
      </w:r>
      <w:r>
        <w:t>SPL lập hồ sơ đăng ký mã định danh cho tất cả pháp nhân quản lý vận hành thuộc hệ sinh thái Sun Group.</w:t>
      </w:r>
    </w:p>
    <w:p>
      <w:pPr>
        <w:spacing w:after="40" w:before="20"/>
        <w:ind w:left="720" w:hanging="357"/>
      </w:pPr>
      <w:r>
        <w:rPr>
          <w:sz w:val="20"/>
        </w:rPr>
        <w:t xml:space="preserve">• </w:t>
      </w:r>
      <w:r>
        <w:t>Cập nhật danh sách nhân viên kỹ thuật đủ điều kiện, nộp cho Sở Xây dựng từng địa phương.</w:t>
      </w:r>
    </w:p>
    <w:p>
      <w:pPr>
        <w:spacing w:after="40" w:before="20"/>
        <w:ind w:left="720" w:hanging="357"/>
      </w:pPr>
      <w:r>
        <w:rPr>
          <w:sz w:val="20"/>
        </w:rPr>
        <w:t xml:space="preserve">• </w:t>
      </w:r>
      <w:r>
        <w:t>Bổ sung quyết định công nhận Ban Quản trị nhà chung cư vào hệ thống (Điều 25 khoản 3).</w:t>
      </w:r>
    </w:p>
    <w:p>
      <w:pPr>
        <w:pStyle w:val="Heading4"/>
        <w:spacing w:before="240" w:after="160"/>
      </w:pPr>
      <w:r>
        <w:rPr>
          <w:rFonts w:ascii="Calibri" w:hAnsi="Calibri" w:eastAsia="Calibri"/>
          <w:color w:val="1A1A2E"/>
          <w:sz w:val="28"/>
        </w:rPr>
        <w:t>2.3.2. Cập nhật hệ sinh thái cư dân</w:t>
      </w:r>
    </w:p>
    <w:p>
      <w:r>
        <w:t>Hiện nay, Sun Group đang xây dựng App phục vụ cư dân (thanh toán phí dịch vụ, đặt tiện ích…) và Ban Quản lý (vận hành khu căn hộ). NĐ 357 đưa ra một số thiết lập bổ sung:</w:t>
      </w:r>
    </w:p>
    <w:p>
      <w:pPr>
        <w:spacing w:after="40" w:before="20"/>
        <w:ind w:left="720" w:hanging="357"/>
      </w:pPr>
      <w:r>
        <w:rPr>
          <w:sz w:val="20"/>
        </w:rPr>
        <w:t xml:space="preserve">• </w:t>
      </w:r>
      <w:r>
        <w:t>Tích hợp mã định danh BĐS (do CQNN cấp) vào hồ sơ căn hộ trên app, giúp cư dân tra cứu thông tin pháp lý, lịch sử giao dịch tức thời.</w:t>
      </w:r>
    </w:p>
    <w:p>
      <w:pPr>
        <w:spacing w:after="40" w:before="20"/>
        <w:ind w:left="720" w:hanging="357"/>
      </w:pPr>
      <w:r>
        <w:rPr>
          <w:sz w:val="20"/>
        </w:rPr>
        <w:t xml:space="preserve">• </w:t>
      </w:r>
      <w:r>
        <w:t>Hỗ trợ chuyển nhượng thứ cấp: Khi cư dân muốn bán/cho thuê, app tự động map mã định danh BĐS với thông tin giao dịch cần thiết theo Điều 19, giúp giảm thời gian và chi phí giao dịch.</w:t>
      </w:r>
    </w:p>
    <w:p>
      <w:pPr>
        <w:spacing w:after="40" w:before="20"/>
        <w:ind w:left="720" w:hanging="357"/>
      </w:pPr>
      <w:r>
        <w:rPr>
          <w:sz w:val="20"/>
        </w:rPr>
        <w:t xml:space="preserve">• </w:t>
      </w:r>
      <w:r>
        <w:t>Kết nối cổng quốc gia: Liên thông với hệ thống thông tin về nhà ở qua API (Điều 31) để cập nhật trạng thái pháp lý thời gian thực —</w:t>
      </w:r>
      <w:r>
        <w:rPr>
          <w:i/>
        </w:rPr>
        <w:t>khi hệ thống quốc gia sẵn sàng</w:t>
      </w:r>
      <w:r>
        <w:t>.</w:t>
      </w:r>
    </w:p>
    <w:p>
      <w:pPr>
        <w:pStyle w:val="Heading4"/>
        <w:spacing w:before="240" w:after="160"/>
      </w:pPr>
      <w:r>
        <w:rPr>
          <w:rFonts w:ascii="Calibri" w:hAnsi="Calibri" w:eastAsia="Calibri"/>
          <w:color w:val="1A1A2E"/>
          <w:sz w:val="28"/>
        </w:rPr>
        <w:t>2.3.3. Quản trị rủi ro dòng tiền hậu mãi</w:t>
      </w:r>
    </w:p>
    <w:p>
      <w:r>
        <w:t>Đối với các sản phẩm có cơ chế chia sẻ doanh thu (rental pool/timeshare):</w:t>
      </w:r>
    </w:p>
    <w:p>
      <w:pPr>
        <w:spacing w:after="40" w:before="20"/>
        <w:ind w:left="720" w:hanging="357"/>
      </w:pPr>
      <w:r>
        <w:rPr>
          <w:sz w:val="20"/>
        </w:rPr>
        <w:t xml:space="preserve">• </w:t>
      </w:r>
      <w:r>
        <w:t>Dữ liệu giao dịch cho thuê, thuê lại được ghi nhận đầy đủ (Điều 19 khoản 3 điểm a: loại hợp đồng bao gồm “thuê, thuê lại”).</w:t>
      </w:r>
    </w:p>
    <w:p>
      <w:pPr>
        <w:spacing w:after="40" w:before="20"/>
        <w:ind w:left="720" w:hanging="357"/>
      </w:pPr>
      <w:r>
        <w:rPr>
          <w:sz w:val="20"/>
        </w:rPr>
        <w:t xml:space="preserve">• </w:t>
      </w:r>
      <w:r>
        <w:t>Ngân hàng Nhà nước chia sẻ dữ liệu dư nợ tín dụng đối với khu du lịch, sinh thái, nghỉ dưỡng (Điều 28 khoản 4 điểm a).</w:t>
      </w:r>
    </w:p>
    <w:p>
      <w:pPr>
        <w:spacing w:after="40" w:before="20"/>
        <w:ind w:left="720" w:hanging="357"/>
      </w:pPr>
      <w:r>
        <w:rPr>
          <w:sz w:val="20"/>
        </w:rPr>
        <w:t xml:space="preserve">• </w:t>
      </w:r>
      <w:r>
        <w:t>Bộ Tài chính chia sẻ dữ liệu thuế thu nhập (Điều 28 khoản 3 điểm a).</w:t>
      </w:r>
    </w:p>
    <w:p>
      <w:r>
        <w:rPr>
          <w:b/>
        </w:rPr>
        <w:t>Rủi ro:</w:t>
      </w:r>
      <w:r>
        <w:t xml:space="preserve"> Nếu doanh thu rental pool/timeshare không được kê khai đầy đủ qua hệ thống quốc gia, cơ quan Thuế có thể truy thu thuế TNCN/thuế nhà thầu cho chủ sở hữu và đơn vị vận hành.</w:t>
      </w:r>
    </w:p>
    <w:p>
      <w:r>
        <w:rPr>
          <w:b/>
        </w:rPr>
        <w:t>Hành động:</w:t>
      </w:r>
      <w:r>
        <w:t xml:space="preserve"> SPL phối hợp với Ban Tài chính (bao gồm Phòng Nguồn vốn) rà soát toàn bộ quy trình chia sẻ doanh thu, đảm bảo khớp nối dữ liệu với cơ quan Thuế. Mỗi giao dịch cho thuê phải map với mã định danh BĐS và các bên liên quan.</w:t>
      </w:r>
    </w:p>
    <w:p>
      <w:pPr>
        <w:pStyle w:val="Heading3"/>
        <w:spacing w:before="240" w:after="160"/>
      </w:pPr>
      <w:r>
        <w:rPr>
          <w:rFonts w:ascii="Calibri" w:hAnsi="Calibri" w:eastAsia="Calibri"/>
          <w:color w:val="1A1A2E"/>
          <w:sz w:val="32"/>
        </w:rPr>
        <w:t>2.4. Giai đoạn xây dựng hạ tầng công nghệ, dữ liệu và tài chính</w:t>
      </w:r>
    </w:p>
    <w:p>
      <w:r>
        <w:rPr>
          <w:b/>
        </w:rPr>
        <w:t>Lead:</w:t>
      </w:r>
      <w:r>
        <w:t xml:space="preserve"> Ban CNTT, DEC &amp; Ban Tài chính</w:t>
      </w:r>
    </w:p>
    <w:p>
      <w:pPr>
        <w:pStyle w:val="Heading4"/>
        <w:spacing w:before="240" w:after="160"/>
      </w:pPr>
      <w:r>
        <w:rPr>
          <w:rFonts w:ascii="Calibri" w:hAnsi="Calibri" w:eastAsia="Calibri"/>
          <w:color w:val="1A1A2E"/>
          <w:sz w:val="28"/>
        </w:rPr>
        <w:t>2.4.1. Tái cấu trúc database</w:t>
      </w:r>
    </w:p>
    <w:p>
      <w:r>
        <w:t>NĐ 357 đặt ra yêu cầu kỹ thuật cụ thể cho hệ thống nội bộ:</w:t>
      </w:r>
    </w:p>
    <w:p>
      <w:pPr>
        <w:spacing w:after="40" w:before="20"/>
        <w:ind w:left="720" w:hanging="357"/>
      </w:pPr>
      <w:r>
        <w:rPr>
          <w:sz w:val="20"/>
        </w:rPr>
        <w:t xml:space="preserve">• </w:t>
      </w:r>
      <w:r>
        <w:t>Mã định danh BĐS: Theo Điều 3 khoản 5 “tối đa 40 ký tự”, nhưng Phụ lục I mục 1 ghi “tối đa 50 ký tự”.</w:t>
      </w:r>
      <w:r>
        <w:rPr>
          <w:b/>
        </w:rPr>
        <w:t>Khuyến nghị:</w:t>
      </w:r>
      <w:r>
        <w:t>Thiết kế trường lưu trữ tối đa 50 ký tự để đảm bảo tương thích khi Bộ Xây dựng ban hành hướng dẫn chính thức. Cấu trúc: [Mã thửa đất] - [Mã dự án] - [Mã địa điểm] - [Dãy ký tự tự nhiên] (Phụ lục I mục 1). Chỉ chứa chữ in hoa không dấu, số (A-Z, 0-9) và dấu gạch ngang.</w:t>
      </w:r>
    </w:p>
    <w:p>
      <w:pPr>
        <w:spacing w:after="40" w:before="20"/>
        <w:ind w:left="720" w:hanging="357"/>
      </w:pPr>
      <w:r>
        <w:rPr>
          <w:sz w:val="20"/>
        </w:rPr>
        <w:t xml:space="preserve">• </w:t>
      </w:r>
      <w:r>
        <w:t>Mã đơn vị quản lý vận hành: 15 ký tự (Phụ lục I mục 2).</w:t>
      </w:r>
    </w:p>
    <w:p>
      <w:pPr>
        <w:spacing w:after="40" w:before="20"/>
        <w:ind w:left="720" w:hanging="357"/>
      </w:pPr>
      <w:r>
        <w:rPr>
          <w:sz w:val="20"/>
        </w:rPr>
        <w:t xml:space="preserve">• </w:t>
      </w:r>
      <w:r>
        <w:t>Mã định danh môi giới: 17 ký tự (Phụ lục I mục 3).</w:t>
      </w:r>
    </w:p>
    <w:p>
      <w:r>
        <w:rPr>
          <w:b/>
        </w:rPr>
        <w:t>Hành động:</w:t>
      </w:r>
    </w:p>
    <w:p>
      <w:pPr>
        <w:spacing w:after="40" w:before="20"/>
        <w:ind w:left="720" w:hanging="357"/>
      </w:pPr>
      <w:r>
        <w:rPr>
          <w:sz w:val="20"/>
        </w:rPr>
        <w:t xml:space="preserve">• </w:t>
      </w:r>
      <w:r>
        <w:t>Bổ sung trường lưu trữ mã định danh vào các bảng dữ liệu lõi (ví dụ danh mục sản phẩm, hồ sơ giao dịch, hợp đồng, nhân viên bán hàng trong CRM/SAP/ERP…).</w:t>
      </w:r>
    </w:p>
    <w:p>
      <w:pPr>
        <w:spacing w:after="40" w:before="20"/>
        <w:ind w:left="720" w:hanging="357"/>
      </w:pPr>
      <w:r>
        <w:rPr>
          <w:sz w:val="20"/>
        </w:rPr>
        <w:t xml:space="preserve">• </w:t>
      </w:r>
      <w:r>
        <w:t>Triển khai Rule an toàn: Khi nhân viên thực hiện thao tác Lock căn/Booking, hệ thống yêu cầu nhập mã định danh BĐS và mã môi giới hợp lệ. Nếu thiếu → tự động từ chối thao tác hoặc có cơ chế lưu vết để nhắc nhớ bổ sung tùy theo yêu cầu trong từng thời kỳ.</w:t>
      </w:r>
    </w:p>
    <w:p>
      <w:pPr>
        <w:spacing w:after="40" w:before="20"/>
        <w:ind w:left="720" w:hanging="357"/>
      </w:pPr>
      <w:r>
        <w:rPr>
          <w:sz w:val="20"/>
        </w:rPr>
        <w:t xml:space="preserve">• </w:t>
      </w:r>
      <w:r>
        <w:t>Lập quy định nội bộ: Tất cả các giao dịch được ghi nhận trên hệ thống cần có mã định danh tương ứng.</w:t>
      </w:r>
    </w:p>
    <w:p>
      <w:pPr>
        <w:pStyle w:val="Heading4"/>
        <w:spacing w:before="240" w:after="160"/>
      </w:pPr>
      <w:r>
        <w:rPr>
          <w:rFonts w:ascii="Calibri" w:hAnsi="Calibri" w:eastAsia="Calibri"/>
          <w:color w:val="1A1A2E"/>
          <w:sz w:val="28"/>
        </w:rPr>
        <w:t>2.4.2. Xây dựng cổng kết nối API</w:t>
      </w:r>
    </w:p>
    <w:p>
      <w:r>
        <w:t>Theo Điều 31 khoản 1 điểm a, việc kết nối chia sẻ dữ liệu giữa các cơ quan quản lý thực hiện qua API tích hợp tại hệ thống quốc gia, theo cấu trúc quy định tại Phụ lục II. Dữ liệu được chia sẻ theo thời gian thực khi phát sinh biến động (Điều 31 khoản 2).</w:t>
      </w:r>
    </w:p>
    <w:p>
      <w:r>
        <w:t>Trước khi kết nối, các đơn vị phải đăng tải siêu dữ liệu (metadata) đầy đủ lên từ điển dữ liệu dùng chung (Điều 31 khoản 3).</w:t>
      </w:r>
    </w:p>
    <w:p>
      <w:r>
        <w:t>Chủ đầu tư cung cấp thông tin cho UBND cấp tỉnh qua hệ thống phần mềm (Điều 31 khoản 1 điểm b).</w:t>
      </w:r>
    </w:p>
    <w:p>
      <w:r>
        <w:rPr>
          <w:b/>
        </w:rPr>
        <w:t>Lưu ý thực tiễn:</w:t>
      </w:r>
      <w:r>
        <w:t xml:space="preserve"> Bài học từ VNeID và các dự án liên thông dữ liệu quốc gia cho thấy kết nối API giữa các hệ thống có thể mất vài năm. Cần xây dựng kế hoạch dài hạn và có phương án báo cáo song song (thủ công + điện tử) trong giai đoạn chuyển tiếp.</w:t>
      </w:r>
    </w:p>
    <w:p>
      <w:r>
        <w:rPr>
          <w:b/>
        </w:rPr>
        <w:t>Hành động:</w:t>
      </w:r>
    </w:p>
    <w:p>
      <w:pPr>
        <w:spacing w:after="40" w:before="20"/>
        <w:ind w:left="720" w:hanging="357"/>
      </w:pPr>
      <w:r>
        <w:rPr>
          <w:sz w:val="20"/>
        </w:rPr>
        <w:t xml:space="preserve">• </w:t>
      </w:r>
      <w:r>
        <w:t>Thiết kế và phát triển module API 2 chiều: Push (đẩy dữ liệu giao dịch, cập nhật tồn kho lên Cổng quốc gia) và Pull (kéo mã định danh BĐS, trạng thái pháp lý về hệ thống nội bộ).</w:t>
      </w:r>
    </w:p>
    <w:p>
      <w:pPr>
        <w:spacing w:after="40" w:before="20"/>
        <w:ind w:left="720" w:hanging="357"/>
      </w:pPr>
      <w:r>
        <w:rPr>
          <w:sz w:val="20"/>
        </w:rPr>
        <w:t xml:space="preserve">• </w:t>
      </w:r>
      <w:r>
        <w:t>Lập tài liệu metadata theo chuẩn quy định; phối hợp với Bộ Xây dựng để đăng ký kết nối thử nghiệm.</w:t>
      </w:r>
    </w:p>
    <w:p>
      <w:pPr>
        <w:spacing w:after="40" w:before="20"/>
        <w:ind w:left="720" w:hanging="357"/>
      </w:pPr>
      <w:r>
        <w:rPr>
          <w:sz w:val="20"/>
        </w:rPr>
        <w:t xml:space="preserve">• </w:t>
      </w:r>
      <w:r>
        <w:t>Nghiên cứu tích hợp blockchain layer: Ban CNTT phối hợp DEC đánh giá khả năng bổ sung lớp xác thực blockchain (blockchain verification layer) song song với API kết nối với Cổng quốc gia. Lớp này đảm bảo mã định danh và lịch sử giao dịch được ghi nhận bất biến trên sổ cái phân tán, tạo dữ liệu dự phòng ngay cả khi hệ thống của Bộ Xây dựng gặp sự cố.</w:t>
      </w:r>
    </w:p>
    <w:p>
      <w:r>
        <w:rPr>
          <w:b/>
        </w:rPr>
        <w:t>Tiến độ:</w:t>
      </w:r>
      <w:r>
        <w:t xml:space="preserve"> Hoàn thành thiết kế kiến trúc trong Phase 1 (tháng đầu), code và UAT trong Phase 2, go-live Phase 3. </w:t>
      </w:r>
      <w:r>
        <w:rPr>
          <w:i/>
        </w:rPr>
        <w:t>Lưu ý: tiến độ go-live API phụ thuộc vào mức độ sẵn sàng của Cổng quốc gia — cần điều chỉnh theo thực tế.</w:t>
      </w:r>
    </w:p>
    <w:p>
      <w:pPr>
        <w:pStyle w:val="Heading4"/>
        <w:spacing w:before="240" w:after="160"/>
      </w:pPr>
      <w:r>
        <w:rPr>
          <w:rFonts w:ascii="Calibri" w:hAnsi="Calibri" w:eastAsia="Calibri"/>
          <w:color w:val="1A1A2E"/>
          <w:sz w:val="28"/>
        </w:rPr>
        <w:t>2.4.3. Chuyển đổi số kế toán</w:t>
      </w:r>
    </w:p>
    <w:p>
      <w:r>
        <w:t>NĐ 357 liên thông dữ liệu giao dịch với Bộ Tài chính (Điều 28 khoản 3). Mỗi giao dịch BĐS sẽ được đối chiếu tự động với hồ sơ thuế.</w:t>
      </w:r>
    </w:p>
    <w:p>
      <w:r>
        <w:rPr>
          <w:b/>
        </w:rPr>
        <w:t>Hành động:</w:t>
      </w:r>
    </w:p>
    <w:p>
      <w:pPr>
        <w:spacing w:after="40" w:before="20"/>
        <w:ind w:left="720" w:hanging="357"/>
      </w:pPr>
      <w:r>
        <w:rPr>
          <w:sz w:val="20"/>
        </w:rPr>
        <w:t xml:space="preserve">• </w:t>
      </w:r>
      <w:r>
        <w:t>Xây dựng cơ chế tự động xuất hóa đơn điện tử map với mã định danh BĐS và các bên liên quan. Mỗi hóa đơn giao dịch (bán, cho thuê, chuyển nhượng) đều gắn mã sản phẩm trước khi gửi Tổng cục Thuế.</w:t>
      </w:r>
    </w:p>
    <w:p>
      <w:pPr>
        <w:spacing w:after="40" w:before="20"/>
        <w:ind w:left="720" w:hanging="357"/>
      </w:pPr>
      <w:r>
        <w:rPr>
          <w:sz w:val="20"/>
        </w:rPr>
        <w:t xml:space="preserve">• </w:t>
      </w:r>
      <w:r>
        <w:t>Rà soát lại quy trình ghi nhận doanh thu trên SAP: Đảm bảo mỗi dòng doanh thu tương ứng với một mã định danh BĐS cụ thể.</w:t>
      </w:r>
    </w:p>
    <w:p>
      <w:pPr>
        <w:spacing w:after="40" w:before="20"/>
        <w:ind w:left="720" w:hanging="357"/>
      </w:pPr>
      <w:r>
        <w:rPr>
          <w:sz w:val="20"/>
        </w:rPr>
        <w:t xml:space="preserve">• </w:t>
      </w:r>
      <w:r>
        <w:t>Ban Tài chính (bao gồm Phòng Nguồn vốn) phối hợp với Ban CNTT hoàn thành tích hợp trong Phase 2 (tháng hai).</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3. Kế hoạch dự phòng kinh doanh liên tục (Business Continuity Plan)</w:t>
      </w:r>
    </w:p>
    <w:p>
      <w:r>
        <w:rPr>
          <w:i/>
        </w:rPr>
        <w:t>Xây dựng Plan B đề phòng trường hợp xảy ra sự cố.</w:t>
      </w:r>
    </w:p>
    <w:p>
      <w:pPr>
        <w:pStyle w:val="Heading3"/>
        <w:spacing w:before="240" w:after="160"/>
      </w:pPr>
      <w:r>
        <w:rPr>
          <w:rFonts w:ascii="Calibri" w:hAnsi="Calibri" w:eastAsia="Calibri"/>
          <w:color w:val="1A1A2E"/>
          <w:sz w:val="32"/>
        </w:rPr>
        <w:t>3.1. Kịch bản sập/nghẽn cổng dữ liệu</w:t>
      </w:r>
    </w:p>
    <w:p>
      <w:r>
        <w:rPr>
          <w:b/>
        </w:rPr>
        <w:t>Bối cảnh rủi ro:</w:t>
      </w:r>
      <w:r>
        <w:t xml:space="preserve"> Hệ thống thông tin do Bộ Xây dựng chủ trì phát triển (Điều 7 khoản 3), vận hành tại Trung tâm dữ liệu quốc gia (Điều 7 khoản 2). Trong giai đoạn đầu triển khai, hệ thống có thể bị quá tải khi hàng chục nghìn chủ đầu tư, đại lý, cơ quan nhà nước đồng loạt truy cập. Các sự kiện Mega-Sales với hàng nghìn giao dịch/ngày sẽ tạo áp lực lớn tới hệ thống non trẻ này.</w:t>
      </w:r>
    </w:p>
    <w:p>
      <w:r>
        <w:rPr>
          <w:b/>
        </w:rPr>
        <w:t>Phương án dự phòng:</w:t>
      </w:r>
    </w:p>
    <w:p>
      <w:pPr>
        <w:spacing w:after="40" w:before="20"/>
        <w:ind w:left="720" w:hanging="357"/>
      </w:pPr>
      <w:r>
        <w:t xml:space="preserve">1. </w:t>
      </w:r>
      <w:r>
        <w:rPr>
          <w:b/>
        </w:rPr>
        <w:t>Xây dựng cơ chế “xử lý hàng đợi bất đồng bộ” trên hệ thống bán hàng nội bộ:</w:t>
      </w:r>
      <w:r>
        <w:t>- Cho phép nhân viên thực hiện booking/ráp căn ở chế độ offline (Offline mode) khi Cổng quốc gia không phản hồi.</w:t>
        <w:br/>
        <w:t xml:space="preserve">   - Hệ thống tự lưu dữ liệu đệm toàn bộ giao dịch vào hàng đợi nội bộ.</w:t>
        <w:br/>
        <w:t xml:space="preserve">   - Khi kết nối phục hồi/Cổng quốc gia phản hồi thông tin, hệ thống tự động đồng bộ (sync) và xác nhận mã định danh cho từng giao dịch theo thứ tự thời gian.</w:t>
      </w:r>
    </w:p>
    <w:p>
      <w:pPr>
        <w:spacing w:after="40" w:before="20"/>
        <w:ind w:left="720" w:hanging="357"/>
      </w:pPr>
      <w:r>
        <w:t xml:space="preserve">2. </w:t>
      </w:r>
      <w:r>
        <w:rPr>
          <w:b/>
        </w:rPr>
        <w:t>Thiết lập SLA nội bộ:</w:t>
      </w:r>
      <w:r>
        <w:t>Mọi giao dịch offline phải được đồng bộ trong vòng tối đa 24 giờ. Nếu quá hạn mà không phải vì lý do khách quan, tự động escalate lên BLĐ.</w:t>
      </w:r>
    </w:p>
    <w:p>
      <w:pPr>
        <w:spacing w:after="40" w:before="20"/>
        <w:ind w:left="720" w:hanging="357"/>
      </w:pPr>
      <w:r>
        <w:t xml:space="preserve">3. </w:t>
      </w:r>
      <w:r>
        <w:rPr>
          <w:b/>
        </w:rPr>
        <w:t>Chuẩn bị phương án báo cáo thủ công:</w:t>
      </w:r>
      <w:r>
        <w:t>Theo Điều 40 khoản 2, nếu hệ thống chưa đáp ứng yêu cầu kết nối, các đơn vị tiếp tục thực hiện chế độ báo cáo theo NĐ 94/2024/NĐ-CP. Sun Group cần duy trì song song hệ thống báo cáo cũ cho đến khi hệ thống mới hoạt động ổn định.</w:t>
      </w:r>
    </w:p>
    <w:p>
      <w:pPr>
        <w:pStyle w:val="Heading3"/>
        <w:spacing w:before="240" w:after="160"/>
      </w:pPr>
      <w:r>
        <w:rPr>
          <w:rFonts w:ascii="Calibri" w:hAnsi="Calibri" w:eastAsia="Calibri"/>
          <w:color w:val="1A1A2E"/>
          <w:sz w:val="32"/>
        </w:rPr>
        <w:t>3.2. Kịch bản bảo mật an toàn thông tin</w:t>
      </w:r>
    </w:p>
    <w:p>
      <w:r>
        <w:rPr>
          <w:b/>
        </w:rPr>
        <w:t>Bối cảnh rủi ro:</w:t>
      </w:r>
      <w:r>
        <w:t xml:space="preserve"> NĐ 357 yêu cầu tuân thủ quy định về an ninh mạng (Điều 7 khoản 4), bảo vệ bí mật nhà nước và bảo mật thông tin cá nhân (Điều 4 khoản 7). Tổ chức nước ngoài chỉ được truy cập qua API an toàn hoặc bản sao ẩn danh, không được sao chép dữ liệu gốc chứa thông tin định danh (Điều 33 khoản 8).</w:t>
      </w:r>
    </w:p>
    <w:p>
      <w:r>
        <w:t>Sun Group quản lý dữ liệu giao dịch của hàng chục nghìn khách hàng, bao gồm nhiều cá nhân có giá trị tài sản lớn. Rò rỉ dữ liệu định danh và lịch sử giao dịch sẽ gây tổn hại lớn tới uy tín.</w:t>
      </w:r>
    </w:p>
    <w:p>
      <w:r>
        <w:rPr>
          <w:b/>
        </w:rPr>
        <w:t>Phương án:</w:t>
      </w:r>
    </w:p>
    <w:p>
      <w:pPr>
        <w:spacing w:after="40" w:before="20"/>
        <w:ind w:left="720" w:hanging="357"/>
      </w:pPr>
      <w:r>
        <w:rPr>
          <w:sz w:val="20"/>
        </w:rPr>
        <w:t xml:space="preserve">• </w:t>
      </w:r>
      <w:r>
        <w:t>Áp dụng mã hóa đầu cuối (end-to-end encryption) cho toàn bộ dữ liệu mã định danh BĐS và lịch sử giao dịch trên CRM.</w:t>
      </w:r>
    </w:p>
    <w:p>
      <w:pPr>
        <w:spacing w:after="40" w:before="20"/>
        <w:ind w:left="720" w:hanging="357"/>
      </w:pPr>
      <w:r>
        <w:rPr>
          <w:sz w:val="20"/>
        </w:rPr>
        <w:t xml:space="preserve">• </w:t>
      </w:r>
      <w:r>
        <w:t>Phân quyền truy cập theo nguyên tắc vai trò của nhân sự: Chỉ nhân viên được phân công mới xem được thông tin chi tiết giao dịch.</w:t>
      </w:r>
    </w:p>
    <w:p>
      <w:pPr>
        <w:spacing w:after="40" w:before="20"/>
        <w:ind w:left="720" w:hanging="357"/>
      </w:pPr>
      <w:r>
        <w:rPr>
          <w:sz w:val="20"/>
        </w:rPr>
        <w:t xml:space="preserve">• </w:t>
      </w:r>
      <w:r>
        <w:t>Kiểm toán log truy cập (audit log) theo yêu cầu tại Điều 4 khoản 5: Mọi bản ghi phải được lưu vết.</w:t>
      </w:r>
    </w:p>
    <w:p>
      <w:pPr>
        <w:spacing w:after="40" w:before="20"/>
        <w:ind w:left="720" w:hanging="357"/>
      </w:pPr>
      <w:r>
        <w:rPr>
          <w:sz w:val="20"/>
        </w:rPr>
        <w:t xml:space="preserve">• </w:t>
      </w:r>
      <w:r>
        <w:t>Không chia sẻ dữ liệu được cơ quan quản lý Nhà nước chia sẻ cho bên thứ ba khi chưa được cơ quan quản lý cho phép (Điều 39 khoản 1 điểm e).</w:t>
      </w:r>
    </w:p>
    <w:p>
      <w:pPr>
        <w:pStyle w:val="Heading3"/>
        <w:spacing w:before="240" w:after="160"/>
      </w:pPr>
      <w:r>
        <w:rPr>
          <w:rFonts w:ascii="Calibri" w:hAnsi="Calibri" w:eastAsia="Calibri"/>
          <w:color w:val="1A1A2E"/>
          <w:sz w:val="32"/>
        </w:rPr>
        <w:t>3.3. Kịch bản xử lý sai lệch dữ liệu</w:t>
      </w:r>
    </w:p>
    <w:p>
      <w:r>
        <w:rPr>
          <w:b/>
        </w:rPr>
        <w:t>Bối cảnh rủi ro:</w:t>
      </w:r>
      <w:r>
        <w:t xml:space="preserve"> Dữ liệu trên Cổng quốc gia có thể bị sai lệch so với bản vẽ và thi công, hoàn công thực tế của Sun Group (sai diện tích, sai mã block, sai loại hình sản phẩm, sai vị trí…). Theo Điều 32 khoản 3, việc chỉnh sửa thông tin trên hệ thống phải có sự phối hợp kiểm tra, rà soát của cơ quan quản lý CSDL tại địa phương, trên cơ sở đề nghị bằng văn bản. Quy trình này không nhanh.</w:t>
      </w:r>
    </w:p>
    <w:p>
      <w:r>
        <w:rPr>
          <w:b/>
        </w:rPr>
        <w:t>Phương án:</w:t>
      </w:r>
    </w:p>
    <w:p>
      <w:pPr>
        <w:spacing w:after="40" w:before="20"/>
        <w:ind w:left="720" w:hanging="357"/>
      </w:pPr>
      <w:r>
        <w:rPr>
          <w:sz w:val="20"/>
        </w:rPr>
        <w:t xml:space="preserve">• </w:t>
      </w:r>
      <w:r>
        <w:t>Xây dựng quy trình đối soát chéo định kỳ (hàng tháng) giữa dữ liệu nội bộ của Sun Group và dữ liệu trên Cổng quốc gia.</w:t>
      </w:r>
    </w:p>
    <w:p>
      <w:pPr>
        <w:spacing w:after="40" w:before="20"/>
        <w:ind w:left="720" w:hanging="357"/>
      </w:pPr>
      <w:r>
        <w:rPr>
          <w:sz w:val="20"/>
        </w:rPr>
        <w:t xml:space="preserve">• </w:t>
      </w:r>
      <w:r>
        <w:t>Thiết lập đầu mối chuyên trách tại Ban Pháp chế để tiếp nhận và xử lý các trường hợp sai lệch.</w:t>
      </w:r>
    </w:p>
    <w:p>
      <w:pPr>
        <w:spacing w:after="40" w:before="20"/>
        <w:ind w:left="720" w:hanging="357"/>
      </w:pPr>
      <w:r>
        <w:rPr>
          <w:sz w:val="20"/>
        </w:rPr>
        <w:t xml:space="preserve">• </w:t>
      </w:r>
      <w:r>
        <w:t>Lập biểu mẫu khiếu nại chuẩn gửi Sở Xây dựng, kèm bảng đối chiếu dữ liệu chi tiết.</w:t>
      </w:r>
    </w:p>
    <w:p>
      <w:pPr>
        <w:spacing w:after="40" w:before="20"/>
        <w:ind w:left="720" w:hanging="357"/>
      </w:pPr>
      <w:r>
        <w:rPr>
          <w:sz w:val="20"/>
        </w:rPr>
        <w:t xml:space="preserve">• </w:t>
      </w:r>
      <w:r>
        <w:t>Xây dựng công cụ đối soát và gửi thông tin đối soát tự động.</w:t>
      </w:r>
    </w:p>
    <w:p>
      <w:pPr>
        <w:spacing w:after="40" w:before="20"/>
        <w:ind w:left="720" w:hanging="357"/>
      </w:pPr>
      <w:r>
        <w:rPr>
          <w:sz w:val="20"/>
        </w:rPr>
        <w:t xml:space="preserve">• </w:t>
      </w:r>
      <w:r>
        <w:rPr>
          <w:b/>
        </w:rPr>
        <w:t>Mục tiêu SLA:</w:t>
      </w:r>
      <w:r>
        <w:t>Sai lệch phải được gửi khiếu nại tới cơ quan quản lý trong vòng 5 ngày làm việc kể từ khi phát hiện.</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4. Phân tích tiềm năng ứng dụng blockchain cho hạ tầng định danh BĐS</w:t>
      </w:r>
    </w:p>
    <w:p>
      <w:r>
        <w:rPr>
          <w:i/>
        </w:rPr>
        <w:t>Phần này phân tích khả năng ứng dụng công nghệ blockchain vào hệ thống định danh bất động sản theo NĐ 357. Lưu ý: blockchain là cơ hội về công cụ/hạ tầng công nghệ bổ trợ — đối với thị trường BĐS nói chung, NĐ 357 là lực tái cấu trúc mang tính rủi ro nhiều hơn cơ hội ngắn hạn.</w:t>
      </w:r>
    </w:p>
    <w:p>
      <w:pPr>
        <w:pStyle w:val="Heading3"/>
        <w:spacing w:before="240" w:after="160"/>
      </w:pPr>
      <w:r>
        <w:rPr>
          <w:rFonts w:ascii="Calibri" w:hAnsi="Calibri" w:eastAsia="Calibri"/>
          <w:color w:val="1A1A2E"/>
          <w:sz w:val="32"/>
        </w:rPr>
        <w:t>4.1. Tại sao blockchain có thể đóng vai trò hạ tầng bổ trợ</w:t>
      </w:r>
    </w:p>
    <w:p>
      <w:r>
        <w:t>Khi phân tích các yêu cầu kỹ thuật cốt lõi của NĐ 357, có thể nhận thấy một sự tương thích đáng chú ý giữa đặc tính nền tảng của công nghệ blockchain và các nguyên tắc thiết kế hệ thống mà Nghị định đặt ra.</w:t>
      </w:r>
    </w:p>
    <w:p>
      <w:r>
        <w:rPr>
          <w:b/>
        </w:rPr>
        <w:t>Thứ nhất, tính bất biến dữ liệu:</w:t>
      </w:r>
      <w:r>
        <w:t xml:space="preserve"> NĐ 357 quy định mã định danh điện tử sản phẩm BĐS là chuỗi ký tự duy nhất, “không thể tẩy xóa” (Điều 3 khoản 5). Mọi bản ghi dữ liệu phải được lưu vết truy cập, chỉnh sửa, cập nhật, đảm bảo khả năng truy xuất được lịch sử thay đổi và biến động (Điều 4 khoản 5). Đây chính là đặc tính cốt lõi của blockchain.</w:t>
      </w:r>
    </w:p>
    <w:p>
      <w:r>
        <w:rPr>
          <w:b/>
        </w:rPr>
        <w:t>Thứ hai, truy xuất nguồn gốc trọn vòng đời:</w:t>
      </w:r>
      <w:r>
        <w:t xml:space="preserve"> Phụ lục VI mục 5 cho phép truy xuất toàn bộ lịch sử giao dịch của một sản phẩm BĐS theo mã định danh. Blockchain vốn được thiết kế để giải quyết chính xác bài toán này: chuỗi sổ cái phân tán lưu trữ liên tục, theo trình tự thời gian, tạo thành “lý lịch số” bất biến cho mỗi tài sản.</w:t>
      </w:r>
    </w:p>
    <w:p>
      <w:r>
        <w:rPr>
          <w:b/>
        </w:rPr>
        <w:t>Thứ ba, xác thực bằng chữ ký số và dấu thời gian.</w:t>
      </w:r>
      <w:r>
        <w:t xml:space="preserve"> NĐ 357 yêu cầu dữ liệu được xác thực bằng chữ ký số, cấp dấu thời gian (Điều 32 khoản 2 điểm b, c). Blockchain sử dụng cơ chế mã hóa bất đối xứng và hàm băm tương tự, đáp ứng tự nhiên các yêu cầu bảo mật và xác thực của Nghị định.</w:t>
      </w:r>
    </w:p>
    <w:p>
      <w:pPr>
        <w:pStyle w:val="Heading3"/>
        <w:spacing w:before="240" w:after="160"/>
      </w:pPr>
      <w:r>
        <w:rPr>
          <w:rFonts w:ascii="Calibri" w:hAnsi="Calibri" w:eastAsia="Calibri"/>
          <w:color w:val="1A1A2E"/>
          <w:sz w:val="32"/>
        </w:rPr>
        <w:t>4.2. Phân tích tính tương thích theo từng yêu cầu của NĐ 357</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Yêu cầu NĐ 357</w:t>
            </w:r>
          </w:p>
        </w:tc>
        <w:tc>
          <w:tcPr>
            <w:tcW w:type="dxa" w:w="2340"/>
            <w:shd w:fill="E2E8F0" w:val="clear"/>
          </w:tcPr>
          <w:p>
            <w:pPr>
              <w:spacing w:before="60" w:after="60"/>
            </w:pPr>
            <w:r>
              <w:rPr>
                <w:rFonts w:ascii="Calibri" w:hAnsi="Calibri"/>
                <w:b/>
                <w:sz w:val="20"/>
              </w:rPr>
              <w:t>Căn cứ pháp lý</w:t>
            </w:r>
          </w:p>
        </w:tc>
        <w:tc>
          <w:tcPr>
            <w:tcW w:type="dxa" w:w="2340"/>
            <w:shd w:fill="E2E8F0" w:val="clear"/>
          </w:tcPr>
          <w:p>
            <w:pPr>
              <w:spacing w:before="60" w:after="60"/>
            </w:pPr>
            <w:r>
              <w:rPr>
                <w:rFonts w:ascii="Calibri" w:hAnsi="Calibri"/>
                <w:b/>
                <w:sz w:val="20"/>
              </w:rPr>
              <w:t>Giải pháp blockchain tương ứng</w:t>
            </w:r>
          </w:p>
        </w:tc>
        <w:tc>
          <w:tcPr>
            <w:tcW w:type="dxa" w:w="2340"/>
            <w:shd w:fill="E2E8F0" w:val="clear"/>
          </w:tcPr>
          <w:p>
            <w:pPr>
              <w:spacing w:before="60" w:after="60"/>
            </w:pPr>
            <w:r>
              <w:rPr>
                <w:rFonts w:ascii="Calibri" w:hAnsi="Calibri"/>
                <w:b/>
                <w:sz w:val="20"/>
              </w:rPr>
              <w:t>Mức độ tương thích</w:t>
            </w:r>
          </w:p>
        </w:tc>
      </w:tr>
      <w:tr>
        <w:tc>
          <w:tcPr>
            <w:tcW w:type="dxa" w:w="2340"/>
          </w:tcPr>
          <w:p>
            <w:pPr>
              <w:spacing w:before="60" w:after="60"/>
            </w:pPr>
            <w:r>
              <w:rPr>
                <w:rFonts w:ascii="Calibri" w:hAnsi="Calibri"/>
                <w:sz w:val="20"/>
              </w:rPr>
              <w:t>Mã định danh duy nhất, không thể tẩy xóa</w:t>
            </w:r>
          </w:p>
        </w:tc>
        <w:tc>
          <w:tcPr>
            <w:tcW w:type="dxa" w:w="2340"/>
          </w:tcPr>
          <w:p>
            <w:pPr>
              <w:spacing w:before="60" w:after="60"/>
            </w:pPr>
            <w:r>
              <w:rPr>
                <w:rFonts w:ascii="Calibri" w:hAnsi="Calibri"/>
                <w:sz w:val="20"/>
              </w:rPr>
              <w:t>Điều 3 khoản 5; Điều 8; Điều 9</w:t>
            </w:r>
          </w:p>
        </w:tc>
        <w:tc>
          <w:tcPr>
            <w:tcW w:type="dxa" w:w="2340"/>
          </w:tcPr>
          <w:p>
            <w:pPr>
              <w:spacing w:before="60" w:after="60"/>
            </w:pPr>
            <w:r>
              <w:rPr>
                <w:rFonts w:ascii="Calibri" w:hAnsi="Calibri"/>
                <w:sz w:val="20"/>
              </w:rPr>
              <w:t>On-chain identity: Mã ghi trực tiếp lên blockchain, duy nhất, bất biến</w:t>
            </w:r>
          </w:p>
        </w:tc>
        <w:tc>
          <w:tcPr>
            <w:tcW w:type="dxa" w:w="2340"/>
          </w:tcPr>
          <w:p>
            <w:pPr>
              <w:spacing w:before="60" w:after="60"/>
            </w:pPr>
            <w:r>
              <w:rPr>
                <w:rFonts w:ascii="Calibri" w:hAnsi="Calibri"/>
                <w:sz w:val="20"/>
              </w:rPr>
              <w:t>🟢 Cao</w:t>
            </w:r>
          </w:p>
        </w:tc>
      </w:tr>
      <w:tr>
        <w:tc>
          <w:tcPr>
            <w:tcW w:type="dxa" w:w="2340"/>
          </w:tcPr>
          <w:p>
            <w:pPr>
              <w:spacing w:before="60" w:after="60"/>
            </w:pPr>
            <w:r>
              <w:rPr>
                <w:rFonts w:ascii="Calibri" w:hAnsi="Calibri"/>
                <w:sz w:val="20"/>
              </w:rPr>
              <w:t>Lịch sử giao dịch truy xuất theo mã</w:t>
            </w:r>
          </w:p>
        </w:tc>
        <w:tc>
          <w:tcPr>
            <w:tcW w:type="dxa" w:w="2340"/>
          </w:tcPr>
          <w:p>
            <w:pPr>
              <w:spacing w:before="60" w:after="60"/>
            </w:pPr>
            <w:r>
              <w:rPr>
                <w:rFonts w:ascii="Calibri" w:hAnsi="Calibri"/>
                <w:sz w:val="20"/>
              </w:rPr>
              <w:t>Phụ lục VI mục 5</w:t>
            </w:r>
          </w:p>
        </w:tc>
        <w:tc>
          <w:tcPr>
            <w:tcW w:type="dxa" w:w="2340"/>
          </w:tcPr>
          <w:p>
            <w:pPr>
              <w:spacing w:before="60" w:after="60"/>
            </w:pPr>
            <w:r>
              <w:rPr>
                <w:rFonts w:ascii="Calibri" w:hAnsi="Calibri"/>
                <w:sz w:val="20"/>
              </w:rPr>
              <w:t>Transaction history on ledger: Mỗi giao dịch ghi thành transaction hash, liên kết với mã tài sản</w:t>
            </w:r>
          </w:p>
        </w:tc>
        <w:tc>
          <w:tcPr>
            <w:tcW w:type="dxa" w:w="2340"/>
          </w:tcPr>
          <w:p>
            <w:pPr>
              <w:spacing w:before="60" w:after="60"/>
            </w:pPr>
            <w:r>
              <w:rPr>
                <w:rFonts w:ascii="Calibri" w:hAnsi="Calibri"/>
                <w:sz w:val="20"/>
              </w:rPr>
              <w:t>🟢 Cao</w:t>
            </w:r>
          </w:p>
        </w:tc>
      </w:tr>
      <w:tr>
        <w:tc>
          <w:tcPr>
            <w:tcW w:type="dxa" w:w="2340"/>
          </w:tcPr>
          <w:p>
            <w:pPr>
              <w:spacing w:before="60" w:after="60"/>
            </w:pPr>
            <w:r>
              <w:rPr>
                <w:rFonts w:ascii="Calibri" w:hAnsi="Calibri"/>
                <w:sz w:val="20"/>
              </w:rPr>
              <w:t>API liên thông thời gian thực</w:t>
            </w:r>
          </w:p>
        </w:tc>
        <w:tc>
          <w:tcPr>
            <w:tcW w:type="dxa" w:w="2340"/>
          </w:tcPr>
          <w:p>
            <w:pPr>
              <w:spacing w:before="60" w:after="60"/>
            </w:pPr>
            <w:r>
              <w:rPr>
                <w:rFonts w:ascii="Calibri" w:hAnsi="Calibri"/>
                <w:sz w:val="20"/>
              </w:rPr>
              <w:t>Điều 31 khoản 2</w:t>
            </w:r>
          </w:p>
        </w:tc>
        <w:tc>
          <w:tcPr>
            <w:tcW w:type="dxa" w:w="2340"/>
          </w:tcPr>
          <w:p>
            <w:pPr>
              <w:spacing w:before="60" w:after="60"/>
            </w:pPr>
            <w:r>
              <w:rPr>
                <w:rFonts w:ascii="Calibri" w:hAnsi="Calibri"/>
                <w:sz w:val="20"/>
              </w:rPr>
              <w:t>Oracle/Bridge patterns: Đồng bộ dữ liệu giữa blockchain và hệ thống Nhà nước</w:t>
            </w:r>
          </w:p>
        </w:tc>
        <w:tc>
          <w:tcPr>
            <w:tcW w:type="dxa" w:w="2340"/>
          </w:tcPr>
          <w:p>
            <w:pPr>
              <w:spacing w:before="60" w:after="60"/>
            </w:pPr>
            <w:r>
              <w:rPr>
                <w:rFonts w:ascii="Calibri" w:hAnsi="Calibri"/>
                <w:sz w:val="20"/>
              </w:rPr>
              <w:t>🟡 Trung bình</w:t>
            </w:r>
          </w:p>
        </w:tc>
      </w:tr>
      <w:tr>
        <w:tc>
          <w:tcPr>
            <w:tcW w:type="dxa" w:w="2340"/>
          </w:tcPr>
          <w:p>
            <w:pPr>
              <w:spacing w:before="60" w:after="60"/>
            </w:pPr>
            <w:r>
              <w:rPr>
                <w:rFonts w:ascii="Calibri" w:hAnsi="Calibri"/>
                <w:sz w:val="20"/>
              </w:rPr>
              <w:t>Bảo mật dữ liệu cá nhân</w:t>
            </w:r>
          </w:p>
        </w:tc>
        <w:tc>
          <w:tcPr>
            <w:tcW w:type="dxa" w:w="2340"/>
          </w:tcPr>
          <w:p>
            <w:pPr>
              <w:spacing w:before="60" w:after="60"/>
            </w:pPr>
            <w:r>
              <w:rPr>
                <w:rFonts w:ascii="Calibri" w:hAnsi="Calibri"/>
                <w:sz w:val="20"/>
              </w:rPr>
              <w:t>Điều 4 khoản 7; Điều 33 khoản 7-8</w:t>
            </w:r>
          </w:p>
        </w:tc>
        <w:tc>
          <w:tcPr>
            <w:tcW w:type="dxa" w:w="2340"/>
          </w:tcPr>
          <w:p>
            <w:pPr>
              <w:spacing w:before="60" w:after="60"/>
            </w:pPr>
            <w:r>
              <w:rPr>
                <w:rFonts w:ascii="Calibri" w:hAnsi="Calibri"/>
                <w:sz w:val="20"/>
              </w:rPr>
              <w:t>Zero-knowledge proof trên permissioned blockchain</w:t>
            </w:r>
          </w:p>
        </w:tc>
        <w:tc>
          <w:tcPr>
            <w:tcW w:type="dxa" w:w="2340"/>
          </w:tcPr>
          <w:p>
            <w:pPr>
              <w:spacing w:before="60" w:after="60"/>
            </w:pPr>
            <w:r>
              <w:rPr>
                <w:rFonts w:ascii="Calibri" w:hAnsi="Calibri"/>
                <w:sz w:val="20"/>
              </w:rPr>
              <w:t>🟡 Trung bình</w:t>
            </w:r>
          </w:p>
        </w:tc>
      </w:tr>
      <w:tr>
        <w:tc>
          <w:tcPr>
            <w:tcW w:type="dxa" w:w="2340"/>
          </w:tcPr>
          <w:p>
            <w:pPr>
              <w:spacing w:before="60" w:after="60"/>
            </w:pPr>
            <w:r>
              <w:rPr>
                <w:rFonts w:ascii="Calibri" w:hAnsi="Calibri"/>
                <w:sz w:val="20"/>
              </w:rPr>
              <w:t>Lưu vết toàn bộ truy cập, chỉnh sửa</w:t>
            </w:r>
          </w:p>
        </w:tc>
        <w:tc>
          <w:tcPr>
            <w:tcW w:type="dxa" w:w="2340"/>
          </w:tcPr>
          <w:p>
            <w:pPr>
              <w:spacing w:before="60" w:after="60"/>
            </w:pPr>
            <w:r>
              <w:rPr>
                <w:rFonts w:ascii="Calibri" w:hAnsi="Calibri"/>
                <w:sz w:val="20"/>
              </w:rPr>
              <w:t>Điều 4 khoản 5</w:t>
            </w:r>
          </w:p>
        </w:tc>
        <w:tc>
          <w:tcPr>
            <w:tcW w:type="dxa" w:w="2340"/>
          </w:tcPr>
          <w:p>
            <w:pPr>
              <w:spacing w:before="60" w:after="60"/>
            </w:pPr>
            <w:r>
              <w:rPr>
                <w:rFonts w:ascii="Calibri" w:hAnsi="Calibri"/>
                <w:sz w:val="20"/>
              </w:rPr>
              <w:t>Audit trail tự nhiên trên sổ cái bất biến</w:t>
            </w:r>
          </w:p>
        </w:tc>
        <w:tc>
          <w:tcPr>
            <w:tcW w:type="dxa" w:w="2340"/>
          </w:tcPr>
          <w:p>
            <w:pPr>
              <w:spacing w:before="60" w:after="60"/>
            </w:pPr>
            <w:r>
              <w:rPr>
                <w:rFonts w:ascii="Calibri" w:hAnsi="Calibri"/>
                <w:sz w:val="20"/>
              </w:rPr>
              <w:t>🟢 Cao</w:t>
            </w:r>
          </w:p>
        </w:tc>
      </w:tr>
      <w:tr>
        <w:tc>
          <w:tcPr>
            <w:tcW w:type="dxa" w:w="2340"/>
          </w:tcPr>
          <w:p>
            <w:pPr>
              <w:spacing w:before="60" w:after="60"/>
            </w:pPr>
            <w:r>
              <w:rPr>
                <w:rFonts w:ascii="Calibri" w:hAnsi="Calibri"/>
                <w:sz w:val="20"/>
              </w:rPr>
              <w:t>Chữ ký số, dấu thời gian</w:t>
            </w:r>
          </w:p>
        </w:tc>
        <w:tc>
          <w:tcPr>
            <w:tcW w:type="dxa" w:w="2340"/>
          </w:tcPr>
          <w:p>
            <w:pPr>
              <w:spacing w:before="60" w:after="60"/>
            </w:pPr>
            <w:r>
              <w:rPr>
                <w:rFonts w:ascii="Calibri" w:hAnsi="Calibri"/>
                <w:sz w:val="20"/>
              </w:rPr>
              <w:t>Điều 32 khoản 2 điểm b, c</w:t>
            </w:r>
          </w:p>
        </w:tc>
        <w:tc>
          <w:tcPr>
            <w:tcW w:type="dxa" w:w="2340"/>
          </w:tcPr>
          <w:p>
            <w:pPr>
              <w:spacing w:before="60" w:after="60"/>
            </w:pPr>
            <w:r>
              <w:rPr>
                <w:rFonts w:ascii="Calibri" w:hAnsi="Calibri"/>
                <w:sz w:val="20"/>
              </w:rPr>
              <w:t>Cryptographic signing + timestamp mặc định</w:t>
            </w:r>
          </w:p>
        </w:tc>
        <w:tc>
          <w:tcPr>
            <w:tcW w:type="dxa" w:w="2340"/>
          </w:tcPr>
          <w:p>
            <w:pPr>
              <w:spacing w:before="60" w:after="60"/>
            </w:pPr>
            <w:r>
              <w:rPr>
                <w:rFonts w:ascii="Calibri" w:hAnsi="Calibri"/>
                <w:sz w:val="20"/>
              </w:rPr>
              <w:t>🟢 Cao</w:t>
            </w:r>
          </w:p>
        </w:tc>
      </w:tr>
    </w:tbl>
    <w:p>
      <w:pPr>
        <w:spacing w:before="0" w:after="80"/>
      </w:pPr>
    </w:p>
    <w:p>
      <w:pPr>
        <w:pStyle w:val="Heading3"/>
        <w:spacing w:before="240" w:after="160"/>
      </w:pPr>
      <w:r>
        <w:rPr>
          <w:rFonts w:ascii="Calibri" w:hAnsi="Calibri" w:eastAsia="Calibri"/>
          <w:color w:val="1A1A2E"/>
          <w:sz w:val="32"/>
        </w:rPr>
        <w:t>4.3. Rào cản và thách thức</w:t>
      </w:r>
    </w:p>
    <w:p>
      <w:pPr>
        <w:pStyle w:val="Heading4"/>
        <w:spacing w:before="240" w:after="160"/>
      </w:pPr>
      <w:r>
        <w:rPr>
          <w:rFonts w:ascii="Calibri" w:hAnsi="Calibri" w:eastAsia="Calibri"/>
          <w:color w:val="1A1A2E"/>
          <w:sz w:val="28"/>
        </w:rPr>
        <w:t>4.3.1. Hiệu năng và khả năng mở rộng</w:t>
      </w:r>
    </w:p>
    <w:p>
      <w:r>
        <w:t>Các blockchain công khai (Ethereum L1) hiện chỉ đạt 15-30 TPS, chưa đáp ứng quy mô quốc gia. Tuy nhiên, các giải pháp Layer 2 đã đạt 2.000-4.000 TPS và blockchain permissioned như Hyperledger Fabric có thể đạt 3.000-20.000 TPS — đủ năng lực xử lý.</w:t>
      </w:r>
    </w:p>
    <w:p>
      <w:pPr>
        <w:pStyle w:val="Heading4"/>
        <w:spacing w:before="240" w:after="160"/>
      </w:pPr>
      <w:r>
        <w:rPr>
          <w:rFonts w:ascii="Calibri" w:hAnsi="Calibri" w:eastAsia="Calibri"/>
          <w:color w:val="1A1A2E"/>
          <w:sz w:val="28"/>
        </w:rPr>
        <w:t>4.3.2. Khung pháp lý chưa hoàn thiện</w:t>
      </w:r>
    </w:p>
    <w:p>
      <w:r>
        <w:t>Việt Nam hiện chưa có khung pháp lý chính thức công nhận blockchain là hạ tầng lưu trữ dữ liệu cho cơ quan nhà nước. NĐ 357 quy định hệ thống do Bộ Xây dựng phát triển tập trung (Điều 7 khoản 3). Mô hình này thiên về kiến trúc tập trung. Tuy nhiên, blockchain permissioned có thể vận hành dưới sự kiểm soát tập trung mà vẫn kế thừa ưu điểm bất biến và truy xuất.</w:t>
      </w:r>
    </w:p>
    <w:p>
      <w:pPr>
        <w:pStyle w:val="Heading4"/>
        <w:spacing w:before="240" w:after="160"/>
      </w:pPr>
      <w:r>
        <w:rPr>
          <w:rFonts w:ascii="Calibri" w:hAnsi="Calibri" w:eastAsia="Calibri"/>
          <w:color w:val="1A1A2E"/>
          <w:sz w:val="28"/>
        </w:rPr>
        <w:t>4.3.3. Phối hợp đa bên</w:t>
      </w:r>
    </w:p>
    <w:p>
      <w:r>
        <w:t>Hệ thống liên thông kết nối ít nhất 5 bộ, ngành (Điều 28). Việc thuyết phục tất cả các bên tham gia mạng blockchain chung đòi hỏi đồng thuận về tiêu chuẩn kỹ thuật, cơ chế quản trị node và quy trình xử lý tranh chấp dữ liệu. Đây là thách thức về quản trị nhiều hơn công nghệ.</w:t>
      </w:r>
    </w:p>
    <w:p>
      <w:pPr>
        <w:pStyle w:val="Heading4"/>
        <w:spacing w:before="240" w:after="160"/>
      </w:pPr>
      <w:r>
        <w:rPr>
          <w:rFonts w:ascii="Calibri" w:hAnsi="Calibri" w:eastAsia="Calibri"/>
          <w:color w:val="1A1A2E"/>
          <w:sz w:val="28"/>
        </w:rPr>
        <w:t>4.3.4. Năng lực nội bộ cần đánh giá</w:t>
      </w:r>
    </w:p>
    <w:p>
      <w:r>
        <w:t>Sun Group đã có khoản đầu tư ban đầu vào lĩnh vực blockchain thông qua Công ty cổ phần Tài sản số Việt Nam (VNDA). Tuy nhiên, theo đánh giá nội bộ, VNDA hiện tại chủ yếu đang ở giai đoạn hoàn thiện thủ tục cấp phép và chưa có năng lực triển khai sản phẩm blockchain quy mô lớn. Do đó, việc tận dụng VNDA cho mục đích triển khai giải pháp blockchain BĐS cần được đánh giá kỹ lưỡng trước khi đưa vào kế hoạch chính thức.</w:t>
      </w:r>
    </w:p>
    <w:p>
      <w:pPr>
        <w:pStyle w:val="Heading3"/>
        <w:spacing w:before="240" w:after="160"/>
      </w:pPr>
      <w:r>
        <w:rPr>
          <w:rFonts w:ascii="Calibri" w:hAnsi="Calibri" w:eastAsia="Calibri"/>
          <w:color w:val="1A1A2E"/>
          <w:sz w:val="32"/>
        </w:rPr>
        <w:t>4.4. Cơ hội chiến lược cho Sun Group</w:t>
      </w:r>
    </w:p>
    <w:p>
      <w:r>
        <w:rPr>
          <w:b/>
        </w:rPr>
        <w:t>Phân biệt rõ hai tầng cơ hội:</w:t>
      </w:r>
    </w:p>
    <w:p>
      <w:pPr>
        <w:spacing w:after="40" w:before="20"/>
        <w:ind w:left="720" w:hanging="357"/>
      </w:pPr>
      <w:r>
        <w:rPr>
          <w:sz w:val="20"/>
        </w:rPr>
        <w:t xml:space="preserve">• </w:t>
      </w:r>
      <w:r>
        <w:rPr>
          <w:b/>
        </w:rPr>
        <w:t>Tầng 1 — Ngành BĐS (rủi ro cấu trúc):</w:t>
      </w:r>
      <w:r>
        <w:t>NĐ 357 đẩy nhanh minh bạch hóa thị trường theo hướng chuẩn Châu Âu. Điều này giảm yếu tố đầu cơ, thay đổi hành vi nhà đầu tư và có thể làm thay đổi cơ cấu nền kinh tế. Đối với ngành BĐS, đây là rủi ro nhiều hơn cơ hội ngắn hạn.</w:t>
      </w:r>
    </w:p>
    <w:p>
      <w:pPr>
        <w:spacing w:after="40" w:before="20"/>
        <w:ind w:left="720" w:hanging="357"/>
      </w:pPr>
      <w:r>
        <w:rPr>
          <w:sz w:val="20"/>
        </w:rPr>
        <w:t xml:space="preserve">• </w:t>
      </w:r>
      <w:r>
        <w:rPr>
          <w:b/>
        </w:rPr>
        <w:t>Tầng 2 — Sun Group cụ thể (cơ hội công cụ):</w:t>
      </w:r>
      <w:r>
        <w:t>Nếu minh bạch hóa là xu thế không thể đảo ngược, đi trước = lợi thế. Blockchain là công cụ giúp Sun Group xây dựng lớp xác thực bổ sung, tạo khác biệt cạnh tranh.</w:t>
      </w:r>
    </w:p>
    <w:p>
      <w:pPr>
        <w:pStyle w:val="Heading4"/>
        <w:spacing w:before="240" w:after="160"/>
      </w:pPr>
      <w:r>
        <w:rPr>
          <w:rFonts w:ascii="Calibri" w:hAnsi="Calibri" w:eastAsia="Calibri"/>
          <w:color w:val="1A1A2E"/>
          <w:sz w:val="28"/>
        </w:rPr>
        <w:t>4.4.1. Mục tiêu lợi ích đạt được</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Lợi ích</w:t>
            </w:r>
          </w:p>
        </w:tc>
        <w:tc>
          <w:tcPr>
            <w:tcW w:type="dxa" w:w="3120"/>
            <w:shd w:fill="E2E8F0" w:val="clear"/>
          </w:tcPr>
          <w:p>
            <w:pPr>
              <w:spacing w:before="60" w:after="60"/>
            </w:pPr>
            <w:r>
              <w:rPr>
                <w:rFonts w:ascii="Calibri" w:hAnsi="Calibri"/>
                <w:b/>
                <w:sz w:val="20"/>
              </w:rPr>
              <w:t>Cơ chế</w:t>
            </w:r>
          </w:p>
        </w:tc>
        <w:tc>
          <w:tcPr>
            <w:tcW w:type="dxa" w:w="3120"/>
            <w:shd w:fill="E2E8F0" w:val="clear"/>
          </w:tcPr>
          <w:p>
            <w:pPr>
              <w:spacing w:before="60" w:after="60"/>
            </w:pPr>
            <w:r>
              <w:rPr>
                <w:rFonts w:ascii="Calibri" w:hAnsi="Calibri"/>
                <w:b/>
                <w:sz w:val="20"/>
              </w:rPr>
              <w:t>Mục tiêu tác động</w:t>
            </w:r>
          </w:p>
        </w:tc>
      </w:tr>
      <w:tr>
        <w:tc>
          <w:tcPr>
            <w:tcW w:type="dxa" w:w="3120"/>
          </w:tcPr>
          <w:p>
            <w:pPr>
              <w:spacing w:before="60" w:after="60"/>
            </w:pPr>
            <w:r>
              <w:rPr>
                <w:rFonts w:ascii="Calibri" w:hAnsi="Calibri"/>
                <w:sz w:val="20"/>
              </w:rPr>
              <w:t>Giảm chi phí đối soát dữ liệu</w:t>
            </w:r>
          </w:p>
        </w:tc>
        <w:tc>
          <w:tcPr>
            <w:tcW w:type="dxa" w:w="3120"/>
          </w:tcPr>
          <w:p>
            <w:pPr>
              <w:spacing w:before="60" w:after="60"/>
            </w:pPr>
            <w:r>
              <w:rPr>
                <w:rFonts w:ascii="Calibri" w:hAnsi="Calibri"/>
                <w:sz w:val="20"/>
              </w:rPr>
              <w:t>Blockchain tự động xác thực tính toàn vẹn dữ liệu</w:t>
            </w:r>
          </w:p>
        </w:tc>
        <w:tc>
          <w:tcPr>
            <w:tcW w:type="dxa" w:w="3120"/>
          </w:tcPr>
          <w:p>
            <w:pPr>
              <w:spacing w:before="60" w:after="60"/>
            </w:pPr>
            <w:r>
              <w:rPr>
                <w:rFonts w:ascii="Calibri" w:hAnsi="Calibri"/>
                <w:sz w:val="20"/>
              </w:rPr>
              <w:t>Tiết kiệm khoảng 30-50% chi phí vận hành đối soát</w:t>
            </w:r>
          </w:p>
        </w:tc>
      </w:tr>
      <w:tr>
        <w:tc>
          <w:tcPr>
            <w:tcW w:type="dxa" w:w="3120"/>
          </w:tcPr>
          <w:p>
            <w:pPr>
              <w:spacing w:before="60" w:after="60"/>
            </w:pPr>
            <w:r>
              <w:rPr>
                <w:rFonts w:ascii="Calibri" w:hAnsi="Calibri"/>
                <w:sz w:val="20"/>
              </w:rPr>
              <w:t>Rút ngắn thời gian giao dịch thứ cấp</w:t>
            </w:r>
          </w:p>
        </w:tc>
        <w:tc>
          <w:tcPr>
            <w:tcW w:type="dxa" w:w="3120"/>
          </w:tcPr>
          <w:p>
            <w:pPr>
              <w:spacing w:before="60" w:after="60"/>
            </w:pPr>
            <w:r>
              <w:rPr>
                <w:rFonts w:ascii="Calibri" w:hAnsi="Calibri"/>
                <w:sz w:val="20"/>
              </w:rPr>
              <w:t>Lịch sử pháp lý on-chain truy xuất tức thời</w:t>
            </w:r>
          </w:p>
        </w:tc>
        <w:tc>
          <w:tcPr>
            <w:tcW w:type="dxa" w:w="3120"/>
          </w:tcPr>
          <w:p>
            <w:pPr>
              <w:spacing w:before="60" w:after="60"/>
            </w:pPr>
            <w:r>
              <w:rPr>
                <w:rFonts w:ascii="Calibri" w:hAnsi="Calibri"/>
                <w:sz w:val="20"/>
              </w:rPr>
              <w:t>Giảm thời gian thẩm định từ 15-30 ngày xuống 3-5 ngày</w:t>
            </w:r>
          </w:p>
        </w:tc>
      </w:tr>
      <w:tr>
        <w:tc>
          <w:tcPr>
            <w:tcW w:type="dxa" w:w="3120"/>
          </w:tcPr>
          <w:p>
            <w:pPr>
              <w:spacing w:before="60" w:after="60"/>
            </w:pPr>
            <w:r>
              <w:rPr>
                <w:rFonts w:ascii="Calibri" w:hAnsi="Calibri"/>
                <w:sz w:val="20"/>
              </w:rPr>
              <w:t>Tăng giá trị thương hiệu</w:t>
            </w:r>
          </w:p>
        </w:tc>
        <w:tc>
          <w:tcPr>
            <w:tcW w:type="dxa" w:w="3120"/>
          </w:tcPr>
          <w:p>
            <w:pPr>
              <w:spacing w:before="60" w:after="60"/>
            </w:pPr>
            <w:r>
              <w:rPr>
                <w:rFonts w:ascii="Calibri" w:hAnsi="Calibri"/>
                <w:sz w:val="20"/>
              </w:rPr>
              <w:t>Sản phẩm BĐS có “chứng nhận blockchain” trở thành USP</w:t>
            </w:r>
          </w:p>
        </w:tc>
        <w:tc>
          <w:tcPr>
            <w:tcW w:type="dxa" w:w="3120"/>
          </w:tcPr>
          <w:p>
            <w:pPr>
              <w:spacing w:before="60" w:after="60"/>
            </w:pPr>
            <w:r>
              <w:rPr>
                <w:rFonts w:ascii="Calibri" w:hAnsi="Calibri"/>
                <w:sz w:val="20"/>
              </w:rPr>
              <w:t>Tăng 2-5% giá bán trên phân khúc hạng sang</w:t>
            </w:r>
          </w:p>
        </w:tc>
      </w:tr>
      <w:tr>
        <w:tc>
          <w:tcPr>
            <w:tcW w:type="dxa" w:w="3120"/>
          </w:tcPr>
          <w:p>
            <w:pPr>
              <w:spacing w:before="60" w:after="60"/>
            </w:pPr>
            <w:r>
              <w:rPr>
                <w:rFonts w:ascii="Calibri" w:hAnsi="Calibri"/>
                <w:sz w:val="20"/>
              </w:rPr>
              <w:t>Tiềm năng doanh thu SaaS</w:t>
            </w:r>
          </w:p>
        </w:tc>
        <w:tc>
          <w:tcPr>
            <w:tcW w:type="dxa" w:w="3120"/>
          </w:tcPr>
          <w:p>
            <w:pPr>
              <w:spacing w:before="60" w:after="60"/>
            </w:pPr>
            <w:r>
              <w:rPr>
                <w:rFonts w:ascii="Calibri" w:hAnsi="Calibri"/>
                <w:sz w:val="20"/>
              </w:rPr>
              <w:t>Phát triển giải pháp blockchain-backed identity cho thị trường</w:t>
            </w:r>
          </w:p>
        </w:tc>
        <w:tc>
          <w:tcPr>
            <w:tcW w:type="dxa" w:w="3120"/>
          </w:tcPr>
          <w:p>
            <w:pPr>
              <w:spacing w:before="60" w:after="60"/>
            </w:pPr>
            <w:r>
              <w:rPr>
                <w:rFonts w:ascii="Calibri" w:hAnsi="Calibri"/>
                <w:sz w:val="20"/>
              </w:rPr>
              <w:t>Thị trường PropTech VN đạt 512 triệu USD (2023), tăng 18,7%/năm</w:t>
            </w:r>
          </w:p>
        </w:tc>
      </w:tr>
    </w:tbl>
    <w:p>
      <w:pPr>
        <w:spacing w:before="0" w:after="80"/>
      </w:pPr>
    </w:p>
    <w:p>
      <w:pPr>
        <w:pStyle w:val="Heading4"/>
        <w:spacing w:before="240" w:after="160"/>
      </w:pPr>
      <w:r>
        <w:rPr>
          <w:rFonts w:ascii="Calibri" w:hAnsi="Calibri" w:eastAsia="Calibri"/>
          <w:color w:val="1A1A2E"/>
          <w:sz w:val="28"/>
        </w:rPr>
        <w:t>4.4.2. Lợi ích chiến lược dài hạn</w:t>
      </w:r>
    </w:p>
    <w:p>
      <w:r>
        <w:rPr>
          <w:b/>
        </w:rPr>
        <w:t>Vị thế đàm phán với cơ quan nhà nước:</w:t>
      </w:r>
      <w:r>
        <w:t xml:space="preserve"> Khi Bộ Xây dựng tiếp tục hoàn thiện hệ thống CSDL quốc gia, các doanh nghiệp đã có năng lực blockchain sẽ được mời tham vấn kỹ thuật, thí điểm giải pháp. Sun Group có cơ hội tiếp cận chính sách và hỗ trợ Nhà nước triển khai hệ thống — tạo lợi thế cạnh tranh bền vững.</w:t>
      </w:r>
    </w:p>
    <w:p>
      <w:r>
        <w:rPr>
          <w:b/>
        </w:rPr>
        <w:t>Thu hút nhà đầu tư quốc tế:</w:t>
      </w:r>
      <w:r>
        <w:t xml:space="preserve"> Các quỹ đầu tư nước ngoài khi thẩm định dự án BĐS tại Việt Nam thường đặt câu hỏi về tính minh bạch dữ liệu. Hệ thống blockchain-backed cho phép họ tự xác minh lịch sử giao dịch — điểm cộng quyết định trong các thương vụ M&amp;A.</w:t>
      </w:r>
    </w:p>
    <w:p>
      <w:r>
        <w:rPr>
          <w:b/>
        </w:rPr>
        <w:t>Chuẩn bị cho tokenization bất động sản:</w:t>
      </w:r>
      <w:r>
        <w:t xml:space="preserve"> Xu hướng toàn cầu đang dịch chuyển sang token hóa tài sản. Khi Việt Nam ban hành khung pháp lý cho tokenization BĐS (dự kiến 2027-2029), Sun Group sẽ sẵn sàng nếu đã có hạ tầng blockchain.</w:t>
      </w:r>
    </w:p>
    <w:p>
      <w:pPr>
        <w:pStyle w:val="Heading3"/>
        <w:spacing w:before="240" w:after="160"/>
      </w:pPr>
      <w:r>
        <w:rPr>
          <w:rFonts w:ascii="Calibri" w:hAnsi="Calibri" w:eastAsia="Calibri"/>
          <w:color w:val="1A1A2E"/>
          <w:sz w:val="32"/>
        </w:rPr>
        <w:t>4.5. Đề xuất lộ trình triển khai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Phase</w:t>
            </w:r>
          </w:p>
        </w:tc>
        <w:tc>
          <w:tcPr>
            <w:tcW w:type="dxa" w:w="1872"/>
            <w:shd w:fill="E2E8F0" w:val="clear"/>
          </w:tcPr>
          <w:p>
            <w:pPr>
              <w:spacing w:before="60" w:after="60"/>
            </w:pPr>
            <w:r>
              <w:rPr>
                <w:rFonts w:ascii="Calibri" w:hAnsi="Calibri"/>
                <w:b/>
                <w:sz w:val="20"/>
              </w:rPr>
              <w:t>Thời gian</w:t>
            </w:r>
          </w:p>
        </w:tc>
        <w:tc>
          <w:tcPr>
            <w:tcW w:type="dxa" w:w="1872"/>
            <w:shd w:fill="E2E8F0" w:val="clear"/>
          </w:tcPr>
          <w:p>
            <w:pPr>
              <w:spacing w:before="60" w:after="60"/>
            </w:pPr>
            <w:r>
              <w:rPr>
                <w:rFonts w:ascii="Calibri" w:hAnsi="Calibri"/>
                <w:b/>
                <w:sz w:val="20"/>
              </w:rPr>
              <w:t>Nội dung chính</w:t>
            </w:r>
          </w:p>
        </w:tc>
        <w:tc>
          <w:tcPr>
            <w:tcW w:type="dxa" w:w="1872"/>
            <w:shd w:fill="E2E8F0" w:val="clear"/>
          </w:tcPr>
          <w:p>
            <w:pPr>
              <w:spacing w:before="60" w:after="60"/>
            </w:pPr>
            <w:r>
              <w:rPr>
                <w:rFonts w:ascii="Calibri" w:hAnsi="Calibri"/>
                <w:b/>
                <w:sz w:val="20"/>
              </w:rPr>
              <w:t>Đơn vị phụ trách</w:t>
            </w:r>
          </w:p>
        </w:tc>
        <w:tc>
          <w:tcPr>
            <w:tcW w:type="dxa" w:w="1872"/>
            <w:shd w:fill="E2E8F0" w:val="clear"/>
          </w:tcPr>
          <w:p>
            <w:pPr>
              <w:spacing w:before="60" w:after="60"/>
            </w:pPr>
            <w:r>
              <w:rPr>
                <w:rFonts w:ascii="Calibri" w:hAnsi="Calibri"/>
                <w:b/>
                <w:sz w:val="20"/>
              </w:rPr>
              <w:t>Kết quả đầu ra</w:t>
            </w:r>
          </w:p>
        </w:tc>
      </w:tr>
      <w:tr>
        <w:tc>
          <w:tcPr>
            <w:tcW w:type="dxa" w:w="1872"/>
          </w:tcPr>
          <w:p>
            <w:pPr>
              <w:spacing w:before="60" w:after="60"/>
            </w:pPr>
            <w:r>
              <w:rPr>
                <w:rFonts w:ascii="Calibri" w:hAnsi="Calibri"/>
                <w:sz w:val="20"/>
              </w:rPr>
              <w:t>Phase 0 - Nghiên cứu khả thi</w:t>
            </w:r>
          </w:p>
        </w:tc>
        <w:tc>
          <w:tcPr>
            <w:tcW w:type="dxa" w:w="1872"/>
          </w:tcPr>
          <w:p>
            <w:pPr>
              <w:spacing w:before="60" w:after="60"/>
            </w:pPr>
            <w:r>
              <w:rPr>
                <w:rFonts w:ascii="Calibri" w:hAnsi="Calibri"/>
                <w:sz w:val="20"/>
              </w:rPr>
              <w:t>Tháng 1 - 3</w:t>
            </w:r>
          </w:p>
        </w:tc>
        <w:tc>
          <w:tcPr>
            <w:tcW w:type="dxa" w:w="1872"/>
          </w:tcPr>
          <w:p>
            <w:pPr>
              <w:spacing w:before="60" w:after="60"/>
            </w:pPr>
            <w:r>
              <w:rPr>
                <w:rFonts w:ascii="Calibri" w:hAnsi="Calibri"/>
                <w:sz w:val="20"/>
              </w:rPr>
              <w:t>Lập white paper nội bộ đánh giá khả thi kỹ thuật và pháp lý; khảo sát mô hình quốc tế; xác định blockchain stack phù hợp; đánh giá năng lực nội bộ hiện có (bao gồm VNDA)</w:t>
            </w:r>
          </w:p>
        </w:tc>
        <w:tc>
          <w:tcPr>
            <w:tcW w:type="dxa" w:w="1872"/>
          </w:tcPr>
          <w:p>
            <w:pPr>
              <w:spacing w:before="60" w:after="60"/>
            </w:pPr>
            <w:r>
              <w:rPr>
                <w:rFonts w:ascii="Calibri" w:hAnsi="Calibri"/>
                <w:sz w:val="20"/>
              </w:rPr>
              <w:t>Ban CNTT + DEC</w:t>
            </w:r>
          </w:p>
        </w:tc>
        <w:tc>
          <w:tcPr>
            <w:tcW w:type="dxa" w:w="1872"/>
          </w:tcPr>
          <w:p>
            <w:pPr>
              <w:spacing w:before="60" w:after="60"/>
            </w:pPr>
            <w:r>
              <w:rPr>
                <w:rFonts w:ascii="Calibri" w:hAnsi="Calibri"/>
                <w:sz w:val="20"/>
              </w:rPr>
              <w:t>White paper trình BOM; Bảng so sánh giải pháp công nghệ; Báo cáo đánh giá năng lực</w:t>
            </w:r>
          </w:p>
        </w:tc>
      </w:tr>
      <w:tr>
        <w:tc>
          <w:tcPr>
            <w:tcW w:type="dxa" w:w="1872"/>
          </w:tcPr>
          <w:p>
            <w:pPr>
              <w:spacing w:before="60" w:after="60"/>
            </w:pPr>
            <w:r>
              <w:rPr>
                <w:rFonts w:ascii="Calibri" w:hAnsi="Calibri"/>
                <w:sz w:val="20"/>
              </w:rPr>
              <w:t>Phase 1 - PoC</w:t>
            </w:r>
          </w:p>
        </w:tc>
        <w:tc>
          <w:tcPr>
            <w:tcW w:type="dxa" w:w="1872"/>
          </w:tcPr>
          <w:p>
            <w:pPr>
              <w:spacing w:before="60" w:after="60"/>
            </w:pPr>
            <w:r>
              <w:rPr>
                <w:rFonts w:ascii="Calibri" w:hAnsi="Calibri"/>
                <w:sz w:val="20"/>
              </w:rPr>
              <w:t>Tháng 4 - 6</w:t>
            </w:r>
          </w:p>
        </w:tc>
        <w:tc>
          <w:tcPr>
            <w:tcW w:type="dxa" w:w="1872"/>
          </w:tcPr>
          <w:p>
            <w:pPr>
              <w:spacing w:before="60" w:after="60"/>
            </w:pPr>
            <w:r>
              <w:rPr>
                <w:rFonts w:ascii="Calibri" w:hAnsi="Calibri"/>
                <w:sz w:val="20"/>
              </w:rPr>
              <w:t>Phát triển PoC trên 1 dự án thí điểm (≤500 sản phẩm); gắn mã blockchain song song với mã quốc gia; test tích hợp CRM → blockchain → API</w:t>
            </w:r>
          </w:p>
        </w:tc>
        <w:tc>
          <w:tcPr>
            <w:tcW w:type="dxa" w:w="1872"/>
          </w:tcPr>
          <w:p>
            <w:pPr>
              <w:spacing w:before="60" w:after="60"/>
            </w:pPr>
            <w:r>
              <w:rPr>
                <w:rFonts w:ascii="Calibri" w:hAnsi="Calibri"/>
                <w:sz w:val="20"/>
              </w:rPr>
              <w:t>Ban CNTT + DEC + SPG (dự án thí điểm)</w:t>
            </w:r>
          </w:p>
        </w:tc>
        <w:tc>
          <w:tcPr>
            <w:tcW w:type="dxa" w:w="1872"/>
          </w:tcPr>
          <w:p>
            <w:pPr>
              <w:spacing w:before="60" w:after="60"/>
            </w:pPr>
            <w:r>
              <w:rPr>
                <w:rFonts w:ascii="Calibri" w:hAnsi="Calibri"/>
                <w:sz w:val="20"/>
              </w:rPr>
              <w:t>PoC vận hành; báo cáo hiệu suất và chi phí</w:t>
            </w:r>
          </w:p>
        </w:tc>
      </w:tr>
      <w:tr>
        <w:tc>
          <w:tcPr>
            <w:tcW w:type="dxa" w:w="1872"/>
          </w:tcPr>
          <w:p>
            <w:pPr>
              <w:spacing w:before="60" w:after="60"/>
            </w:pPr>
            <w:r>
              <w:rPr>
                <w:rFonts w:ascii="Calibri" w:hAnsi="Calibri"/>
                <w:sz w:val="20"/>
              </w:rPr>
              <w:t>Phase 2 - Mở rộng</w:t>
            </w:r>
          </w:p>
        </w:tc>
        <w:tc>
          <w:tcPr>
            <w:tcW w:type="dxa" w:w="1872"/>
          </w:tcPr>
          <w:p>
            <w:pPr>
              <w:spacing w:before="60" w:after="60"/>
            </w:pPr>
            <w:r>
              <w:rPr>
                <w:rFonts w:ascii="Calibri" w:hAnsi="Calibri"/>
                <w:sz w:val="20"/>
              </w:rPr>
              <w:t>Tháng 7 - 12</w:t>
            </w:r>
          </w:p>
        </w:tc>
        <w:tc>
          <w:tcPr>
            <w:tcW w:type="dxa" w:w="1872"/>
          </w:tcPr>
          <w:p>
            <w:pPr>
              <w:spacing w:before="60" w:after="60"/>
            </w:pPr>
            <w:r>
              <w:rPr>
                <w:rFonts w:ascii="Calibri" w:hAnsi="Calibri"/>
                <w:sz w:val="20"/>
              </w:rPr>
              <w:t>Mở rộng sang 3-5 dự án; đề xuất thí điểm với Bộ Xây dựng; phát triển module SaaS</w:t>
            </w:r>
          </w:p>
        </w:tc>
        <w:tc>
          <w:tcPr>
            <w:tcW w:type="dxa" w:w="1872"/>
          </w:tcPr>
          <w:p>
            <w:pPr>
              <w:spacing w:before="60" w:after="60"/>
            </w:pPr>
            <w:r>
              <w:rPr>
                <w:rFonts w:ascii="Calibri" w:hAnsi="Calibri"/>
                <w:sz w:val="20"/>
              </w:rPr>
              <w:t>Ban CNTT + DEC + Ban Pháp chế + Task Force 357</w:t>
            </w:r>
          </w:p>
        </w:tc>
        <w:tc>
          <w:tcPr>
            <w:tcW w:type="dxa" w:w="1872"/>
          </w:tcPr>
          <w:p>
            <w:pPr>
              <w:spacing w:before="60" w:after="60"/>
            </w:pPr>
            <w:r>
              <w:rPr>
                <w:rFonts w:ascii="Calibri" w:hAnsi="Calibri"/>
                <w:sz w:val="20"/>
              </w:rPr>
              <w:t>Hệ thống mở rộng; văn bản đề xuất thí điểm</w:t>
            </w:r>
          </w:p>
        </w:tc>
      </w:tr>
    </w:tbl>
    <w:p>
      <w:pPr>
        <w:spacing w:before="0" w:after="80"/>
      </w:pPr>
    </w:p>
    <w:p>
      <w:pPr>
        <w:spacing w:before="120" w:after="120"/>
        <w:pBdr>
          <w:bottom w:val="single" w:sz="12" w:space="1" w:color="CCCCCC"/>
        </w:pBdr>
      </w:pPr>
    </w:p>
    <w:p>
      <w:pPr>
        <w:pStyle w:val="Heading2"/>
        <w:spacing w:before="360" w:after="160"/>
      </w:pPr>
      <w:r>
        <w:rPr>
          <w:rFonts w:ascii="Calibri" w:hAnsi="Calibri" w:eastAsia="Calibri"/>
          <w:color w:val="1A1A2E"/>
          <w:sz w:val="36"/>
        </w:rPr>
        <w:t>Phần 5. Tổ chức thực thi và phân bổ nguồn lực</w:t>
      </w:r>
    </w:p>
    <w:p>
      <w:pPr>
        <w:pStyle w:val="Heading3"/>
        <w:spacing w:before="240" w:after="160"/>
      </w:pPr>
      <w:r>
        <w:rPr>
          <w:rFonts w:ascii="Calibri" w:hAnsi="Calibri" w:eastAsia="Calibri"/>
          <w:color w:val="1A1A2E"/>
          <w:sz w:val="32"/>
        </w:rPr>
        <w:t>5.1. Kickoff Tổ công tác Task Force 357</w:t>
      </w:r>
    </w:p>
    <w:p>
      <w:r>
        <w:rPr>
          <w:b/>
        </w:rPr>
        <w:t>Đề xuất cơ cấu nhân sự:</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Vai trò</w:t>
            </w:r>
          </w:p>
        </w:tc>
        <w:tc>
          <w:tcPr>
            <w:tcW w:type="dxa" w:w="3120"/>
            <w:shd w:fill="E2E8F0" w:val="clear"/>
          </w:tcPr>
          <w:p>
            <w:pPr>
              <w:spacing w:before="60" w:after="60"/>
            </w:pPr>
            <w:r>
              <w:rPr>
                <w:rFonts w:ascii="Calibri" w:hAnsi="Calibri"/>
                <w:b/>
                <w:sz w:val="20"/>
              </w:rPr>
              <w:t>Đơn vị</w:t>
            </w:r>
          </w:p>
        </w:tc>
        <w:tc>
          <w:tcPr>
            <w:tcW w:type="dxa" w:w="3120"/>
            <w:shd w:fill="E2E8F0" w:val="clear"/>
          </w:tcPr>
          <w:p>
            <w:pPr>
              <w:spacing w:before="60" w:after="60"/>
            </w:pPr>
            <w:r>
              <w:rPr>
                <w:rFonts w:ascii="Calibri" w:hAnsi="Calibri"/>
                <w:b/>
                <w:sz w:val="20"/>
              </w:rPr>
              <w:t>Trách nhiệm chính</w:t>
            </w:r>
          </w:p>
        </w:tc>
      </w:tr>
      <w:tr>
        <w:tc>
          <w:tcPr>
            <w:tcW w:type="dxa" w:w="3120"/>
          </w:tcPr>
          <w:p>
            <w:pPr>
              <w:spacing w:before="60" w:after="60"/>
            </w:pPr>
            <w:r>
              <w:rPr>
                <w:rFonts w:ascii="Calibri" w:hAnsi="Calibri"/>
                <w:sz w:val="20"/>
              </w:rPr>
              <w:t>Trưởng tổ</w:t>
            </w:r>
          </w:p>
        </w:tc>
        <w:tc>
          <w:tcPr>
            <w:tcW w:type="dxa" w:w="3120"/>
          </w:tcPr>
          <w:p>
            <w:pPr>
              <w:spacing w:before="60" w:after="60"/>
            </w:pPr>
            <w:r>
              <w:rPr>
                <w:rFonts w:ascii="Calibri" w:hAnsi="Calibri"/>
                <w:sz w:val="20"/>
              </w:rPr>
              <w:t>TGĐ</w:t>
            </w:r>
          </w:p>
        </w:tc>
        <w:tc>
          <w:tcPr>
            <w:tcW w:type="dxa" w:w="3120"/>
          </w:tcPr>
          <w:p>
            <w:pPr>
              <w:spacing w:before="60" w:after="60"/>
            </w:pPr>
            <w:r>
              <w:rPr>
                <w:rFonts w:ascii="Calibri" w:hAnsi="Calibri"/>
                <w:sz w:val="20"/>
              </w:rPr>
              <w:t>Quyết định chiến lược, phê duyệt ngân sách</w:t>
            </w:r>
          </w:p>
        </w:tc>
      </w:tr>
      <w:tr>
        <w:tc>
          <w:tcPr>
            <w:tcW w:type="dxa" w:w="3120"/>
          </w:tcPr>
          <w:p>
            <w:pPr>
              <w:spacing w:before="60" w:after="60"/>
            </w:pPr>
            <w:r>
              <w:rPr>
                <w:rFonts w:ascii="Calibri" w:hAnsi="Calibri"/>
                <w:sz w:val="20"/>
              </w:rPr>
              <w:t>Phó tổ - Pháp lý</w:t>
            </w:r>
          </w:p>
        </w:tc>
        <w:tc>
          <w:tcPr>
            <w:tcW w:type="dxa" w:w="3120"/>
          </w:tcPr>
          <w:p>
            <w:pPr>
              <w:spacing w:before="60" w:after="60"/>
            </w:pPr>
            <w:r>
              <w:rPr>
                <w:rFonts w:ascii="Calibri" w:hAnsi="Calibri"/>
                <w:sz w:val="20"/>
              </w:rPr>
              <w:t>Trưởng Ban Pháp chế</w:t>
            </w:r>
          </w:p>
        </w:tc>
        <w:tc>
          <w:tcPr>
            <w:tcW w:type="dxa" w:w="3120"/>
          </w:tcPr>
          <w:p>
            <w:pPr>
              <w:spacing w:before="60" w:after="60"/>
            </w:pPr>
            <w:r>
              <w:rPr>
                <w:rFonts w:ascii="Calibri" w:hAnsi="Calibri"/>
                <w:sz w:val="20"/>
              </w:rPr>
              <w:t>Tham vấn Bộ XD, cập nhật biểu mẫu, theo dõi hướng dẫn từ CQNN</w:t>
            </w:r>
          </w:p>
        </w:tc>
      </w:tr>
      <w:tr>
        <w:tc>
          <w:tcPr>
            <w:tcW w:type="dxa" w:w="3120"/>
          </w:tcPr>
          <w:p>
            <w:pPr>
              <w:spacing w:before="60" w:after="60"/>
            </w:pPr>
            <w:r>
              <w:rPr>
                <w:rFonts w:ascii="Calibri" w:hAnsi="Calibri"/>
                <w:sz w:val="20"/>
              </w:rPr>
              <w:t>Phó tổ - Kinh doanh</w:t>
            </w:r>
          </w:p>
        </w:tc>
        <w:tc>
          <w:tcPr>
            <w:tcW w:type="dxa" w:w="3120"/>
          </w:tcPr>
          <w:p>
            <w:pPr>
              <w:spacing w:before="60" w:after="60"/>
            </w:pPr>
            <w:r>
              <w:rPr>
                <w:rFonts w:ascii="Calibri" w:hAnsi="Calibri"/>
                <w:sz w:val="20"/>
              </w:rPr>
              <w:t>Tổng Giám đốc SPG</w:t>
            </w:r>
          </w:p>
        </w:tc>
        <w:tc>
          <w:tcPr>
            <w:tcW w:type="dxa" w:w="3120"/>
          </w:tcPr>
          <w:p>
            <w:pPr>
              <w:spacing w:before="60" w:after="60"/>
            </w:pPr>
            <w:r>
              <w:rPr>
                <w:rFonts w:ascii="Calibri" w:hAnsi="Calibri"/>
                <w:sz w:val="20"/>
              </w:rPr>
              <w:t>Quản trị đại lý, truyền thông, sale-kit, rà soát kênh referral</w:t>
            </w:r>
          </w:p>
        </w:tc>
      </w:tr>
      <w:tr>
        <w:tc>
          <w:tcPr>
            <w:tcW w:type="dxa" w:w="3120"/>
          </w:tcPr>
          <w:p>
            <w:pPr>
              <w:spacing w:before="60" w:after="60"/>
            </w:pPr>
            <w:r>
              <w:rPr>
                <w:rFonts w:ascii="Calibri" w:hAnsi="Calibri"/>
                <w:sz w:val="20"/>
              </w:rPr>
              <w:t>TV - Công nghệ</w:t>
            </w:r>
          </w:p>
        </w:tc>
        <w:tc>
          <w:tcPr>
            <w:tcW w:type="dxa" w:w="3120"/>
          </w:tcPr>
          <w:p>
            <w:pPr>
              <w:spacing w:before="60" w:after="60"/>
            </w:pPr>
            <w:r>
              <w:rPr>
                <w:rFonts w:ascii="Calibri" w:hAnsi="Calibri"/>
                <w:sz w:val="20"/>
              </w:rPr>
              <w:t>Trưởng Ban CNTT, GĐ DEC</w:t>
            </w:r>
          </w:p>
        </w:tc>
        <w:tc>
          <w:tcPr>
            <w:tcW w:type="dxa" w:w="3120"/>
          </w:tcPr>
          <w:p>
            <w:pPr>
              <w:spacing w:before="60" w:after="60"/>
            </w:pPr>
            <w:r>
              <w:rPr>
                <w:rFonts w:ascii="Calibri" w:hAnsi="Calibri"/>
                <w:sz w:val="20"/>
              </w:rPr>
              <w:t>Tái cấu trúc CRM/ERP, xây API, nghiên cứu blockchain, bảo mật</w:t>
            </w:r>
          </w:p>
        </w:tc>
      </w:tr>
      <w:tr>
        <w:tc>
          <w:tcPr>
            <w:tcW w:type="dxa" w:w="3120"/>
          </w:tcPr>
          <w:p>
            <w:pPr>
              <w:spacing w:before="60" w:after="60"/>
            </w:pPr>
            <w:r>
              <w:rPr>
                <w:rFonts w:ascii="Calibri" w:hAnsi="Calibri"/>
                <w:sz w:val="20"/>
              </w:rPr>
              <w:t>TV - Vận hành</w:t>
            </w:r>
          </w:p>
        </w:tc>
        <w:tc>
          <w:tcPr>
            <w:tcW w:type="dxa" w:w="3120"/>
          </w:tcPr>
          <w:p>
            <w:pPr>
              <w:spacing w:before="60" w:after="60"/>
            </w:pPr>
            <w:r>
              <w:rPr>
                <w:rFonts w:ascii="Calibri" w:hAnsi="Calibri"/>
                <w:sz w:val="20"/>
              </w:rPr>
              <w:t>Giám đốc SPL</w:t>
            </w:r>
          </w:p>
        </w:tc>
        <w:tc>
          <w:tcPr>
            <w:tcW w:type="dxa" w:w="3120"/>
          </w:tcPr>
          <w:p>
            <w:pPr>
              <w:spacing w:before="60" w:after="60"/>
            </w:pPr>
            <w:r>
              <w:rPr>
                <w:rFonts w:ascii="Calibri" w:hAnsi="Calibri"/>
                <w:sz w:val="20"/>
              </w:rPr>
              <w:t>Đăng ký mã pháp nhân QLVH, tích hợp App</w:t>
            </w:r>
          </w:p>
        </w:tc>
      </w:tr>
      <w:tr>
        <w:tc>
          <w:tcPr>
            <w:tcW w:type="dxa" w:w="3120"/>
          </w:tcPr>
          <w:p>
            <w:pPr>
              <w:spacing w:before="60" w:after="60"/>
            </w:pPr>
            <w:r>
              <w:rPr>
                <w:rFonts w:ascii="Calibri" w:hAnsi="Calibri"/>
                <w:sz w:val="20"/>
              </w:rPr>
              <w:t>TV - Tài chính</w:t>
            </w:r>
          </w:p>
        </w:tc>
        <w:tc>
          <w:tcPr>
            <w:tcW w:type="dxa" w:w="3120"/>
          </w:tcPr>
          <w:p>
            <w:pPr>
              <w:spacing w:before="60" w:after="60"/>
            </w:pPr>
            <w:r>
              <w:rPr>
                <w:rFonts w:ascii="Calibri" w:hAnsi="Calibri"/>
                <w:sz w:val="20"/>
              </w:rPr>
              <w:t>Kế toán trưởng + Phòng Nguồn vốn</w:t>
            </w:r>
          </w:p>
        </w:tc>
        <w:tc>
          <w:tcPr>
            <w:tcW w:type="dxa" w:w="3120"/>
          </w:tcPr>
          <w:p>
            <w:pPr>
              <w:spacing w:before="60" w:after="60"/>
            </w:pPr>
            <w:r>
              <w:rPr>
                <w:rFonts w:ascii="Calibri" w:hAnsi="Calibri"/>
                <w:sz w:val="20"/>
              </w:rPr>
              <w:t>Map hóa đơn ↔ mã BĐS, đối soát thuế, đánh giá tác động tín dụng</w:t>
            </w:r>
          </w:p>
        </w:tc>
      </w:tr>
      <w:tr>
        <w:tc>
          <w:tcPr>
            <w:tcW w:type="dxa" w:w="3120"/>
          </w:tcPr>
          <w:p>
            <w:pPr>
              <w:spacing w:before="60" w:after="60"/>
            </w:pPr>
            <w:r>
              <w:rPr>
                <w:rFonts w:ascii="Calibri" w:hAnsi="Calibri"/>
                <w:sz w:val="20"/>
              </w:rPr>
              <w:t>TV - PTDA các Vùng</w:t>
            </w:r>
          </w:p>
        </w:tc>
        <w:tc>
          <w:tcPr>
            <w:tcW w:type="dxa" w:w="3120"/>
          </w:tcPr>
          <w:p>
            <w:pPr>
              <w:spacing w:before="60" w:after="60"/>
            </w:pPr>
            <w:r>
              <w:rPr>
                <w:rFonts w:ascii="Calibri" w:hAnsi="Calibri"/>
                <w:sz w:val="20"/>
              </w:rPr>
              <w:t>Đại diện PTDA</w:t>
            </w:r>
          </w:p>
        </w:tc>
        <w:tc>
          <w:tcPr>
            <w:tcW w:type="dxa" w:w="3120"/>
          </w:tcPr>
          <w:p>
            <w:pPr>
              <w:spacing w:before="60" w:after="60"/>
            </w:pPr>
            <w:r>
              <w:rPr>
                <w:rFonts w:ascii="Calibri" w:hAnsi="Calibri"/>
                <w:sz w:val="20"/>
              </w:rPr>
              <w:t>Thu thập thông tin thực tế từ Sở XD các địa phương (Phase 0)</w:t>
            </w:r>
          </w:p>
        </w:tc>
      </w:tr>
      <w:tr>
        <w:tc>
          <w:tcPr>
            <w:tcW w:type="dxa" w:w="3120"/>
          </w:tcPr>
          <w:p>
            <w:pPr>
              <w:spacing w:before="60" w:after="60"/>
            </w:pPr>
            <w:r>
              <w:rPr>
                <w:rFonts w:ascii="Calibri" w:hAnsi="Calibri"/>
                <w:sz w:val="20"/>
              </w:rPr>
              <w:t>Thư ký</w:t>
            </w:r>
          </w:p>
        </w:tc>
        <w:tc>
          <w:tcPr>
            <w:tcW w:type="dxa" w:w="3120"/>
          </w:tcPr>
          <w:p>
            <w:pPr>
              <w:spacing w:before="60" w:after="60"/>
            </w:pPr>
            <w:r>
              <w:rPr>
                <w:rFonts w:ascii="Calibri" w:hAnsi="Calibri"/>
                <w:sz w:val="20"/>
              </w:rPr>
              <w:t>Ban Pháp chế</w:t>
            </w:r>
          </w:p>
        </w:tc>
        <w:tc>
          <w:tcPr>
            <w:tcW w:type="dxa" w:w="3120"/>
          </w:tcPr>
          <w:p>
            <w:pPr>
              <w:spacing w:before="60" w:after="60"/>
            </w:pPr>
            <w:r>
              <w:rPr>
                <w:rFonts w:ascii="Calibri" w:hAnsi="Calibri"/>
                <w:sz w:val="20"/>
              </w:rPr>
              <w:t>Theo dõi tiến độ, minutes cuộc họp</w:t>
            </w:r>
          </w:p>
        </w:tc>
      </w:tr>
    </w:tbl>
    <w:p>
      <w:pPr>
        <w:spacing w:before="0" w:after="80"/>
      </w:pPr>
    </w:p>
    <w:p>
      <w:pPr>
        <w:pStyle w:val="Heading3"/>
        <w:spacing w:before="240" w:after="160"/>
      </w:pPr>
      <w:r>
        <w:rPr>
          <w:rFonts w:ascii="Calibri" w:hAnsi="Calibri" w:eastAsia="Calibri"/>
          <w:color w:val="1A1A2E"/>
          <w:sz w:val="32"/>
        </w:rPr>
        <w:t>5.2. Phân công trách nhiệm RACI</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Hạng mục</w:t>
            </w:r>
          </w:p>
        </w:tc>
        <w:tc>
          <w:tcPr>
            <w:tcW w:type="dxa" w:w="1872"/>
            <w:shd w:fill="E2E8F0" w:val="clear"/>
          </w:tcPr>
          <w:p>
            <w:pPr>
              <w:spacing w:before="60" w:after="60"/>
            </w:pPr>
            <w:r>
              <w:rPr>
                <w:rFonts w:ascii="Calibri" w:hAnsi="Calibri"/>
                <w:b/>
                <w:sz w:val="20"/>
              </w:rPr>
              <w:t>R (thực hiện)</w:t>
            </w:r>
          </w:p>
        </w:tc>
        <w:tc>
          <w:tcPr>
            <w:tcW w:type="dxa" w:w="1872"/>
            <w:shd w:fill="E2E8F0" w:val="clear"/>
          </w:tcPr>
          <w:p>
            <w:pPr>
              <w:spacing w:before="60" w:after="60"/>
            </w:pPr>
            <w:r>
              <w:rPr>
                <w:rFonts w:ascii="Calibri" w:hAnsi="Calibri"/>
                <w:b/>
                <w:sz w:val="20"/>
              </w:rPr>
              <w:t>A (phê duyệt)</w:t>
            </w:r>
          </w:p>
        </w:tc>
        <w:tc>
          <w:tcPr>
            <w:tcW w:type="dxa" w:w="1872"/>
            <w:shd w:fill="E2E8F0" w:val="clear"/>
          </w:tcPr>
          <w:p>
            <w:pPr>
              <w:spacing w:before="60" w:after="60"/>
            </w:pPr>
            <w:r>
              <w:rPr>
                <w:rFonts w:ascii="Calibri" w:hAnsi="Calibri"/>
                <w:b/>
                <w:sz w:val="20"/>
              </w:rPr>
              <w:t>C (tham vấn)</w:t>
            </w:r>
          </w:p>
        </w:tc>
        <w:tc>
          <w:tcPr>
            <w:tcW w:type="dxa" w:w="1872"/>
            <w:shd w:fill="E2E8F0" w:val="clear"/>
          </w:tcPr>
          <w:p>
            <w:pPr>
              <w:spacing w:before="60" w:after="60"/>
            </w:pPr>
            <w:r>
              <w:rPr>
                <w:rFonts w:ascii="Calibri" w:hAnsi="Calibri"/>
                <w:b/>
                <w:sz w:val="20"/>
              </w:rPr>
              <w:t>I (nhận thông tin)</w:t>
            </w:r>
          </w:p>
        </w:tc>
      </w:tr>
      <w:tr>
        <w:tc>
          <w:tcPr>
            <w:tcW w:type="dxa" w:w="1872"/>
          </w:tcPr>
          <w:p>
            <w:pPr>
              <w:spacing w:before="60" w:after="60"/>
            </w:pPr>
            <w:r>
              <w:rPr>
                <w:rFonts w:ascii="Calibri" w:hAnsi="Calibri"/>
                <w:sz w:val="20"/>
              </w:rPr>
              <w:t>Phase 0: Khảo sát thực tế CQNN địa phương</w:t>
            </w:r>
          </w:p>
        </w:tc>
        <w:tc>
          <w:tcPr>
            <w:tcW w:type="dxa" w:w="1872"/>
          </w:tcPr>
          <w:p>
            <w:pPr>
              <w:spacing w:before="60" w:after="60"/>
            </w:pPr>
            <w:r>
              <w:rPr>
                <w:rFonts w:ascii="Calibri" w:hAnsi="Calibri"/>
                <w:sz w:val="20"/>
              </w:rPr>
              <w:t>PTDA các Vùng</w:t>
            </w:r>
          </w:p>
        </w:tc>
        <w:tc>
          <w:tcPr>
            <w:tcW w:type="dxa" w:w="1872"/>
          </w:tcPr>
          <w:p>
            <w:pPr>
              <w:spacing w:before="60" w:after="60"/>
            </w:pPr>
            <w:r>
              <w:rPr>
                <w:rFonts w:ascii="Calibri" w:hAnsi="Calibri"/>
                <w:sz w:val="20"/>
              </w:rPr>
              <w:t>Task Force 357</w:t>
            </w:r>
          </w:p>
        </w:tc>
        <w:tc>
          <w:tcPr>
            <w:tcW w:type="dxa" w:w="1872"/>
          </w:tcPr>
          <w:p>
            <w:pPr>
              <w:spacing w:before="60" w:after="60"/>
            </w:pPr>
            <w:r>
              <w:rPr>
                <w:rFonts w:ascii="Calibri" w:hAnsi="Calibri"/>
                <w:sz w:val="20"/>
              </w:rPr>
              <w:t>Ban Pháp chế, Ban CNTT</w:t>
            </w:r>
          </w:p>
        </w:tc>
        <w:tc>
          <w:tcPr>
            <w:tcW w:type="dxa" w:w="1872"/>
          </w:tcPr>
          <w:p>
            <w:pPr>
              <w:spacing w:before="60" w:after="60"/>
            </w:pPr>
            <w:r>
              <w:rPr>
                <w:rFonts w:ascii="Calibri" w:hAnsi="Calibri"/>
                <w:sz w:val="20"/>
              </w:rPr>
              <w:t>BLĐ</w:t>
            </w:r>
          </w:p>
        </w:tc>
      </w:tr>
      <w:tr>
        <w:tc>
          <w:tcPr>
            <w:tcW w:type="dxa" w:w="1872"/>
          </w:tcPr>
          <w:p>
            <w:pPr>
              <w:spacing w:before="60" w:after="60"/>
            </w:pPr>
            <w:r>
              <w:rPr>
                <w:rFonts w:ascii="Calibri" w:hAnsi="Calibri"/>
                <w:sz w:val="20"/>
              </w:rPr>
              <w:t>Chuẩn bị hồ sơ đề nghị CQNN cấp mã hồi tố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Ban CNTT</w:t>
            </w:r>
          </w:p>
        </w:tc>
        <w:tc>
          <w:tcPr>
            <w:tcW w:type="dxa" w:w="1872"/>
          </w:tcPr>
          <w:p>
            <w:pPr>
              <w:spacing w:before="60" w:after="60"/>
            </w:pPr>
            <w:r>
              <w:rPr>
                <w:rFonts w:ascii="Calibri" w:hAnsi="Calibri"/>
                <w:sz w:val="20"/>
              </w:rPr>
            </w:r>
          </w:p>
        </w:tc>
      </w:tr>
      <w:tr>
        <w:tc>
          <w:tcPr>
            <w:tcW w:type="dxa" w:w="1872"/>
          </w:tcPr>
          <w:p>
            <w:pPr>
              <w:spacing w:before="60" w:after="60"/>
            </w:pPr>
            <w:r>
              <w:rPr>
                <w:rFonts w:ascii="Calibri" w:hAnsi="Calibri"/>
                <w:sz w:val="20"/>
              </w:rPr>
              <w:t>Cập nhật biểu mẫu HĐMB</w:t>
            </w:r>
          </w:p>
        </w:tc>
        <w:tc>
          <w:tcPr>
            <w:tcW w:type="dxa" w:w="1872"/>
          </w:tcPr>
          <w:p>
            <w:pPr>
              <w:spacing w:before="60" w:after="60"/>
            </w:pPr>
            <w:r>
              <w:rPr>
                <w:rFonts w:ascii="Calibri" w:hAnsi="Calibri"/>
                <w:sz w:val="20"/>
              </w:rPr>
              <w:t>Ban Pháp chế + SPG</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SPL</w:t>
            </w:r>
          </w:p>
        </w:tc>
        <w:tc>
          <w:tcPr>
            <w:tcW w:type="dxa" w:w="1872"/>
          </w:tcPr>
          <w:p>
            <w:pPr>
              <w:spacing w:before="60" w:after="60"/>
            </w:pPr>
            <w:r>
              <w:rPr>
                <w:rFonts w:ascii="Calibri" w:hAnsi="Calibri"/>
                <w:sz w:val="20"/>
              </w:rPr>
              <w:t>Đại lý F1/F2</w:t>
            </w:r>
          </w:p>
        </w:tc>
      </w:tr>
      <w:tr>
        <w:tc>
          <w:tcPr>
            <w:tcW w:type="dxa" w:w="1872"/>
          </w:tcPr>
          <w:p>
            <w:pPr>
              <w:spacing w:before="60" w:after="60"/>
            </w:pPr>
            <w:r>
              <w:rPr>
                <w:rFonts w:ascii="Calibri" w:hAnsi="Calibri"/>
                <w:sz w:val="20"/>
              </w:rPr>
              <w:t>Ban hành Thông báo rà soát đại lý</w:t>
            </w:r>
          </w:p>
        </w:tc>
        <w:tc>
          <w:tcPr>
            <w:tcW w:type="dxa" w:w="1872"/>
          </w:tcPr>
          <w:p>
            <w:pPr>
              <w:spacing w:before="60" w:after="60"/>
            </w:pPr>
            <w:r>
              <w:rPr>
                <w:rFonts w:ascii="Calibri" w:hAnsi="Calibri"/>
                <w:sz w:val="20"/>
              </w:rPr>
              <w:t>SPG</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Đại lý F1/F2</w:t>
            </w:r>
          </w:p>
        </w:tc>
      </w:tr>
      <w:tr>
        <w:tc>
          <w:tcPr>
            <w:tcW w:type="dxa" w:w="1872"/>
          </w:tcPr>
          <w:p>
            <w:pPr>
              <w:spacing w:before="60" w:after="60"/>
            </w:pPr>
            <w:r>
              <w:rPr>
                <w:rFonts w:ascii="Calibri" w:hAnsi="Calibri"/>
                <w:sz w:val="20"/>
              </w:rPr>
              <w:t>Rà soát kênh referral (KH giới thiệu KH)</w:t>
            </w:r>
          </w:p>
        </w:tc>
        <w:tc>
          <w:tcPr>
            <w:tcW w:type="dxa" w:w="1872"/>
          </w:tcPr>
          <w:p>
            <w:pPr>
              <w:spacing w:before="60" w:after="60"/>
            </w:pPr>
            <w:r>
              <w:rPr>
                <w:rFonts w:ascii="Calibri" w:hAnsi="Calibri"/>
                <w:sz w:val="20"/>
              </w:rPr>
              <w:t>SPG</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Task Force</w:t>
            </w:r>
          </w:p>
        </w:tc>
      </w:tr>
      <w:tr>
        <w:tc>
          <w:tcPr>
            <w:tcW w:type="dxa" w:w="1872"/>
          </w:tcPr>
          <w:p>
            <w:pPr>
              <w:spacing w:before="60" w:after="60"/>
            </w:pPr>
            <w:r>
              <w:rPr>
                <w:rFonts w:ascii="Calibri" w:hAnsi="Calibri"/>
                <w:sz w:val="20"/>
              </w:rPr>
              <w:t>Tái cấu trúc CRM/ERP + API</w:t>
            </w:r>
          </w:p>
        </w:tc>
        <w:tc>
          <w:tcPr>
            <w:tcW w:type="dxa" w:w="1872"/>
          </w:tcPr>
          <w:p>
            <w:pPr>
              <w:spacing w:before="60" w:after="60"/>
            </w:pPr>
            <w:r>
              <w:rPr>
                <w:rFonts w:ascii="Calibri" w:hAnsi="Calibri"/>
                <w:sz w:val="20"/>
              </w:rPr>
              <w:t>Ban CNTT, DEC</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SPG, SPL</w:t>
            </w:r>
          </w:p>
        </w:tc>
        <w:tc>
          <w:tcPr>
            <w:tcW w:type="dxa" w:w="1872"/>
          </w:tcPr>
          <w:p>
            <w:pPr>
              <w:spacing w:before="60" w:after="60"/>
            </w:pPr>
            <w:r>
              <w:rPr>
                <w:rFonts w:ascii="Calibri" w:hAnsi="Calibri"/>
                <w:sz w:val="20"/>
              </w:rPr>
              <w:t>Task Force</w:t>
            </w:r>
          </w:p>
        </w:tc>
      </w:tr>
      <w:tr>
        <w:tc>
          <w:tcPr>
            <w:tcW w:type="dxa" w:w="1872"/>
          </w:tcPr>
          <w:p>
            <w:pPr>
              <w:spacing w:before="60" w:after="60"/>
            </w:pPr>
            <w:r>
              <w:rPr>
                <w:rFonts w:ascii="Calibri" w:hAnsi="Calibri"/>
                <w:sz w:val="20"/>
              </w:rPr>
              <w:t>Đăng ký mã pháp nhân QLVH</w:t>
            </w:r>
          </w:p>
        </w:tc>
        <w:tc>
          <w:tcPr>
            <w:tcW w:type="dxa" w:w="1872"/>
          </w:tcPr>
          <w:p>
            <w:pPr>
              <w:spacing w:before="60" w:after="60"/>
            </w:pPr>
            <w:r>
              <w:rPr>
                <w:rFonts w:ascii="Calibri" w:hAnsi="Calibri"/>
                <w:sz w:val="20"/>
              </w:rPr>
              <w:t>SPL</w:t>
            </w:r>
          </w:p>
        </w:tc>
        <w:tc>
          <w:tcPr>
            <w:tcW w:type="dxa" w:w="1872"/>
          </w:tcPr>
          <w:p>
            <w:pPr>
              <w:spacing w:before="60" w:after="60"/>
            </w:pPr>
            <w:r>
              <w:rPr>
                <w:rFonts w:ascii="Calibri" w:hAnsi="Calibri"/>
                <w:sz w:val="20"/>
              </w:rPr>
              <w:t>GĐ Vùng</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BLĐ</w:t>
            </w:r>
          </w:p>
        </w:tc>
      </w:tr>
      <w:tr>
        <w:tc>
          <w:tcPr>
            <w:tcW w:type="dxa" w:w="1872"/>
          </w:tcPr>
          <w:p>
            <w:pPr>
              <w:spacing w:before="60" w:after="60"/>
            </w:pPr>
            <w:r>
              <w:rPr>
                <w:rFonts w:ascii="Calibri" w:hAnsi="Calibri"/>
                <w:sz w:val="20"/>
              </w:rPr>
              <w:t>Tích hợp App</w:t>
            </w:r>
          </w:p>
        </w:tc>
        <w:tc>
          <w:tcPr>
            <w:tcW w:type="dxa" w:w="1872"/>
          </w:tcPr>
          <w:p>
            <w:pPr>
              <w:spacing w:before="60" w:after="60"/>
            </w:pPr>
            <w:r>
              <w:rPr>
                <w:rFonts w:ascii="Calibri" w:hAnsi="Calibri"/>
                <w:sz w:val="20"/>
              </w:rPr>
              <w:t>Ban CNTT, DEC, SPL</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SPG</w:t>
            </w:r>
          </w:p>
        </w:tc>
        <w:tc>
          <w:tcPr>
            <w:tcW w:type="dxa" w:w="1872"/>
          </w:tcPr>
          <w:p>
            <w:pPr>
              <w:spacing w:before="60" w:after="60"/>
            </w:pPr>
            <w:r>
              <w:rPr>
                <w:rFonts w:ascii="Calibri" w:hAnsi="Calibri"/>
                <w:sz w:val="20"/>
              </w:rPr>
              <w:t>Cư dân</w:t>
            </w:r>
          </w:p>
        </w:tc>
      </w:tr>
      <w:tr>
        <w:tc>
          <w:tcPr>
            <w:tcW w:type="dxa" w:w="1872"/>
          </w:tcPr>
          <w:p>
            <w:pPr>
              <w:spacing w:before="60" w:after="60"/>
            </w:pPr>
            <w:r>
              <w:rPr>
                <w:rFonts w:ascii="Calibri" w:hAnsi="Calibri"/>
                <w:sz w:val="20"/>
              </w:rPr>
              <w:t>Map hóa đơn ↔ Mã BĐS</w:t>
            </w:r>
          </w:p>
        </w:tc>
        <w:tc>
          <w:tcPr>
            <w:tcW w:type="dxa" w:w="1872"/>
          </w:tcPr>
          <w:p>
            <w:pPr>
              <w:spacing w:before="60" w:after="60"/>
            </w:pPr>
            <w:r>
              <w:rPr>
                <w:rFonts w:ascii="Calibri" w:hAnsi="Calibri"/>
                <w:sz w:val="20"/>
              </w:rPr>
              <w:t>Ban Tài chính</w:t>
            </w:r>
          </w:p>
        </w:tc>
        <w:tc>
          <w:tcPr>
            <w:tcW w:type="dxa" w:w="1872"/>
          </w:tcPr>
          <w:p>
            <w:pPr>
              <w:spacing w:before="60" w:after="60"/>
            </w:pPr>
            <w:r>
              <w:rPr>
                <w:rFonts w:ascii="Calibri" w:hAnsi="Calibri"/>
                <w:sz w:val="20"/>
              </w:rPr>
              <w:t>GĐ Ban TC</w:t>
            </w:r>
          </w:p>
        </w:tc>
        <w:tc>
          <w:tcPr>
            <w:tcW w:type="dxa" w:w="1872"/>
          </w:tcPr>
          <w:p>
            <w:pPr>
              <w:spacing w:before="60" w:after="60"/>
            </w:pPr>
            <w:r>
              <w:rPr>
                <w:rFonts w:ascii="Calibri" w:hAnsi="Calibri"/>
                <w:sz w:val="20"/>
              </w:rPr>
              <w:t>Ban CNTT</w:t>
            </w:r>
          </w:p>
        </w:tc>
        <w:tc>
          <w:tcPr>
            <w:tcW w:type="dxa" w:w="1872"/>
          </w:tcPr>
          <w:p>
            <w:pPr>
              <w:spacing w:before="60" w:after="60"/>
            </w:pPr>
            <w:r>
              <w:rPr>
                <w:rFonts w:ascii="Calibri" w:hAnsi="Calibri"/>
                <w:sz w:val="20"/>
              </w:rPr>
              <w:t>BLĐ</w:t>
            </w:r>
          </w:p>
        </w:tc>
      </w:tr>
      <w:tr>
        <w:tc>
          <w:tcPr>
            <w:tcW w:type="dxa" w:w="1872"/>
          </w:tcPr>
          <w:p>
            <w:pPr>
              <w:spacing w:before="60" w:after="60"/>
            </w:pPr>
            <w:r>
              <w:rPr>
                <w:rFonts w:ascii="Calibri" w:hAnsi="Calibri"/>
                <w:sz w:val="20"/>
              </w:rPr>
              <w:t>Truyền thông NĐ 357</w:t>
            </w:r>
          </w:p>
        </w:tc>
        <w:tc>
          <w:tcPr>
            <w:tcW w:type="dxa" w:w="1872"/>
          </w:tcPr>
          <w:p>
            <w:pPr>
              <w:spacing w:before="60" w:after="60"/>
            </w:pPr>
            <w:r>
              <w:rPr>
                <w:rFonts w:ascii="Calibri" w:hAnsi="Calibri"/>
                <w:sz w:val="20"/>
              </w:rPr>
              <w:t>SPG, Marketing</w:t>
            </w:r>
          </w:p>
        </w:tc>
        <w:tc>
          <w:tcPr>
            <w:tcW w:type="dxa" w:w="1872"/>
          </w:tcPr>
          <w:p>
            <w:pPr>
              <w:spacing w:before="60" w:after="60"/>
            </w:pPr>
            <w:r>
              <w:rPr>
                <w:rFonts w:ascii="Calibri" w:hAnsi="Calibri"/>
                <w:sz w:val="20"/>
              </w:rPr>
              <w:t>Phó TGĐ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Khách hàng</w:t>
            </w:r>
          </w:p>
        </w:tc>
      </w:tr>
      <w:tr>
        <w:tc>
          <w:tcPr>
            <w:tcW w:type="dxa" w:w="1872"/>
          </w:tcPr>
          <w:p>
            <w:pPr>
              <w:spacing w:before="60" w:after="60"/>
            </w:pPr>
            <w:r>
              <w:rPr>
                <w:rFonts w:ascii="Calibri" w:hAnsi="Calibri"/>
                <w:sz w:val="20"/>
              </w:rPr>
              <w:t>Xây dựng BCP (3 kịch bản)</w:t>
            </w:r>
          </w:p>
        </w:tc>
        <w:tc>
          <w:tcPr>
            <w:tcW w:type="dxa" w:w="1872"/>
          </w:tcPr>
          <w:p>
            <w:pPr>
              <w:spacing w:before="60" w:after="60"/>
            </w:pPr>
            <w:r>
              <w:rPr>
                <w:rFonts w:ascii="Calibri" w:hAnsi="Calibri"/>
                <w:sz w:val="20"/>
              </w:rPr>
              <w:t>SPG, Ban Pháp chế</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SPL</w:t>
            </w:r>
          </w:p>
        </w:tc>
        <w:tc>
          <w:tcPr>
            <w:tcW w:type="dxa" w:w="1872"/>
          </w:tcPr>
          <w:p>
            <w:pPr>
              <w:spacing w:before="60" w:after="60"/>
            </w:pPr>
            <w:r>
              <w:rPr>
                <w:rFonts w:ascii="Calibri" w:hAnsi="Calibri"/>
                <w:sz w:val="20"/>
              </w:rPr>
            </w:r>
          </w:p>
        </w:tc>
      </w:tr>
      <w:tr>
        <w:tc>
          <w:tcPr>
            <w:tcW w:type="dxa" w:w="1872"/>
          </w:tcPr>
          <w:p>
            <w:pPr>
              <w:spacing w:before="60" w:after="60"/>
            </w:pPr>
            <w:r>
              <w:rPr>
                <w:rFonts w:ascii="Calibri" w:hAnsi="Calibri"/>
                <w:sz w:val="20"/>
              </w:rPr>
              <w:t>Nghiên cứu khả thi blockchain</w:t>
            </w:r>
          </w:p>
        </w:tc>
        <w:tc>
          <w:tcPr>
            <w:tcW w:type="dxa" w:w="1872"/>
          </w:tcPr>
          <w:p>
            <w:pPr>
              <w:spacing w:before="60" w:after="60"/>
            </w:pPr>
            <w:r>
              <w:rPr>
                <w:rFonts w:ascii="Calibri" w:hAnsi="Calibri"/>
                <w:sz w:val="20"/>
              </w:rPr>
              <w:t>Ban CNTT, DEC</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Task Force</w:t>
            </w:r>
          </w:p>
        </w:tc>
      </w:tr>
      <w:tr>
        <w:tc>
          <w:tcPr>
            <w:tcW w:type="dxa" w:w="1872"/>
          </w:tcPr>
          <w:p>
            <w:pPr>
              <w:spacing w:before="60" w:after="60"/>
            </w:pPr>
            <w:r>
              <w:rPr>
                <w:rFonts w:ascii="Calibri" w:hAnsi="Calibri"/>
                <w:sz w:val="20"/>
              </w:rPr>
              <w:t>Đánh giá tác động tín dụng, thế chấp</w:t>
            </w:r>
          </w:p>
        </w:tc>
        <w:tc>
          <w:tcPr>
            <w:tcW w:type="dxa" w:w="1872"/>
          </w:tcPr>
          <w:p>
            <w:pPr>
              <w:spacing w:before="60" w:after="60"/>
            </w:pPr>
            <w:r>
              <w:rPr>
                <w:rFonts w:ascii="Calibri" w:hAnsi="Calibri"/>
                <w:sz w:val="20"/>
              </w:rPr>
              <w:t>Phòng Nguồn vốn – Ban TC</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Task Force</w:t>
            </w:r>
          </w:p>
        </w:tc>
      </w:tr>
      <w:tr>
        <w:tc>
          <w:tcPr>
            <w:tcW w:type="dxa" w:w="1872"/>
          </w:tcPr>
          <w:p>
            <w:pPr>
              <w:spacing w:before="60" w:after="60"/>
            </w:pPr>
            <w:r>
              <w:rPr>
                <w:rFonts w:ascii="Calibri" w:hAnsi="Calibri"/>
                <w:sz w:val="20"/>
              </w:rPr>
              <w:t>Theo dõi cơ chế chia sẻ dữ liệu có trả phí</w:t>
            </w:r>
          </w:p>
        </w:tc>
        <w:tc>
          <w:tcPr>
            <w:tcW w:type="dxa" w:w="1872"/>
          </w:tcPr>
          <w:p>
            <w:pPr>
              <w:spacing w:before="60" w:after="60"/>
            </w:pPr>
            <w:r>
              <w:rPr>
                <w:rFonts w:ascii="Calibri" w:hAnsi="Calibri"/>
                <w:sz w:val="20"/>
              </w:rPr>
              <w:t>Ban Pháp chế</w:t>
            </w:r>
          </w:p>
        </w:tc>
        <w:tc>
          <w:tcPr>
            <w:tcW w:type="dxa" w:w="1872"/>
          </w:tcPr>
          <w:p>
            <w:pPr>
              <w:spacing w:before="60" w:after="60"/>
            </w:pPr>
            <w:r>
              <w:rPr>
                <w:rFonts w:ascii="Calibri" w:hAnsi="Calibri"/>
                <w:sz w:val="20"/>
              </w:rPr>
              <w:t>BLĐ</w:t>
            </w:r>
          </w:p>
        </w:tc>
        <w:tc>
          <w:tcPr>
            <w:tcW w:type="dxa" w:w="1872"/>
          </w:tcPr>
          <w:p>
            <w:pPr>
              <w:spacing w:before="60" w:after="60"/>
            </w:pPr>
            <w:r>
              <w:rPr>
                <w:rFonts w:ascii="Calibri" w:hAnsi="Calibri"/>
                <w:sz w:val="20"/>
              </w:rPr>
              <w:t>Ban TC</w:t>
            </w:r>
          </w:p>
        </w:tc>
        <w:tc>
          <w:tcPr>
            <w:tcW w:type="dxa" w:w="1872"/>
          </w:tcPr>
          <w:p>
            <w:pPr>
              <w:spacing w:before="60" w:after="60"/>
            </w:pPr>
            <w:r>
              <w:rPr>
                <w:rFonts w:ascii="Calibri" w:hAnsi="Calibri"/>
                <w:sz w:val="20"/>
              </w:rPr>
              <w:t>Task Force</w:t>
            </w:r>
          </w:p>
        </w:tc>
      </w:tr>
    </w:tbl>
    <w:p>
      <w:pPr>
        <w:spacing w:before="0" w:after="80"/>
      </w:pPr>
    </w:p>
    <w:p>
      <w:pPr>
        <w:pStyle w:val="Heading3"/>
        <w:spacing w:before="240" w:after="160"/>
      </w:pPr>
      <w:r>
        <w:rPr>
          <w:rFonts w:ascii="Calibri" w:hAnsi="Calibri" w:eastAsia="Calibri"/>
          <w:color w:val="1A1A2E"/>
          <w:sz w:val="32"/>
        </w:rPr>
        <w:t>5.3. Lộ trình triển khai (Phase 0 – 30 – 60 – 90 ngày)</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Phase</w:t>
            </w:r>
          </w:p>
        </w:tc>
        <w:tc>
          <w:tcPr>
            <w:tcW w:type="dxa" w:w="2340"/>
            <w:shd w:fill="E2E8F0" w:val="clear"/>
          </w:tcPr>
          <w:p>
            <w:pPr>
              <w:spacing w:before="60" w:after="60"/>
            </w:pPr>
            <w:r>
              <w:rPr>
                <w:rFonts w:ascii="Calibri" w:hAnsi="Calibri"/>
                <w:b/>
                <w:sz w:val="20"/>
              </w:rPr>
              <w:t>Thời gian</w:t>
            </w:r>
          </w:p>
        </w:tc>
        <w:tc>
          <w:tcPr>
            <w:tcW w:type="dxa" w:w="2340"/>
            <w:shd w:fill="E2E8F0" w:val="clear"/>
          </w:tcPr>
          <w:p>
            <w:pPr>
              <w:spacing w:before="60" w:after="60"/>
            </w:pPr>
            <w:r>
              <w:rPr>
                <w:rFonts w:ascii="Calibri" w:hAnsi="Calibri"/>
                <w:b/>
                <w:sz w:val="20"/>
              </w:rPr>
              <w:t>Nội dung chính</w:t>
            </w:r>
          </w:p>
        </w:tc>
        <w:tc>
          <w:tcPr>
            <w:tcW w:type="dxa" w:w="2340"/>
            <w:shd w:fill="E2E8F0" w:val="clear"/>
          </w:tcPr>
          <w:p>
            <w:pPr>
              <w:spacing w:before="60" w:after="60"/>
            </w:pPr>
            <w:r>
              <w:rPr>
                <w:rFonts w:ascii="Calibri" w:hAnsi="Calibri"/>
                <w:b/>
                <w:sz w:val="20"/>
              </w:rPr>
              <w:t>Kết quả đầu ra</w:t>
            </w:r>
          </w:p>
        </w:tc>
      </w:tr>
      <w:tr>
        <w:tc>
          <w:tcPr>
            <w:tcW w:type="dxa" w:w="2340"/>
          </w:tcPr>
          <w:p>
            <w:pPr>
              <w:spacing w:before="60" w:after="60"/>
            </w:pPr>
            <w:r>
              <w:rPr>
                <w:rFonts w:ascii="Calibri" w:hAnsi="Calibri"/>
                <w:sz w:val="20"/>
              </w:rPr>
              <w:t>Phase 0 - Khảo sát thực tế</w:t>
            </w:r>
          </w:p>
        </w:tc>
        <w:tc>
          <w:tcPr>
            <w:tcW w:type="dxa" w:w="2340"/>
          </w:tcPr>
          <w:p>
            <w:pPr>
              <w:spacing w:before="60" w:after="60"/>
            </w:pPr>
            <w:r>
              <w:rPr>
                <w:rFonts w:ascii="Calibri" w:hAnsi="Calibri"/>
                <w:sz w:val="20"/>
              </w:rPr>
              <w:t>Ngày 1 - 14 (01/03 → 14/03)</w:t>
            </w:r>
          </w:p>
        </w:tc>
        <w:tc>
          <w:tcPr>
            <w:tcW w:type="dxa" w:w="2340"/>
          </w:tcPr>
          <w:p>
            <w:pPr>
              <w:spacing w:before="60" w:after="60"/>
            </w:pPr>
            <w:r>
              <w:rPr>
                <w:rFonts w:ascii="Calibri" w:hAnsi="Calibri"/>
                <w:sz w:val="20"/>
              </w:rPr>
              <w:t>PTDA các Vùng/Khu vực thu thập thông tin từ Sở XD địa phương: hiện trạng hệ thống, kế hoạch triển khai NĐ 357, SLA dự kiến, quy trình cấp mã cụ thể (BPC đã gửi yêu cầu ngày 02/03/2026). Ban CNTT đánh giá mức độ sẵn sàng hạ tầng nội bộ từng vùng.</w:t>
            </w:r>
          </w:p>
        </w:tc>
        <w:tc>
          <w:tcPr>
            <w:tcW w:type="dxa" w:w="2340"/>
          </w:tcPr>
          <w:p>
            <w:pPr>
              <w:spacing w:before="60" w:after="60"/>
            </w:pPr>
            <w:r>
              <w:rPr>
                <w:rFonts w:ascii="Calibri" w:hAnsi="Calibri"/>
                <w:sz w:val="20"/>
              </w:rPr>
              <w:t>Bảng khảo sát theo vùng (mẫu bên dưới); Báo cáo tổng hợp hiện trạng trình Task Force 357; Điều chỉnh lộ trình Phase 1-3 theo thực tế từng địa phương</w:t>
            </w:r>
          </w:p>
        </w:tc>
      </w:tr>
      <w:tr>
        <w:tc>
          <w:tcPr>
            <w:tcW w:type="dxa" w:w="2340"/>
          </w:tcPr>
          <w:p>
            <w:pPr>
              <w:spacing w:before="60" w:after="60"/>
            </w:pPr>
            <w:r>
              <w:rPr>
                <w:rFonts w:ascii="Calibri" w:hAnsi="Calibri"/>
                <w:sz w:val="20"/>
              </w:rPr>
              <w:t>Phase 1 - Quick-wins</w:t>
            </w:r>
          </w:p>
        </w:tc>
        <w:tc>
          <w:tcPr>
            <w:tcW w:type="dxa" w:w="2340"/>
          </w:tcPr>
          <w:p>
            <w:pPr>
              <w:spacing w:before="60" w:after="60"/>
            </w:pPr>
            <w:r>
              <w:rPr>
                <w:rFonts w:ascii="Calibri" w:hAnsi="Calibri"/>
                <w:sz w:val="20"/>
              </w:rPr>
              <w:t>Ngày 15 - 30 (15/03 → 31/03)</w:t>
            </w:r>
          </w:p>
        </w:tc>
        <w:tc>
          <w:tcPr>
            <w:tcW w:type="dxa" w:w="2340"/>
          </w:tcPr>
          <w:p>
            <w:pPr>
              <w:spacing w:before="60" w:after="60"/>
            </w:pPr>
            <w:r>
              <w:rPr>
                <w:rFonts w:ascii="Calibri" w:hAnsi="Calibri"/>
                <w:sz w:val="20"/>
              </w:rPr>
              <w:t>Ban hành thông báo rà soát đại lý; chuẩn bị template biểu mẫu HĐMB mới; thiết kế kiến trúc IT; nộp văn bản tham vấn Bộ Xây dựng về sản phẩm đặc thù; khởi động nghiên cứu khả thi blockchain</w:t>
            </w:r>
          </w:p>
        </w:tc>
        <w:tc>
          <w:tcPr>
            <w:tcW w:type="dxa" w:w="2340"/>
          </w:tcPr>
          <w:p>
            <w:pPr>
              <w:spacing w:before="60" w:after="60"/>
            </w:pPr>
            <w:r>
              <w:rPr>
                <w:rFonts w:ascii="Calibri" w:hAnsi="Calibri"/>
                <w:sz w:val="20"/>
              </w:rPr>
              <w:t>Thông báo ban hành; biểu mẫu sẵn sàng áp dụng khi có mã; tài liệu kiến trúc API</w:t>
            </w:r>
          </w:p>
        </w:tc>
      </w:tr>
      <w:tr>
        <w:tc>
          <w:tcPr>
            <w:tcW w:type="dxa" w:w="2340"/>
          </w:tcPr>
          <w:p>
            <w:pPr>
              <w:spacing w:before="60" w:after="60"/>
            </w:pPr>
            <w:r>
              <w:rPr>
                <w:rFonts w:ascii="Calibri" w:hAnsi="Calibri"/>
                <w:sz w:val="20"/>
              </w:rPr>
              <w:t>Phase 2 - Chuyển đổi</w:t>
            </w:r>
          </w:p>
        </w:tc>
        <w:tc>
          <w:tcPr>
            <w:tcW w:type="dxa" w:w="2340"/>
          </w:tcPr>
          <w:p>
            <w:pPr>
              <w:spacing w:before="60" w:after="60"/>
            </w:pPr>
            <w:r>
              <w:rPr>
                <w:rFonts w:ascii="Calibri" w:hAnsi="Calibri"/>
                <w:sz w:val="20"/>
              </w:rPr>
              <w:t>Ngày 31 - 60 (01/04 → 30/04)</w:t>
            </w:r>
          </w:p>
        </w:tc>
        <w:tc>
          <w:tcPr>
            <w:tcW w:type="dxa" w:w="2340"/>
          </w:tcPr>
          <w:p>
            <w:pPr>
              <w:spacing w:before="60" w:after="60"/>
            </w:pPr>
            <w:r>
              <w:rPr>
                <w:rFonts w:ascii="Calibri" w:hAnsi="Calibri"/>
                <w:sz w:val="20"/>
              </w:rPr>
              <w:t>Code API &amp; Test (UAT); chuẩn bị hồ sơ đề nghị cấp mã hồi tố (tùy theo kết quả Phase 0); đào tạo Sales; tích hợp mapping hóa đơn → mã BĐS</w:t>
            </w:r>
          </w:p>
        </w:tc>
        <w:tc>
          <w:tcPr>
            <w:tcW w:type="dxa" w:w="2340"/>
          </w:tcPr>
          <w:p>
            <w:pPr>
              <w:spacing w:before="60" w:after="60"/>
            </w:pPr>
            <w:r>
              <w:rPr>
                <w:rFonts w:ascii="Calibri" w:hAnsi="Calibri"/>
                <w:sz w:val="20"/>
              </w:rPr>
              <w:t>API hoàn thành UAT; hồ sơ sẵn sàng nộp; 100% Sales được đào tạo</w:t>
            </w:r>
          </w:p>
        </w:tc>
      </w:tr>
      <w:tr>
        <w:tc>
          <w:tcPr>
            <w:tcW w:type="dxa" w:w="2340"/>
          </w:tcPr>
          <w:p>
            <w:pPr>
              <w:spacing w:before="60" w:after="60"/>
            </w:pPr>
            <w:r>
              <w:rPr>
                <w:rFonts w:ascii="Calibri" w:hAnsi="Calibri"/>
                <w:sz w:val="20"/>
              </w:rPr>
              <w:t>Phase 3 - Go-live</w:t>
            </w:r>
          </w:p>
        </w:tc>
        <w:tc>
          <w:tcPr>
            <w:tcW w:type="dxa" w:w="2340"/>
          </w:tcPr>
          <w:p>
            <w:pPr>
              <w:spacing w:before="60" w:after="60"/>
            </w:pPr>
            <w:r>
              <w:rPr>
                <w:rFonts w:ascii="Calibri" w:hAnsi="Calibri"/>
                <w:sz w:val="20"/>
              </w:rPr>
              <w:t>Ngày 61 - 90 (01/05 → 31/05)</w:t>
            </w:r>
          </w:p>
        </w:tc>
        <w:tc>
          <w:tcPr>
            <w:tcW w:type="dxa" w:w="2340"/>
          </w:tcPr>
          <w:p>
            <w:pPr>
              <w:spacing w:before="60" w:after="60"/>
            </w:pPr>
            <w:r>
              <w:rPr>
                <w:rFonts w:ascii="Calibri" w:hAnsi="Calibri"/>
                <w:sz w:val="20"/>
              </w:rPr>
              <w:t>Vận hành chính thức hệ thống mới (khi CQNN sẵn sàng); lập tổ trực chiến Helpdesk 24/7; đối soát dữ liệu lần 1</w:t>
            </w:r>
          </w:p>
        </w:tc>
        <w:tc>
          <w:tcPr>
            <w:tcW w:type="dxa" w:w="2340"/>
          </w:tcPr>
          <w:p>
            <w:pPr>
              <w:spacing w:before="60" w:after="60"/>
            </w:pPr>
            <w:r>
              <w:rPr>
                <w:rFonts w:ascii="Calibri" w:hAnsi="Calibri"/>
                <w:sz w:val="20"/>
              </w:rPr>
              <w:t>Hệ thống go-live (tùy tiến độ CQNN); Helpdesk hoạt động; báo cáo đối soát</w:t>
            </w:r>
          </w:p>
        </w:tc>
      </w:tr>
    </w:tbl>
    <w:p>
      <w:pPr>
        <w:spacing w:before="0" w:after="80"/>
      </w:pPr>
    </w:p>
    <w:p>
      <w:r>
        <w:rPr>
          <w:i/>
        </w:rPr>
        <w:t>Lưu ý: Lộ trình Phase 1-3 là dự kiến, sẽ được điều chỉnh theo kết quả khảo sát Phase 0 và tiến độ thực tế triển khai của Bộ Xây dựng tại các địa phương.</w:t>
      </w:r>
    </w:p>
    <w:p>
      <w:r>
        <w:rPr>
          <w:b/>
        </w:rPr>
        <w:t>Bảng khảo sát Phase 0 (mẫu gợi ý):</w:t>
      </w:r>
    </w:p>
    <w:p>
      <w:pPr>
        <w:spacing w:before="80" w:after="0"/>
      </w:pP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2E8F0" w:val="clear"/>
          </w:tcPr>
          <w:p>
            <w:pPr>
              <w:spacing w:before="60" w:after="60"/>
            </w:pPr>
            <w:r>
              <w:rPr>
                <w:rFonts w:ascii="Calibri" w:hAnsi="Calibri"/>
                <w:b/>
                <w:sz w:val="20"/>
              </w:rPr>
              <w:t>Vùng/Địa phương</w:t>
            </w:r>
          </w:p>
        </w:tc>
        <w:tc>
          <w:tcPr>
            <w:tcW w:type="dxa" w:w="1560"/>
            <w:shd w:fill="E2E8F0" w:val="clear"/>
          </w:tcPr>
          <w:p>
            <w:pPr>
              <w:spacing w:before="60" w:after="60"/>
            </w:pPr>
            <w:r>
              <w:rPr>
                <w:rFonts w:ascii="Calibri" w:hAnsi="Calibri"/>
                <w:b/>
                <w:sz w:val="20"/>
              </w:rPr>
              <w:t>Sở XD đã triển khai hệ thống?</w:t>
            </w:r>
          </w:p>
        </w:tc>
        <w:tc>
          <w:tcPr>
            <w:tcW w:type="dxa" w:w="1560"/>
            <w:shd w:fill="E2E8F0" w:val="clear"/>
          </w:tcPr>
          <w:p>
            <w:pPr>
              <w:spacing w:before="60" w:after="60"/>
            </w:pPr>
            <w:r>
              <w:rPr>
                <w:rFonts w:ascii="Calibri" w:hAnsi="Calibri"/>
                <w:b/>
                <w:sz w:val="20"/>
              </w:rPr>
              <w:t>Hệ thống phần mềm sẵn sàng?</w:t>
            </w:r>
          </w:p>
        </w:tc>
        <w:tc>
          <w:tcPr>
            <w:tcW w:type="dxa" w:w="1560"/>
            <w:shd w:fill="E2E8F0" w:val="clear"/>
          </w:tcPr>
          <w:p>
            <w:pPr>
              <w:spacing w:before="60" w:after="60"/>
            </w:pPr>
            <w:r>
              <w:rPr>
                <w:rFonts w:ascii="Calibri" w:hAnsi="Calibri"/>
                <w:b/>
                <w:sz w:val="20"/>
              </w:rPr>
              <w:t>Quy trình cấp mã đã hướng dẫn?</w:t>
            </w:r>
          </w:p>
        </w:tc>
        <w:tc>
          <w:tcPr>
            <w:tcW w:type="dxa" w:w="1560"/>
            <w:shd w:fill="E2E8F0" w:val="clear"/>
          </w:tcPr>
          <w:p>
            <w:pPr>
              <w:spacing w:before="60" w:after="60"/>
            </w:pPr>
            <w:r>
              <w:rPr>
                <w:rFonts w:ascii="Calibri" w:hAnsi="Calibri"/>
                <w:b/>
                <w:sz w:val="20"/>
              </w:rPr>
              <w:t>SLA dự kiến</w:t>
            </w:r>
          </w:p>
        </w:tc>
        <w:tc>
          <w:tcPr>
            <w:tcW w:type="dxa" w:w="1560"/>
            <w:shd w:fill="E2E8F0" w:val="clear"/>
          </w:tcPr>
          <w:p>
            <w:pPr>
              <w:spacing w:before="60" w:after="60"/>
            </w:pPr>
            <w:r>
              <w:rPr>
                <w:rFonts w:ascii="Calibri" w:hAnsi="Calibri"/>
                <w:b/>
                <w:sz w:val="20"/>
              </w:rPr>
              <w:t>Ghi chú</w:t>
            </w:r>
          </w:p>
        </w:tc>
      </w:tr>
      <w:tr>
        <w:tc>
          <w:tcPr>
            <w:tcW w:type="dxa" w:w="1560"/>
          </w:tcPr>
          <w:p>
            <w:pPr>
              <w:spacing w:before="60" w:after="60"/>
            </w:pPr>
            <w:r>
              <w:rPr>
                <w:rFonts w:ascii="Calibri" w:hAnsi="Calibri"/>
                <w:sz w:val="20"/>
              </w:rPr>
              <w:t>Quảng Ninh</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r>
        <w:tc>
          <w:tcPr>
            <w:tcW w:type="dxa" w:w="1560"/>
          </w:tcPr>
          <w:p>
            <w:pPr>
              <w:spacing w:before="60" w:after="60"/>
            </w:pPr>
            <w:r>
              <w:rPr>
                <w:rFonts w:ascii="Calibri" w:hAnsi="Calibri"/>
                <w:sz w:val="20"/>
              </w:rPr>
              <w:t>Hà Nội</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r>
        <w:tc>
          <w:tcPr>
            <w:tcW w:type="dxa" w:w="1560"/>
          </w:tcPr>
          <w:p>
            <w:pPr>
              <w:spacing w:before="60" w:after="60"/>
            </w:pPr>
            <w:r>
              <w:rPr>
                <w:rFonts w:ascii="Calibri" w:hAnsi="Calibri"/>
                <w:sz w:val="20"/>
              </w:rPr>
              <w:t>Ninh Bình</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r>
        <w:tc>
          <w:tcPr>
            <w:tcW w:type="dxa" w:w="1560"/>
          </w:tcPr>
          <w:p>
            <w:pPr>
              <w:spacing w:before="60" w:after="60"/>
            </w:pPr>
            <w:r>
              <w:rPr>
                <w:rFonts w:ascii="Calibri" w:hAnsi="Calibri"/>
                <w:sz w:val="20"/>
              </w:rPr>
              <w:t>Thanh Hóa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r>
        <w:tc>
          <w:tcPr>
            <w:tcW w:type="dxa" w:w="1560"/>
          </w:tcPr>
          <w:p>
            <w:pPr>
              <w:spacing w:before="60" w:after="60"/>
            </w:pPr>
            <w:r>
              <w:rPr>
                <w:rFonts w:ascii="Calibri" w:hAnsi="Calibri"/>
                <w:sz w:val="20"/>
              </w:rPr>
              <w:t>Đà Nẵng</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r>
        <w:tc>
          <w:tcPr>
            <w:tcW w:type="dxa" w:w="1560"/>
          </w:tcPr>
          <w:p>
            <w:pPr>
              <w:spacing w:before="60" w:after="60"/>
            </w:pPr>
            <w:r>
              <w:rPr>
                <w:rFonts w:ascii="Calibri" w:hAnsi="Calibri"/>
                <w:sz w:val="20"/>
              </w:rPr>
              <w:t>Nha Trang</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r>
        <w:tc>
          <w:tcPr>
            <w:tcW w:type="dxa" w:w="1560"/>
          </w:tcPr>
          <w:p>
            <w:pPr>
              <w:spacing w:before="60" w:after="60"/>
            </w:pPr>
            <w:r>
              <w:rPr>
                <w:rFonts w:ascii="Calibri" w:hAnsi="Calibri"/>
                <w:sz w:val="20"/>
              </w:rPr>
              <w:t>TPHCM</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r>
        <w:tc>
          <w:tcPr>
            <w:tcW w:type="dxa" w:w="1560"/>
          </w:tcPr>
          <w:p>
            <w:pPr>
              <w:spacing w:before="60" w:after="60"/>
            </w:pPr>
            <w:r>
              <w:rPr>
                <w:rFonts w:ascii="Calibri" w:hAnsi="Calibri"/>
                <w:sz w:val="20"/>
              </w:rPr>
              <w:t>Phú Quốc – An Giang</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 Có / ☐ Chưa</w:t>
            </w:r>
          </w:p>
        </w:tc>
        <w:tc>
          <w:tcPr>
            <w:tcW w:type="dxa" w:w="1560"/>
          </w:tcPr>
          <w:p>
            <w:pPr>
              <w:spacing w:before="60" w:after="60"/>
            </w:pPr>
            <w:r>
              <w:rPr>
                <w:rFonts w:ascii="Calibri" w:hAnsi="Calibri"/>
                <w:sz w:val="20"/>
              </w:rPr>
              <w:t>___ ngày</w:t>
            </w:r>
          </w:p>
        </w:tc>
        <w:tc>
          <w:tcPr>
            <w:tcW w:type="dxa" w:w="1560"/>
          </w:tcPr>
          <w:p>
            <w:pPr>
              <w:spacing w:before="60" w:after="60"/>
            </w:pPr>
            <w:r>
              <w:rPr>
                <w:rFonts w:ascii="Calibri" w:hAnsi="Calibri"/>
                <w:sz w:val="20"/>
              </w:rPr>
            </w:r>
          </w:p>
        </w:tc>
      </w:tr>
    </w:tbl>
    <w:p>
      <w:pPr>
        <w:spacing w:before="0" w:after="80"/>
      </w:pPr>
    </w:p>
    <w:p>
      <w:pPr>
        <w:pStyle w:val="Heading3"/>
        <w:spacing w:before="240" w:after="160"/>
      </w:pPr>
      <w:r>
        <w:rPr>
          <w:rFonts w:ascii="Calibri" w:hAnsi="Calibri" w:eastAsia="Calibri"/>
          <w:color w:val="1A1A2E"/>
          <w:sz w:val="32"/>
        </w:rPr>
        <w:t>5.4. Dự toán ngân sách</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Hạng mục</w:t>
            </w:r>
          </w:p>
        </w:tc>
        <w:tc>
          <w:tcPr>
            <w:tcW w:type="dxa" w:w="3120"/>
            <w:shd w:fill="E2E8F0" w:val="clear"/>
          </w:tcPr>
          <w:p>
            <w:pPr>
              <w:spacing w:before="60" w:after="60"/>
            </w:pPr>
            <w:r>
              <w:rPr>
                <w:rFonts w:ascii="Calibri" w:hAnsi="Calibri"/>
                <w:b/>
                <w:sz w:val="20"/>
              </w:rPr>
              <w:t>Chi phí ước tính</w:t>
            </w:r>
          </w:p>
        </w:tc>
        <w:tc>
          <w:tcPr>
            <w:tcW w:type="dxa" w:w="3120"/>
            <w:shd w:fill="E2E8F0" w:val="clear"/>
          </w:tcPr>
          <w:p>
            <w:pPr>
              <w:spacing w:before="60" w:after="60"/>
            </w:pPr>
            <w:r>
              <w:rPr>
                <w:rFonts w:ascii="Calibri" w:hAnsi="Calibri"/>
                <w:b/>
                <w:sz w:val="20"/>
              </w:rPr>
              <w:t>Ghi chú</w:t>
            </w:r>
          </w:p>
        </w:tc>
      </w:tr>
      <w:tr>
        <w:tc>
          <w:tcPr>
            <w:tcW w:type="dxa" w:w="3120"/>
          </w:tcPr>
          <w:p>
            <w:pPr>
              <w:spacing w:before="60" w:after="60"/>
            </w:pPr>
            <w:r>
              <w:rPr>
                <w:rFonts w:ascii="Calibri" w:hAnsi="Calibri"/>
                <w:sz w:val="20"/>
              </w:rPr>
              <w:t>Nâng cấp server/hạ tầng cloud</w:t>
            </w:r>
          </w:p>
        </w:tc>
        <w:tc>
          <w:tcPr>
            <w:tcW w:type="dxa" w:w="3120"/>
          </w:tcPr>
          <w:p>
            <w:pPr>
              <w:spacing w:before="60" w:after="60"/>
            </w:pPr>
            <w:r>
              <w:rPr>
                <w:rFonts w:ascii="Calibri" w:hAnsi="Calibri"/>
                <w:sz w:val="20"/>
              </w:rPr>
              <w:t>Theo đề xuất của Ban CNTT, DEC</w:t>
            </w:r>
          </w:p>
        </w:tc>
        <w:tc>
          <w:tcPr>
            <w:tcW w:type="dxa" w:w="3120"/>
          </w:tcPr>
          <w:p>
            <w:pPr>
              <w:spacing w:before="60" w:after="60"/>
            </w:pPr>
            <w:r>
              <w:rPr>
                <w:rFonts w:ascii="Calibri" w:hAnsi="Calibri"/>
                <w:sz w:val="20"/>
              </w:rPr>
              <w:t>Tính toán dựa trên khối lượng dữ liệu thực tế</w:t>
            </w:r>
          </w:p>
        </w:tc>
      </w:tr>
      <w:tr>
        <w:tc>
          <w:tcPr>
            <w:tcW w:type="dxa" w:w="3120"/>
          </w:tcPr>
          <w:p>
            <w:pPr>
              <w:spacing w:before="60" w:after="60"/>
            </w:pPr>
            <w:r>
              <w:rPr>
                <w:rFonts w:ascii="Calibri" w:hAnsi="Calibri"/>
                <w:sz w:val="20"/>
              </w:rPr>
              <w:t>Phát triển module API (outsource + in-house)</w:t>
            </w:r>
          </w:p>
        </w:tc>
        <w:tc>
          <w:tcPr>
            <w:tcW w:type="dxa" w:w="3120"/>
          </w:tcPr>
          <w:p>
            <w:pPr>
              <w:spacing w:before="60" w:after="60"/>
            </w:pPr>
            <w:r>
              <w:rPr>
                <w:rFonts w:ascii="Calibri" w:hAnsi="Calibri"/>
                <w:sz w:val="20"/>
              </w:rPr>
              <w:t>Theo đề xuất của Ban CNTT, DEC</w:t>
            </w:r>
          </w:p>
        </w:tc>
        <w:tc>
          <w:tcPr>
            <w:tcW w:type="dxa" w:w="3120"/>
          </w:tcPr>
          <w:p>
            <w:pPr>
              <w:spacing w:before="60" w:after="60"/>
            </w:pPr>
            <w:r>
              <w:rPr>
                <w:rFonts w:ascii="Calibri" w:hAnsi="Calibri"/>
                <w:sz w:val="20"/>
              </w:rPr>
              <w:t>Ưu tiên đội ngũ nội bộ</w:t>
            </w:r>
          </w:p>
        </w:tc>
      </w:tr>
      <w:tr>
        <w:tc>
          <w:tcPr>
            <w:tcW w:type="dxa" w:w="3120"/>
          </w:tcPr>
          <w:p>
            <w:pPr>
              <w:spacing w:before="60" w:after="60"/>
            </w:pPr>
            <w:r>
              <w:rPr>
                <w:rFonts w:ascii="Calibri" w:hAnsi="Calibri"/>
                <w:sz w:val="20"/>
              </w:rPr>
              <w:t>Chi phí truyền thông NĐ 357</w:t>
            </w:r>
          </w:p>
        </w:tc>
        <w:tc>
          <w:tcPr>
            <w:tcW w:type="dxa" w:w="3120"/>
          </w:tcPr>
          <w:p>
            <w:pPr>
              <w:spacing w:before="60" w:after="60"/>
            </w:pPr>
            <w:r>
              <w:rPr>
                <w:rFonts w:ascii="Calibri" w:hAnsi="Calibri"/>
                <w:sz w:val="20"/>
              </w:rPr>
              <w:t>Theo đề xuất của SPG, Marcom</w:t>
            </w:r>
          </w:p>
        </w:tc>
        <w:tc>
          <w:tcPr>
            <w:tcW w:type="dxa" w:w="3120"/>
          </w:tcPr>
          <w:p>
            <w:pPr>
              <w:spacing w:before="60" w:after="60"/>
            </w:pPr>
            <w:r>
              <w:rPr>
                <w:rFonts w:ascii="Calibri" w:hAnsi="Calibri"/>
                <w:sz w:val="20"/>
              </w:rPr>
              <w:t>Campaign “Định danh BĐS” trên kênh digital + offline</w:t>
            </w:r>
          </w:p>
        </w:tc>
      </w:tr>
      <w:tr>
        <w:tc>
          <w:tcPr>
            <w:tcW w:type="dxa" w:w="3120"/>
          </w:tcPr>
          <w:p>
            <w:pPr>
              <w:spacing w:before="60" w:after="60"/>
            </w:pPr>
            <w:r>
              <w:rPr>
                <w:rFonts w:ascii="Calibri" w:hAnsi="Calibri"/>
                <w:sz w:val="20"/>
              </w:rPr>
              <w:t>Tổ chức thi chứng chỉ môi giới</w:t>
            </w:r>
          </w:p>
        </w:tc>
        <w:tc>
          <w:tcPr>
            <w:tcW w:type="dxa" w:w="3120"/>
          </w:tcPr>
          <w:p>
            <w:pPr>
              <w:spacing w:before="60" w:after="60"/>
            </w:pPr>
            <w:r>
              <w:rPr>
                <w:rFonts w:ascii="Calibri" w:hAnsi="Calibri"/>
                <w:sz w:val="20"/>
              </w:rPr>
              <w:t>Phối hợp cơ sở đào tạo</w:t>
            </w:r>
          </w:p>
        </w:tc>
        <w:tc>
          <w:tcPr>
            <w:tcW w:type="dxa" w:w="3120"/>
          </w:tcPr>
          <w:p>
            <w:pPr>
              <w:spacing w:before="60" w:after="60"/>
            </w:pPr>
            <w:r>
              <w:rPr>
                <w:rFonts w:ascii="Calibri" w:hAnsi="Calibri"/>
                <w:sz w:val="20"/>
              </w:rPr>
              <w:t>Đàm phán gói đào tạo theo số lượng</w:t>
            </w:r>
          </w:p>
        </w:tc>
      </w:tr>
      <w:tr>
        <w:tc>
          <w:tcPr>
            <w:tcW w:type="dxa" w:w="3120"/>
          </w:tcPr>
          <w:p>
            <w:pPr>
              <w:spacing w:before="60" w:after="60"/>
            </w:pPr>
            <w:r>
              <w:rPr>
                <w:rFonts w:ascii="Calibri" w:hAnsi="Calibri"/>
                <w:sz w:val="20"/>
              </w:rPr>
              <w:t>Tư vấn pháp lý bên ngoài</w:t>
            </w:r>
          </w:p>
        </w:tc>
        <w:tc>
          <w:tcPr>
            <w:tcW w:type="dxa" w:w="3120"/>
          </w:tcPr>
          <w:p>
            <w:pPr>
              <w:spacing w:before="60" w:after="60"/>
            </w:pPr>
            <w:r>
              <w:rPr>
                <w:rFonts w:ascii="Calibri" w:hAnsi="Calibri"/>
                <w:sz w:val="20"/>
              </w:rPr>
              <w:t>Theo đề xuất Ban Pháp chế</w:t>
            </w:r>
          </w:p>
        </w:tc>
        <w:tc>
          <w:tcPr>
            <w:tcW w:type="dxa" w:w="3120"/>
          </w:tcPr>
          <w:p>
            <w:pPr>
              <w:spacing w:before="60" w:after="60"/>
            </w:pPr>
            <w:r>
              <w:rPr>
                <w:rFonts w:ascii="Calibri" w:hAnsi="Calibri"/>
                <w:sz w:val="20"/>
              </w:rPr>
              <w:t>Luật sư tư vấn sản phẩm đặc thù (condotel, timeshare)</w:t>
            </w:r>
          </w:p>
        </w:tc>
      </w:tr>
    </w:tbl>
    <w:p>
      <w:pPr>
        <w:spacing w:before="0" w:after="80"/>
      </w:pPr>
    </w:p>
    <w:p>
      <w:pPr>
        <w:pStyle w:val="Heading3"/>
        <w:spacing w:before="240" w:after="160"/>
      </w:pPr>
      <w:r>
        <w:rPr>
          <w:rFonts w:ascii="Calibri" w:hAnsi="Calibri" w:eastAsia="Calibri"/>
          <w:color w:val="1A1A2E"/>
          <w:sz w:val="32"/>
        </w:rPr>
        <w:t>5.5. Cơ chế báo cáo tiến độ và theo dõi</w:t>
      </w:r>
    </w:p>
    <w:p>
      <w:pPr>
        <w:spacing w:after="40" w:before="20"/>
        <w:ind w:left="720" w:hanging="357"/>
      </w:pPr>
      <w:r>
        <w:rPr>
          <w:sz w:val="20"/>
        </w:rPr>
        <w:t xml:space="preserve">• </w:t>
      </w:r>
      <w:r>
        <w:rPr>
          <w:b/>
        </w:rPr>
        <w:t>Tần suất báo cáo:</w:t>
      </w:r>
      <w:r>
        <w:t>02 tuần/lần.</w:t>
      </w:r>
    </w:p>
    <w:p>
      <w:pPr>
        <w:spacing w:after="40" w:before="20"/>
        <w:ind w:left="720" w:hanging="357"/>
      </w:pPr>
      <w:r>
        <w:rPr>
          <w:sz w:val="20"/>
        </w:rPr>
        <w:t xml:space="preserve">• </w:t>
      </w:r>
      <w:r>
        <w:rPr>
          <w:b/>
        </w:rPr>
        <w:t>Dashboard theo dõi:</w:t>
      </w:r>
      <w:r>
        <w:t>% hoàn thành theo RACI Matrix, kết quả khảo sát Phase 0, số lượng mã đã được CQNN cấp, số đại lý đạt chuẩn, trạng thái API.</w:t>
      </w:r>
    </w:p>
    <w:p>
      <w:pPr>
        <w:spacing w:after="40" w:before="20"/>
        <w:ind w:left="720" w:hanging="357"/>
      </w:pPr>
      <w:r>
        <w:rPr>
          <w:sz w:val="20"/>
        </w:rPr>
        <w:t xml:space="preserve">• </w:t>
      </w:r>
      <w:r>
        <w:rPr>
          <w:b/>
        </w:rPr>
        <w:t>Escalation path:</w:t>
      </w:r>
      <w:r>
        <w:t>Task Force 357 → Phó TGĐ phụ trách → TGĐ.</w:t>
      </w:r>
    </w:p>
    <w:p>
      <w:pPr>
        <w:spacing w:after="40" w:before="20"/>
        <w:ind w:left="720" w:hanging="357"/>
      </w:pPr>
      <w:r>
        <w:rPr>
          <w:sz w:val="20"/>
        </w:rPr>
        <w:t xml:space="preserve">• </w:t>
      </w:r>
      <w:r>
        <w:rPr>
          <w:b/>
        </w:rPr>
        <w:t>Cuộc họp review:</w:t>
      </w:r>
      <w:r>
        <w:t>Mỗi cuối Phase, Task Force trình báo cáo tổng hợp lên TGĐ.</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6. Kết luận và đề xuất</w:t>
      </w:r>
    </w:p>
    <w:p>
      <w:pPr>
        <w:pStyle w:val="Heading3"/>
        <w:spacing w:before="240" w:after="160"/>
      </w:pPr>
      <w:r>
        <w:rPr>
          <w:rFonts w:ascii="Calibri" w:hAnsi="Calibri" w:eastAsia="Calibri"/>
          <w:color w:val="1A1A2E"/>
          <w:sz w:val="32"/>
        </w:rPr>
        <w:t>6.1. Kết luận</w:t>
      </w:r>
    </w:p>
    <w:p>
      <w:r>
        <w:t>Nghị định 357/2025/NĐ-CP đánh dấu bước ngoặt trong quản trị thị trường bất động sản Việt Nam. Với hệ thống mã định danh điện tử, liên thông CSDL quốc gia và cơ chế truy vết giao dịch toàn diện, NĐ 357 sẽ tái định hình cách thức chủ đầu tư, đại lý và cá nhân tham gia thị trường.</w:t>
      </w:r>
    </w:p>
    <w:p>
      <w:r>
        <w:t>Đối với Tập đoàn Sun Group, nghị định này mang đến thách thức vận hành ngắn hạn (áp lực chuẩn bị hồ sơ cho CQNN cấp mã, rủi ro biến động nhân sự phân phối và kênh referral, yêu cầu nâng cấp công nghệ, thay đổi quy trình bán hàng) nhưng đồng thời tạo ra cơ hội chiến lược dài hạn. Cần lưu ý rằng đối với ngành BĐS nói chung, NĐ 357 là lực tái cấu trúc mang tính rủi ro — đẩy nhanh minh bạch hóa theo hướng chuẩn Châu Âu, có thể thay đổi cơ cấu thị trường. Tuy nhiên, nếu minh bạch hóa là xu thế không thể đảo ngược, việc đi trước trong chuẩn bị hạ tầng sẽ tạo lợi thế cạnh tranh bền vững.</w:t>
      </w:r>
    </w:p>
    <w:p>
      <w:r>
        <w:t>Về ứng dụng blockchain, đây là cơ hội về công cụ/hạ tầng công nghệ bổ trợ — giúp xây dựng lớp xác thực bất biến cho dữ liệu BĐS. Tuy nhiên, năng lực blockchain nội bộ (bao gồm VNDA) cần được đánh giá kỹ trước khi đưa vào kế hoạch triển khai chính thức.</w:t>
      </w:r>
    </w:p>
    <w:p>
      <w:r>
        <w:t>Đặc biệt, kế hoạch triển khai cần được xây dựng trên cơ sở thực tế — thông qua khảo sát hiện trạng tại các Sở Xây dựng địa phương (Phase 0) — thay vì dựa trên giả định về thời điểm hệ thống quốc gia sẵn sàng.</w:t>
      </w:r>
    </w:p>
    <w:p>
      <w:pPr>
        <w:pStyle w:val="Heading3"/>
        <w:spacing w:before="240" w:after="160"/>
      </w:pPr>
      <w:r>
        <w:rPr>
          <w:rFonts w:ascii="Calibri" w:hAnsi="Calibri" w:eastAsia="Calibri"/>
          <w:color w:val="1A1A2E"/>
          <w:sz w:val="32"/>
        </w:rPr>
        <w:t>6.2. Đề xuất triển khai</w:t>
      </w:r>
    </w:p>
    <w:p>
      <w:r>
        <w:t>Căn cứ các rủi ro đã nhận diện và dựa trên định hướng “Tiên phong chuẩn bị trong kỷ nguyên vươn mình”, Tổ soạn thảo kính đề nghị Ban Lãnh đạo xem xét, chỉ đạo thực hiện các nội dung trọng tâm sau:</w:t>
      </w:r>
    </w:p>
    <w:p>
      <w:pPr>
        <w:spacing w:after="40" w:before="20"/>
        <w:ind w:left="720" w:hanging="357"/>
      </w:pPr>
      <w:r>
        <w:t xml:space="preserve">1. </w:t>
      </w:r>
      <w:r>
        <w:rPr>
          <w:b/>
        </w:rPr>
        <w:t>Về mặt tổ chức:</w:t>
      </w:r>
      <w:r>
        <w:t>Đề xuất phê duyệt thành lập Tổ công tác đặc biệt (Task Force 357) dưới sự chỉ đạo trực tiếp của TGĐ và sự tham gia liên đơn vị.</w:t>
      </w:r>
    </w:p>
    <w:p>
      <w:pPr>
        <w:spacing w:after="40" w:before="20"/>
        <w:ind w:left="720" w:hanging="357"/>
      </w:pPr>
      <w:r>
        <w:t xml:space="preserve">2. </w:t>
      </w:r>
      <w:r>
        <w:rPr>
          <w:b/>
        </w:rPr>
        <w:t>Về khảo sát thực tế (Phase 0):</w:t>
      </w:r>
      <w:r>
        <w:t>Giao PTDA các Vùng/Khu vực phối hợp Ban Pháp chế thu thập thông tin thực tế triển khai NĐ 357 tại các Sở Xây dựng địa phương trong vòng 14 ngày, làm cơ sở xây dựng kế hoạch triển khai phù hợp với từng địa phương.</w:t>
      </w:r>
    </w:p>
    <w:p>
      <w:pPr>
        <w:spacing w:after="40" w:before="20"/>
        <w:ind w:left="720" w:hanging="357"/>
      </w:pPr>
      <w:r>
        <w:t xml:space="preserve">3. </w:t>
      </w:r>
      <w:r>
        <w:rPr>
          <w:b/>
        </w:rPr>
        <w:t>Về mặt kinh doanh:</w:t>
      </w:r>
      <w:r>
        <w:t>Kính trình TGĐ chỉ đạo SPG đầu mối phối hợp với Ban Pháp chế ban hành thông báo yêu cầu đại lý F1/F2 rà soát tỷ lệ nhân viên có chứng chỉ hành nghề kèm mã định danh, đồng thời đánh giá tác động lên kênh phân phối phi chính thức (KH giới thiệu KH).</w:t>
      </w:r>
    </w:p>
    <w:p>
      <w:pPr>
        <w:spacing w:after="40" w:before="20"/>
        <w:ind w:left="720" w:hanging="357"/>
      </w:pPr>
      <w:r>
        <w:t xml:space="preserve">4. </w:t>
      </w:r>
      <w:r>
        <w:rPr>
          <w:b/>
        </w:rPr>
        <w:t>Về mặt công nghệ - tài chính:</w:t>
      </w:r>
      <w:r>
        <w:t>Đề xuất BLĐ phê duyệt bổ sung danh mục dự án và ngân sách tổng thể cho việc nâng cấp hạ tầng (API Gateway) và tái cấu trúc luồng lưu trữ trên CRM, SAP. Đề nghị Phòng Nguồn vốn – Ban Tài chính Tập đoàn tham gia đánh giá tác động đến hoạt động tín dụng, thế chấp BĐS.</w:t>
      </w:r>
    </w:p>
    <w:p>
      <w:pPr>
        <w:spacing w:after="40" w:before="20"/>
        <w:ind w:left="720" w:hanging="357"/>
      </w:pPr>
      <w:r>
        <w:t xml:space="preserve">5. </w:t>
      </w:r>
      <w:r>
        <w:rPr>
          <w:b/>
        </w:rPr>
        <w:t>Về kế hoạch hành động:</w:t>
      </w:r>
      <w:r>
        <w:t>Đề xuất BLĐ thông qua lộ trình thực thi Phase 0 → 30-60-90 (điều chỉnh theo thực tế) cùng kịch bản dự phòng kinh doanh liên tục (BCP) nhằm đảm bảo hoạt động bán hàng không bị đình trệ.</w:t>
      </w:r>
    </w:p>
    <w:p>
      <w:pPr>
        <w:spacing w:after="40" w:before="20"/>
        <w:ind w:left="720" w:hanging="357"/>
      </w:pPr>
      <w:r>
        <w:t xml:space="preserve">6. </w:t>
      </w:r>
      <w:r>
        <w:rPr>
          <w:b/>
        </w:rPr>
        <w:t>Về ứng dụng công nghệ blockchain:</w:t>
      </w:r>
      <w:r>
        <w:t>Đề xuất BLĐ phê duyệt chủ trương giao Ban CNTT phối hợp DEC nghiên cứu khả thi ứng dụng blockchain cho hạ tầng định danh BĐS nội bộ, bao gồm đánh giá năng lực thực tế của VNDA và xem xét các phương án tổ chức phù hợp.</w:t>
      </w:r>
    </w:p>
    <w:p>
      <w:pPr>
        <w:spacing w:before="120" w:after="120"/>
        <w:pBdr>
          <w:bottom w:val="single" w:sz="12" w:space="1" w:color="CCCCCC"/>
        </w:pBdr>
      </w:pPr>
    </w:p>
    <w:p>
      <w:pPr>
        <w:pStyle w:val="Heading2"/>
        <w:spacing w:before="360" w:after="160"/>
      </w:pPr>
      <w:r>
        <w:rPr>
          <w:rFonts w:ascii="Calibri" w:hAnsi="Calibri" w:eastAsia="Calibri"/>
          <w:color w:val="1A1A2E"/>
          <w:sz w:val="36"/>
        </w:rPr>
        <w:t>Phần phụ lục - Cơ sở phương pháp luận, pháp lý và tài liệu kỹ thuật chi tiết</w:t>
      </w:r>
    </w:p>
    <w:p>
      <w:r>
        <w:rPr>
          <w:i/>
        </w:rPr>
        <w:t>Cung cấp thông tin chi tiết để hiểu rõ hơn về phương pháp luận và cơ sở phân tích.</w:t>
      </w:r>
    </w:p>
    <w:p>
      <w:pPr>
        <w:pStyle w:val="Heading3"/>
        <w:spacing w:before="240" w:after="160"/>
      </w:pPr>
      <w:r>
        <w:rPr>
          <w:rFonts w:ascii="Calibri" w:hAnsi="Calibri" w:eastAsia="Calibri"/>
          <w:color w:val="1A1A2E"/>
          <w:sz w:val="32"/>
        </w:rPr>
        <w:t>Phụ lục A: Cơ sở pháp lý và tìm hiểu quy định</w:t>
      </w:r>
    </w:p>
    <w:p>
      <w:pPr>
        <w:pStyle w:val="Heading4"/>
        <w:spacing w:before="240" w:after="160"/>
      </w:pPr>
      <w:r>
        <w:rPr>
          <w:rFonts w:ascii="Calibri" w:hAnsi="Calibri" w:eastAsia="Calibri"/>
          <w:color w:val="1A1A2E"/>
          <w:sz w:val="28"/>
        </w:rPr>
        <w:t>A.1. Bảng giải nghĩa thuật ngữ</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Thuật ngữ</w:t>
            </w:r>
          </w:p>
        </w:tc>
        <w:tc>
          <w:tcPr>
            <w:tcW w:type="dxa" w:w="3120"/>
            <w:shd w:fill="E2E8F0" w:val="clear"/>
          </w:tcPr>
          <w:p>
            <w:pPr>
              <w:spacing w:before="60" w:after="60"/>
            </w:pPr>
            <w:r>
              <w:rPr>
                <w:rFonts w:ascii="Calibri" w:hAnsi="Calibri"/>
                <w:b/>
                <w:sz w:val="20"/>
              </w:rPr>
              <w:t>Định nghĩa theo NĐ 357</w:t>
            </w:r>
          </w:p>
        </w:tc>
        <w:tc>
          <w:tcPr>
            <w:tcW w:type="dxa" w:w="3120"/>
            <w:shd w:fill="E2E8F0" w:val="clear"/>
          </w:tcPr>
          <w:p>
            <w:pPr>
              <w:spacing w:before="60" w:after="60"/>
            </w:pPr>
            <w:r>
              <w:rPr>
                <w:rFonts w:ascii="Calibri" w:hAnsi="Calibri"/>
                <w:b/>
                <w:sz w:val="20"/>
              </w:rPr>
              <w:t>Điều/khoản</w:t>
            </w:r>
          </w:p>
        </w:tc>
      </w:tr>
      <w:tr>
        <w:tc>
          <w:tcPr>
            <w:tcW w:type="dxa" w:w="3120"/>
          </w:tcPr>
          <w:p>
            <w:pPr>
              <w:spacing w:before="60" w:after="60"/>
            </w:pPr>
            <w:r>
              <w:rPr>
                <w:rFonts w:ascii="Calibri" w:hAnsi="Calibri"/>
                <w:sz w:val="20"/>
              </w:rPr>
              <w:t>Mã định danh điện tử sản phẩm BĐS</w:t>
            </w:r>
          </w:p>
        </w:tc>
        <w:tc>
          <w:tcPr>
            <w:tcW w:type="dxa" w:w="3120"/>
          </w:tcPr>
          <w:p>
            <w:pPr>
              <w:spacing w:before="60" w:after="60"/>
            </w:pPr>
            <w:r>
              <w:rPr>
                <w:rFonts w:ascii="Calibri" w:hAnsi="Calibri"/>
                <w:sz w:val="20"/>
              </w:rPr>
              <w:t>Chuỗi ký tự số và chữ tối đa 40 ký tự, cấp riêng cho mỗi căn nhà hoặc BĐS trong công trình xây dựng</w:t>
            </w:r>
          </w:p>
        </w:tc>
        <w:tc>
          <w:tcPr>
            <w:tcW w:type="dxa" w:w="3120"/>
          </w:tcPr>
          <w:p>
            <w:pPr>
              <w:spacing w:before="60" w:after="60"/>
            </w:pPr>
            <w:r>
              <w:rPr>
                <w:rFonts w:ascii="Calibri" w:hAnsi="Calibri"/>
                <w:sz w:val="20"/>
              </w:rPr>
              <w:t>Điều 3 khoản 5</w:t>
            </w:r>
          </w:p>
        </w:tc>
      </w:tr>
      <w:tr>
        <w:tc>
          <w:tcPr>
            <w:tcW w:type="dxa" w:w="3120"/>
          </w:tcPr>
          <w:p>
            <w:pPr>
              <w:spacing w:before="60" w:after="60"/>
            </w:pPr>
            <w:r>
              <w:rPr>
                <w:rFonts w:ascii="Calibri" w:hAnsi="Calibri"/>
                <w:sz w:val="20"/>
              </w:rPr>
              <w:t>Tồn kho bất động sản</w:t>
            </w:r>
          </w:p>
        </w:tc>
        <w:tc>
          <w:tcPr>
            <w:tcW w:type="dxa" w:w="3120"/>
          </w:tcPr>
          <w:p>
            <w:pPr>
              <w:spacing w:before="60" w:after="60"/>
            </w:pPr>
            <w:r>
              <w:rPr>
                <w:rFonts w:ascii="Calibri" w:hAnsi="Calibri"/>
                <w:sz w:val="20"/>
              </w:rPr>
              <w:t>Số lượng, tổng giá trị BĐS đủ điều kiện kinh doanh nhưng chưa giao dịch</w:t>
            </w:r>
          </w:p>
        </w:tc>
        <w:tc>
          <w:tcPr>
            <w:tcW w:type="dxa" w:w="3120"/>
          </w:tcPr>
          <w:p>
            <w:pPr>
              <w:spacing w:before="60" w:after="60"/>
            </w:pPr>
            <w:r>
              <w:rPr>
                <w:rFonts w:ascii="Calibri" w:hAnsi="Calibri"/>
                <w:sz w:val="20"/>
              </w:rPr>
              <w:t>Điều 3 khoản 1</w:t>
            </w:r>
          </w:p>
        </w:tc>
      </w:tr>
      <w:tr>
        <w:tc>
          <w:tcPr>
            <w:tcW w:type="dxa" w:w="3120"/>
          </w:tcPr>
          <w:p>
            <w:pPr>
              <w:spacing w:before="60" w:after="60"/>
            </w:pPr>
            <w:r>
              <w:rPr>
                <w:rFonts w:ascii="Calibri" w:hAnsi="Calibri"/>
                <w:sz w:val="20"/>
              </w:rPr>
              <w:t>Giao diện lập trình ứng dụng (API)</w:t>
            </w:r>
          </w:p>
        </w:tc>
        <w:tc>
          <w:tcPr>
            <w:tcW w:type="dxa" w:w="3120"/>
          </w:tcPr>
          <w:p>
            <w:pPr>
              <w:spacing w:before="60" w:after="60"/>
            </w:pPr>
            <w:r>
              <w:rPr>
                <w:rFonts w:ascii="Calibri" w:hAnsi="Calibri"/>
                <w:sz w:val="20"/>
              </w:rPr>
              <w:t>Giao diện phục vụ kết nối, chia sẻ thông tin giữa các hệ thống</w:t>
            </w:r>
          </w:p>
        </w:tc>
        <w:tc>
          <w:tcPr>
            <w:tcW w:type="dxa" w:w="3120"/>
          </w:tcPr>
          <w:p>
            <w:pPr>
              <w:spacing w:before="60" w:after="60"/>
            </w:pPr>
            <w:r>
              <w:rPr>
                <w:rFonts w:ascii="Calibri" w:hAnsi="Calibri"/>
                <w:sz w:val="20"/>
              </w:rPr>
              <w:t>Điều 3 khoản 2</w:t>
            </w:r>
          </w:p>
        </w:tc>
      </w:tr>
      <w:tr>
        <w:tc>
          <w:tcPr>
            <w:tcW w:type="dxa" w:w="3120"/>
          </w:tcPr>
          <w:p>
            <w:pPr>
              <w:spacing w:before="60" w:after="60"/>
            </w:pPr>
            <w:r>
              <w:rPr>
                <w:rFonts w:ascii="Calibri" w:hAnsi="Calibri"/>
                <w:sz w:val="20"/>
              </w:rPr>
              <w:t>Tài khoản định danh điện tử</w:t>
            </w:r>
          </w:p>
        </w:tc>
        <w:tc>
          <w:tcPr>
            <w:tcW w:type="dxa" w:w="3120"/>
          </w:tcPr>
          <w:p>
            <w:pPr>
              <w:spacing w:before="60" w:after="60"/>
            </w:pPr>
            <w:r>
              <w:rPr>
                <w:rFonts w:ascii="Calibri" w:hAnsi="Calibri"/>
                <w:sz w:val="20"/>
              </w:rPr>
              <w:t>Tập hợp thông tin định danh (tên đăng nhập, mật khẩu) tạo lập trên cơ sở số định danh cá nhân/tổ chức</w:t>
            </w:r>
          </w:p>
        </w:tc>
        <w:tc>
          <w:tcPr>
            <w:tcW w:type="dxa" w:w="3120"/>
          </w:tcPr>
          <w:p>
            <w:pPr>
              <w:spacing w:before="60" w:after="60"/>
            </w:pPr>
            <w:r>
              <w:rPr>
                <w:rFonts w:ascii="Calibri" w:hAnsi="Calibri"/>
                <w:sz w:val="20"/>
              </w:rPr>
              <w:t>Điều 3 khoản 4</w:t>
            </w:r>
          </w:p>
        </w:tc>
      </w:tr>
      <w:tr>
        <w:tc>
          <w:tcPr>
            <w:tcW w:type="dxa" w:w="3120"/>
          </w:tcPr>
          <w:p>
            <w:pPr>
              <w:spacing w:before="60" w:after="60"/>
            </w:pPr>
            <w:r>
              <w:rPr>
                <w:rFonts w:ascii="Calibri" w:hAnsi="Calibri"/>
                <w:sz w:val="20"/>
              </w:rPr>
              <w:t>Định danh điện tử</w:t>
            </w:r>
          </w:p>
        </w:tc>
        <w:tc>
          <w:tcPr>
            <w:tcW w:type="dxa" w:w="3120"/>
          </w:tcPr>
          <w:p>
            <w:pPr>
              <w:spacing w:before="60" w:after="60"/>
            </w:pPr>
            <w:r>
              <w:rPr>
                <w:rFonts w:ascii="Calibri" w:hAnsi="Calibri"/>
                <w:sz w:val="20"/>
              </w:rPr>
              <w:t>Hoạt động đăng ký, đối soát, tạo lập và gắn thông tin cho thửa đất, căn nhà hoặc chủ thể tham gia giao dịch</w:t>
            </w:r>
          </w:p>
        </w:tc>
        <w:tc>
          <w:tcPr>
            <w:tcW w:type="dxa" w:w="3120"/>
          </w:tcPr>
          <w:p>
            <w:pPr>
              <w:spacing w:before="60" w:after="60"/>
            </w:pPr>
            <w:r>
              <w:rPr>
                <w:rFonts w:ascii="Calibri" w:hAnsi="Calibri"/>
                <w:sz w:val="20"/>
              </w:rPr>
              <w:t>Điều 3 khoản 3</w:t>
            </w:r>
          </w:p>
        </w:tc>
      </w:tr>
    </w:tbl>
    <w:p>
      <w:pPr>
        <w:spacing w:before="0" w:after="80"/>
      </w:pPr>
    </w:p>
    <w:p>
      <w:pPr>
        <w:pStyle w:val="Heading4"/>
        <w:spacing w:before="240" w:after="160"/>
      </w:pPr>
      <w:r>
        <w:rPr>
          <w:rFonts w:ascii="Calibri" w:hAnsi="Calibri" w:eastAsia="Calibri"/>
          <w:color w:val="1A1A2E"/>
          <w:sz w:val="28"/>
        </w:rPr>
        <w:t>A.2. Phạm vi điều chỉnh và phân loại đối tượng</w:t>
      </w:r>
    </w:p>
    <w:p>
      <w:r>
        <w:rPr>
          <w:b/>
        </w:rPr>
        <w:t>Đối tượng chịu tác động trực tiếp (theo Điều 2):</w:t>
      </w:r>
    </w:p>
    <w:p>
      <w:pPr>
        <w:spacing w:after="40" w:before="20"/>
        <w:ind w:left="720" w:hanging="357"/>
      </w:pPr>
      <w:r>
        <w:rPr>
          <w:sz w:val="20"/>
        </w:rPr>
        <w:t xml:space="preserve">• </w:t>
      </w:r>
      <w:r>
        <w:t>Chủ đầu tư dự án BĐS (Điều 30)</w:t>
      </w:r>
    </w:p>
    <w:p>
      <w:pPr>
        <w:spacing w:after="40" w:before="20"/>
        <w:ind w:left="720" w:hanging="357"/>
      </w:pPr>
      <w:r>
        <w:rPr>
          <w:sz w:val="20"/>
        </w:rPr>
        <w:t xml:space="preserve">• </w:t>
      </w:r>
      <w:r>
        <w:t>Tổ chức kinh doanh dịch vụ BĐS - sàn giao dịch, môi giới, tư vấn (Điều 22)</w:t>
      </w:r>
    </w:p>
    <w:p>
      <w:pPr>
        <w:spacing w:after="40" w:before="20"/>
        <w:ind w:left="720" w:hanging="357"/>
      </w:pPr>
      <w:r>
        <w:rPr>
          <w:sz w:val="20"/>
        </w:rPr>
        <w:t xml:space="preserve">• </w:t>
      </w:r>
      <w:r>
        <w:t>Đơn vị quản lý vận hành nhà chung cư (Điều 25)</w:t>
      </w:r>
    </w:p>
    <w:p>
      <w:pPr>
        <w:spacing w:after="40" w:before="20"/>
        <w:ind w:left="720" w:hanging="357"/>
      </w:pPr>
      <w:r>
        <w:rPr>
          <w:sz w:val="20"/>
        </w:rPr>
        <w:t xml:space="preserve">• </w:t>
      </w:r>
      <w:r>
        <w:t>Cá nhân hành nghề môi giới BĐS (Điều 23)</w:t>
      </w:r>
    </w:p>
    <w:p>
      <w:pPr>
        <w:spacing w:after="40" w:before="20"/>
        <w:ind w:left="720" w:hanging="357"/>
      </w:pPr>
      <w:r>
        <w:rPr>
          <w:sz w:val="20"/>
        </w:rPr>
        <w:t xml:space="preserve">• </w:t>
      </w:r>
      <w:r>
        <w:t>Cơ sở đào tạo, bồi dưỡng kiến thức hành nghề (Điều 24)</w:t>
      </w:r>
    </w:p>
    <w:p>
      <w:r>
        <w:rPr>
          <w:b/>
        </w:rPr>
        <w:t>Đối tượng chịu tác động gián tiếp:</w:t>
      </w:r>
    </w:p>
    <w:p>
      <w:pPr>
        <w:spacing w:after="40" w:before="20"/>
        <w:ind w:left="720" w:hanging="357"/>
      </w:pPr>
      <w:r>
        <w:rPr>
          <w:sz w:val="20"/>
        </w:rPr>
        <w:t xml:space="preserve">• </w:t>
      </w:r>
      <w:r>
        <w:t>Người mua BĐS (bị thu thập thông tin sở hữu, thông tin giao dịch - Điều 20)</w:t>
      </w:r>
    </w:p>
    <w:p>
      <w:pPr>
        <w:spacing w:after="40" w:before="20"/>
        <w:ind w:left="720" w:hanging="357"/>
      </w:pPr>
      <w:r>
        <w:rPr>
          <w:sz w:val="20"/>
        </w:rPr>
        <w:t xml:space="preserve">• </w:t>
      </w:r>
      <w:r>
        <w:t>Cơ quan thuế (chia sẻ dữ liệu thuế - Điều 28 khoản 3)</w:t>
      </w:r>
    </w:p>
    <w:p>
      <w:pPr>
        <w:spacing w:after="40" w:before="20"/>
        <w:ind w:left="720" w:hanging="357"/>
      </w:pPr>
      <w:r>
        <w:rPr>
          <w:sz w:val="20"/>
        </w:rPr>
        <w:t xml:space="preserve">• </w:t>
      </w:r>
      <w:r>
        <w:t>Ngân hàng, tổ chức tín dụng (chia sẻ dữ liệu tín dụng BĐS - Điều 28 khoản 4)</w:t>
      </w:r>
    </w:p>
    <w:p>
      <w:pPr>
        <w:spacing w:after="40" w:before="20"/>
        <w:ind w:left="720" w:hanging="357"/>
      </w:pPr>
      <w:r>
        <w:rPr>
          <w:sz w:val="20"/>
        </w:rPr>
        <w:t xml:space="preserve">• </w:t>
      </w:r>
      <w:r>
        <w:t>Tổ chức công chứng (chia sẻ dữ liệu giao dịch - Điều 28 khoản 5)</w:t>
      </w:r>
    </w:p>
    <w:p>
      <w:pPr>
        <w:pStyle w:val="Heading4"/>
        <w:spacing w:before="240" w:after="160"/>
      </w:pPr>
      <w:r>
        <w:rPr>
          <w:rFonts w:ascii="Calibri" w:hAnsi="Calibri" w:eastAsia="Calibri"/>
          <w:color w:val="1A1A2E"/>
          <w:sz w:val="28"/>
        </w:rPr>
        <w:t>A.3. Lộ trình chuyển tiếp và chế tài</w:t>
      </w:r>
    </w:p>
    <w:p>
      <w:pPr>
        <w:spacing w:after="40" w:before="20"/>
        <w:ind w:left="720" w:hanging="357"/>
      </w:pPr>
      <w:r>
        <w:rPr>
          <w:sz w:val="20"/>
        </w:rPr>
        <w:t xml:space="preserve">• </w:t>
      </w:r>
      <w:r>
        <w:rPr>
          <w:b/>
        </w:rPr>
        <w:t>Hiệu lực:</w:t>
      </w:r>
      <w:r>
        <w:t>01/03/2026 (Điều 41 khoản 1).</w:t>
      </w:r>
    </w:p>
    <w:p>
      <w:pPr>
        <w:spacing w:after="40" w:before="20"/>
        <w:ind w:left="720" w:hanging="357"/>
      </w:pPr>
      <w:r>
        <w:rPr>
          <w:sz w:val="20"/>
        </w:rPr>
        <w:t xml:space="preserve">• </w:t>
      </w:r>
      <w:r>
        <w:rPr>
          <w:b/>
        </w:rPr>
        <w:t>Thời hạn chuẩn hóa dữ liệu cũ:</w:t>
      </w:r>
      <w:r>
        <w:t>01/07/2026 (Điều 40 khoản 1).</w:t>
      </w:r>
    </w:p>
    <w:p>
      <w:pPr>
        <w:spacing w:after="40" w:before="20"/>
        <w:ind w:left="720" w:hanging="357"/>
      </w:pPr>
      <w:r>
        <w:rPr>
          <w:sz w:val="20"/>
        </w:rPr>
        <w:t xml:space="preserve">• </w:t>
      </w:r>
      <w:r>
        <w:rPr>
          <w:b/>
        </w:rPr>
        <w:t>Quy định chuyển tiếp:</w:t>
      </w:r>
      <w:r>
        <w:t>Nếu hệ thống chưa sẵn sàng, tiếp tục báo cáo theo NĐ 94/2024/NĐ-CP (Điều 40 khoản 2).</w:t>
      </w:r>
    </w:p>
    <w:p>
      <w:pPr>
        <w:spacing w:after="40" w:before="20"/>
        <w:ind w:left="720" w:hanging="357"/>
      </w:pPr>
      <w:r>
        <w:rPr>
          <w:sz w:val="20"/>
        </w:rPr>
        <w:t xml:space="preserve">• </w:t>
      </w:r>
      <w:r>
        <w:rPr>
          <w:b/>
        </w:rPr>
        <w:t>Công bố vi phạm:</w:t>
      </w:r>
      <w:r>
        <w:t>Bộ Xây dựng công bố cơ quan, tổ chức, cá nhân vi phạm trên Cổng thông tin quốc gia (Điều 36 khoản 5).</w:t>
      </w:r>
    </w:p>
    <w:p>
      <w:pPr>
        <w:spacing w:after="40" w:before="20"/>
        <w:ind w:left="720" w:hanging="357"/>
      </w:pPr>
      <w:r>
        <w:rPr>
          <w:sz w:val="20"/>
        </w:rPr>
        <w:t xml:space="preserve">• </w:t>
      </w:r>
      <w:r>
        <w:rPr>
          <w:b/>
        </w:rPr>
        <w:t>Nghĩa vụ:</w:t>
      </w:r>
      <w:r>
        <w:t>Không chia sẻ đúng hạn → phải có văn bản báo cáo lý do (Điều 39 khoản 1 điểm a). Cấm làm sai lệch, hư hỏng, thất thoát dữ liệu (Điều 39 khoản 1 điểm c).</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B: Khung phân tích và phương pháp luận</w:t>
      </w:r>
    </w:p>
    <w:p>
      <w:pPr>
        <w:pStyle w:val="Heading4"/>
        <w:spacing w:before="240" w:after="160"/>
      </w:pPr>
      <w:r>
        <w:rPr>
          <w:rFonts w:ascii="Calibri" w:hAnsi="Calibri" w:eastAsia="Calibri"/>
          <w:color w:val="1A1A2E"/>
          <w:sz w:val="28"/>
        </w:rPr>
        <w:t>B.1. Mô hình đánh giá tác động 4 chiều</w:t>
      </w:r>
    </w:p>
    <w:p>
      <w:r>
        <w:t>Báo cáo sử dụng mô hình Value Chain Impact Assessment - đánh giá tác động NĐ 357 theo 4 Giai đoạn trong chuỗi giá trị BĐS của Sun Group:</w:t>
      </w:r>
    </w:p>
    <w:p>
      <w:pPr>
        <w:spacing w:after="40" w:before="20"/>
        <w:ind w:left="720" w:hanging="357"/>
      </w:pPr>
      <w:r>
        <w:t xml:space="preserve">1. </w:t>
      </w:r>
      <w:r>
        <w:rPr>
          <w:b/>
        </w:rPr>
        <w:t>Khởi tạo dự án &amp; pháp lý (Upstream)</w:t>
      </w:r>
      <w:r>
        <w:t>- Tác động đến quy trình phát triển/thiết lập sản phẩm</w:t>
      </w:r>
    </w:p>
    <w:p>
      <w:pPr>
        <w:spacing w:after="40" w:before="20"/>
        <w:ind w:left="720" w:hanging="357"/>
      </w:pPr>
      <w:r>
        <w:t xml:space="preserve">2. </w:t>
      </w:r>
      <w:r>
        <w:rPr>
          <w:b/>
        </w:rPr>
        <w:t>Phân phối &amp; marketing (Midstream)</w:t>
      </w:r>
      <w:r>
        <w:t>- Tác động đến kênh bán hàng và tâm lý khách hàng</w:t>
      </w:r>
    </w:p>
    <w:p>
      <w:pPr>
        <w:spacing w:after="40" w:before="20"/>
        <w:ind w:left="720" w:hanging="357"/>
      </w:pPr>
      <w:r>
        <w:t xml:space="preserve">3. </w:t>
      </w:r>
      <w:r>
        <w:rPr>
          <w:b/>
        </w:rPr>
        <w:t>Bàn giao &amp; vận hành (Downstream)</w:t>
      </w:r>
      <w:r>
        <w:t>- Tác động đến hậu mãi và dòng tiền tuần hoàn</w:t>
      </w:r>
    </w:p>
    <w:p>
      <w:pPr>
        <w:spacing w:after="40" w:before="20"/>
        <w:ind w:left="720" w:hanging="357"/>
      </w:pPr>
      <w:r>
        <w:t xml:space="preserve">4. </w:t>
      </w:r>
      <w:r>
        <w:rPr>
          <w:b/>
        </w:rPr>
        <w:t>Hạ tầng công nghệ &amp; tài chính (Foundation)</w:t>
      </w:r>
      <w:r>
        <w:t>- Tác động đến nền tảng vận hành</w:t>
      </w:r>
    </w:p>
    <w:p>
      <w:r>
        <w:t>Mỗi Giai đoạn được phân tích theo chu trình: Nhận diện vấn đề → Lượng hóa rủi ro → Đề xuất giải pháp → Phân công trách nhiệm.</w:t>
      </w:r>
    </w:p>
    <w:p>
      <w:pPr>
        <w:pStyle w:val="Heading4"/>
        <w:spacing w:before="240" w:after="160"/>
      </w:pPr>
      <w:r>
        <w:rPr>
          <w:rFonts w:ascii="Calibri" w:hAnsi="Calibri" w:eastAsia="Calibri"/>
          <w:color w:val="1A1A2E"/>
          <w:sz w:val="28"/>
        </w:rPr>
        <w:t>B.2. Dòng chảy dữ liệu trước và sau NĐ 357</w:t>
      </w:r>
    </w:p>
    <w:p>
      <w:r>
        <w:rPr>
          <w:b/>
        </w:rPr>
        <w:t>Trước NĐ 357 (hiện tại):</w:t>
      </w:r>
    </w:p>
    <w:p>
      <w:pPr>
        <w:spacing w:after="40" w:before="20"/>
        <w:ind w:left="720" w:hanging="357"/>
      </w:pPr>
      <w:r>
        <w:rPr>
          <w:sz w:val="20"/>
        </w:rPr>
        <w:t xml:space="preserve">• </w:t>
      </w:r>
      <w:r>
        <w:t>Dữ liệu dự án: lưu trữ phân tán tại CRM, file Excel phòng kinh doanh, hồ sơ giấy Ban Pháp chế.</w:t>
      </w:r>
    </w:p>
    <w:p>
      <w:pPr>
        <w:spacing w:after="40" w:before="20"/>
        <w:ind w:left="720" w:hanging="357"/>
      </w:pPr>
      <w:r>
        <w:rPr>
          <w:sz w:val="20"/>
        </w:rPr>
        <w:t xml:space="preserve">• </w:t>
      </w:r>
      <w:r>
        <w:t>Dữ liệu giao dịch: ghi nhận trên CRM, không liên thông cơ quan nhà nước.</w:t>
      </w:r>
    </w:p>
    <w:p>
      <w:pPr>
        <w:spacing w:after="40" w:before="20"/>
        <w:ind w:left="720" w:hanging="357"/>
      </w:pPr>
      <w:r>
        <w:rPr>
          <w:sz w:val="20"/>
        </w:rPr>
        <w:t xml:space="preserve">• </w:t>
      </w:r>
      <w:r>
        <w:t>Dữ liệu sở hữu: quản lý bởi Sở TN&amp;MT, không chia sẻ ngược về chủ đầu tư.</w:t>
      </w:r>
    </w:p>
    <w:p>
      <w:r>
        <w:rPr>
          <w:b/>
        </w:rPr>
        <w:t>Sau NĐ 357 (tương lai):</w:t>
      </w:r>
    </w:p>
    <w:p>
      <w:pPr>
        <w:spacing w:after="40" w:before="20"/>
        <w:ind w:left="720" w:hanging="357"/>
      </w:pPr>
      <w:r>
        <w:rPr>
          <w:sz w:val="20"/>
        </w:rPr>
        <w:t xml:space="preserve">• </w:t>
      </w:r>
      <w:r>
        <w:t>Mỗi sản phẩm BĐS có một mã định danh duy nhất trên hệ thống quốc gia.</w:t>
      </w:r>
    </w:p>
    <w:p>
      <w:pPr>
        <w:spacing w:after="40" w:before="20"/>
        <w:ind w:left="720" w:hanging="357"/>
      </w:pPr>
      <w:r>
        <w:rPr>
          <w:sz w:val="20"/>
        </w:rPr>
        <w:t xml:space="preserve">• </w:t>
      </w:r>
      <w:r>
        <w:t>Dữ liệu giao dịch được đẩy lên Cổng quốc gia theo thời gian thực qua API.</w:t>
      </w:r>
    </w:p>
    <w:p>
      <w:pPr>
        <w:spacing w:after="40" w:before="20"/>
        <w:ind w:left="720" w:hanging="357"/>
      </w:pPr>
      <w:r>
        <w:rPr>
          <w:sz w:val="20"/>
        </w:rPr>
        <w:t xml:space="preserve">• </w:t>
      </w:r>
      <w:r>
        <w:t>Cơ quan Thuế, Ngân hàng, Công chứng đều truy cập được dữ liệu liên quan.</w:t>
      </w:r>
    </w:p>
    <w:p>
      <w:pPr>
        <w:spacing w:after="40" w:before="20"/>
        <w:ind w:left="720" w:hanging="357"/>
      </w:pPr>
      <w:r>
        <w:rPr>
          <w:sz w:val="20"/>
        </w:rPr>
        <w:t xml:space="preserve">• </w:t>
      </w:r>
      <w:r>
        <w:t>CRM/ERP phải đồng bộ 2 chiều với hệ thống quốc gia.</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C: Đặc tả kỹ thuật (dành riêng cho Ban CNTT, DEC)</w:t>
      </w:r>
    </w:p>
    <w:p>
      <w:pPr>
        <w:pStyle w:val="Heading4"/>
        <w:spacing w:before="240" w:after="160"/>
      </w:pPr>
      <w:r>
        <w:rPr>
          <w:rFonts w:ascii="Calibri" w:hAnsi="Calibri" w:eastAsia="Calibri"/>
          <w:color w:val="1A1A2E"/>
          <w:sz w:val="28"/>
        </w:rPr>
        <w:t>C.1. Cấu trúc mã định danh 40 ký tự</w:t>
      </w:r>
    </w:p>
    <w:p>
      <w:r>
        <w:t>Theo Phụ lục I mục 1 của NĐ 357:</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[Mã thửa đất] - [Mã dự án/CTXD] - [Mã địa điểm*] - [Dãy ký tự tự nhiên]</w:t>
      </w:r>
    </w:p>
    <w:p>
      <w:pPr>
        <w:spacing w:after="40" w:before="20"/>
        <w:ind w:left="720" w:hanging="357"/>
      </w:pPr>
      <w:r>
        <w:rPr>
          <w:sz w:val="20"/>
        </w:rPr>
        <w:t xml:space="preserve">• </w:t>
      </w:r>
      <w:r>
        <w:rPr>
          <w:b/>
        </w:rPr>
        <w:t>Mã thửa đất:</w:t>
      </w:r>
      <w:r>
        <w:t>Theo CSDL quốc gia về đất đai (Bộ Nông nghiệp và Môi trường).</w:t>
      </w:r>
    </w:p>
    <w:p>
      <w:pPr>
        <w:spacing w:after="40" w:before="20"/>
        <w:ind w:left="720" w:hanging="357"/>
      </w:pPr>
      <w:r>
        <w:rPr>
          <w:sz w:val="20"/>
        </w:rPr>
        <w:t xml:space="preserve">• </w:t>
      </w:r>
      <w:r>
        <w:rPr>
          <w:b/>
        </w:rPr>
        <w:t>Mã dự án/CTXD:</w:t>
      </w:r>
      <w:r>
        <w:t>Mã số thông tin dự án, công trình xây dựng.</w:t>
      </w:r>
    </w:p>
    <w:p>
      <w:pPr>
        <w:spacing w:after="40" w:before="20"/>
        <w:ind w:left="720" w:hanging="357"/>
      </w:pPr>
      <w:r>
        <w:rPr>
          <w:sz w:val="20"/>
        </w:rPr>
        <w:t xml:space="preserve">• </w:t>
      </w:r>
      <w:r>
        <w:rPr>
          <w:b/>
        </w:rPr>
        <w:t>Mã địa điểm:</w:t>
      </w:r>
      <w:r>
        <w:t>Nếu có, theo quy định định danh địa điểm (Bộ Công an).</w:t>
      </w:r>
    </w:p>
    <w:p>
      <w:pPr>
        <w:spacing w:after="40" w:before="20"/>
        <w:ind w:left="720" w:hanging="357"/>
      </w:pPr>
      <w:r>
        <w:rPr>
          <w:sz w:val="20"/>
        </w:rPr>
        <w:t xml:space="preserve">• </w:t>
      </w:r>
      <w:r>
        <w:rPr>
          <w:b/>
        </w:rPr>
        <w:t>Dãy ký tự tự nhiên:</w:t>
      </w:r>
    </w:p>
    <w:p>
      <w:pPr>
        <w:spacing w:after="40" w:before="20"/>
        <w:ind w:left="720" w:hanging="357"/>
      </w:pPr>
      <w:r>
        <w:rPr>
          <w:sz w:val="20"/>
        </w:rPr>
        <w:t xml:space="preserve">• </w:t>
      </w:r>
      <w:r>
        <w:t>Nhà ở: 8 ký tự - số thứ tự sản phẩm trong dự án.</w:t>
      </w:r>
    </w:p>
    <w:p>
      <w:pPr>
        <w:spacing w:after="40" w:before="20"/>
        <w:ind w:left="720" w:hanging="357"/>
      </w:pPr>
      <w:r>
        <w:rPr>
          <w:sz w:val="20"/>
        </w:rPr>
        <w:t xml:space="preserve">• </w:t>
      </w:r>
      <w:r>
        <w:t>Phần diện tích sàn: 6 ký tự - liên kết với mã định danh công trình.</w:t>
      </w:r>
    </w:p>
    <w:p>
      <w:r>
        <w:rPr>
          <w:b/>
        </w:rPr>
        <w:t>Quy tắc format:</w:t>
      </w:r>
    </w:p>
    <w:p>
      <w:pPr>
        <w:spacing w:after="40" w:before="20"/>
        <w:ind w:left="720" w:hanging="357"/>
      </w:pPr>
      <w:r>
        <w:rPr>
          <w:sz w:val="20"/>
        </w:rPr>
        <w:t xml:space="preserve">• </w:t>
      </w:r>
      <w:r>
        <w:t>Tối đa 50 ký tự (NĐ ghi 40 tại Điều 3 khoản 5. Trong khi đó, Phụ lục I mục 1 lại ghi “tối đa 50 ký tự”).</w:t>
      </w:r>
    </w:p>
    <w:p>
      <w:pPr>
        <w:spacing w:after="40" w:before="20"/>
        <w:ind w:left="720" w:hanging="357"/>
      </w:pPr>
      <w:r>
        <w:rPr>
          <w:sz w:val="20"/>
        </w:rPr>
        <w:t xml:space="preserve">• </w:t>
      </w:r>
      <w:r>
        <w:t>Chỉ chứa: A-Z (chữ in hoa không dấu), 0-9, dấu gạch ngang (-).</w:t>
      </w:r>
    </w:p>
    <w:p>
      <w:pPr>
        <w:spacing w:after="40" w:before="20"/>
        <w:ind w:left="720" w:hanging="357"/>
      </w:pPr>
      <w:r>
        <w:rPr>
          <w:sz w:val="20"/>
        </w:rPr>
        <w:t xml:space="preserve">• </w:t>
      </w:r>
      <w:r>
        <w:t>Không chứa ký tự đặc biệt ngoài dấu gạch ngang.</w:t>
      </w:r>
    </w:p>
    <w:p>
      <w:pPr>
        <w:pStyle w:val="Heading4"/>
        <w:spacing w:before="240" w:after="160"/>
      </w:pPr>
      <w:r>
        <w:rPr>
          <w:rFonts w:ascii="Calibri" w:hAnsi="Calibri" w:eastAsia="Calibri"/>
          <w:color w:val="1A1A2E"/>
          <w:sz w:val="28"/>
        </w:rPr>
        <w:t>C.2. Tiêu chuẩn API kết nối</w:t>
      </w:r>
    </w:p>
    <w:p>
      <w:r>
        <w:t>Theo Điều 31 khoản 1 điểm a và Phụ lục II:</w:t>
      </w:r>
    </w:p>
    <w:p>
      <w:pPr>
        <w:spacing w:after="40" w:before="20"/>
        <w:ind w:left="720" w:hanging="357"/>
      </w:pPr>
      <w:r>
        <w:rPr>
          <w:sz w:val="20"/>
        </w:rPr>
        <w:t xml:space="preserve">• </w:t>
      </w:r>
      <w:r>
        <w:rPr>
          <w:b/>
        </w:rPr>
        <w:t>Giao thức:</w:t>
      </w:r>
      <w:r>
        <w:t>RESTful API (dự kiến, theo tiêu chuẩn Khung kiến trúc Chính phủ số).</w:t>
      </w:r>
    </w:p>
    <w:p>
      <w:pPr>
        <w:spacing w:after="40" w:before="20"/>
        <w:ind w:left="720" w:hanging="357"/>
      </w:pPr>
      <w:r>
        <w:rPr>
          <w:sz w:val="20"/>
        </w:rPr>
        <w:t xml:space="preserve">• </w:t>
      </w:r>
      <w:r>
        <w:rPr>
          <w:b/>
        </w:rPr>
        <w:t>Bảo mật:</w:t>
      </w:r>
      <w:r>
        <w:t>HTTPS, xác thực bằng chứng thư số, chữ ký số (Điều 32 khoản 2 điểm b).</w:t>
      </w:r>
    </w:p>
    <w:p>
      <w:pPr>
        <w:spacing w:after="40" w:before="20"/>
        <w:ind w:left="720" w:hanging="357"/>
      </w:pPr>
      <w:r>
        <w:rPr>
          <w:sz w:val="20"/>
        </w:rPr>
        <w:t xml:space="preserve">• </w:t>
      </w:r>
      <w:r>
        <w:rPr>
          <w:b/>
        </w:rPr>
        <w:t>Tần suất:</w:t>
      </w:r>
      <w:r>
        <w:t>Thời gian thực khi phát sinh biến động (Điều 31 khoản 2).</w:t>
      </w:r>
    </w:p>
    <w:p>
      <w:pPr>
        <w:spacing w:after="40" w:before="20"/>
        <w:ind w:left="720" w:hanging="357"/>
      </w:pPr>
      <w:r>
        <w:rPr>
          <w:sz w:val="20"/>
        </w:rPr>
        <w:t xml:space="preserve">• </w:t>
      </w:r>
      <w:r>
        <w:rPr>
          <w:b/>
        </w:rPr>
        <w:t>Metadata:</w:t>
      </w:r>
      <w:r>
        <w:t>Phải đăng tải đầy đủ lên từ điển dữ liệu dùng chung (Điều 31 khoản 3).</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D: Một số biểu mẫu</w:t>
      </w:r>
    </w:p>
    <w:p>
      <w:pPr>
        <w:pStyle w:val="Heading4"/>
        <w:spacing w:before="240" w:after="160"/>
      </w:pPr>
      <w:r>
        <w:rPr>
          <w:rFonts w:ascii="Calibri" w:hAnsi="Calibri" w:eastAsia="Calibri"/>
          <w:color w:val="1A1A2E"/>
          <w:sz w:val="28"/>
        </w:rPr>
        <w:t>D.1. Dự thảo Thông báo gửi đại lý F1</w:t>
      </w:r>
    </w:p>
    <w:p>
      <w:r>
        <w:rPr>
          <w:i/>
        </w:rPr>
        <w:t>Bản draft - cần Ban Pháp chế rà soát trước khi ban hành.</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THÔNG BÁO</w:t>
      </w:r>
      <w:r>
        <w:br/>
      </w:r>
      <w:r>
        <w:rPr>
          <w:rFonts w:ascii="Consolas" w:hAnsi="Consolas"/>
          <w:color w:val="333333"/>
          <w:sz w:val="18"/>
        </w:rPr>
        <w:t>V/v: Yêu cầu cập nhật chứng chỉ hành nghề môi giới BĐS</w:t>
      </w:r>
      <w:r>
        <w:br/>
      </w:r>
      <w:r>
        <w:rPr>
          <w:rFonts w:ascii="Consolas" w:hAnsi="Consolas"/>
          <w:color w:val="333333"/>
          <w:sz w:val="18"/>
        </w:rPr>
        <w:t>và mã định danh điện tử theo Nghị định 357/2025/NĐ-CP</w:t>
      </w:r>
      <w:r>
        <w:br/>
      </w:r>
      <w:r>
        <w:rPr>
          <w:rFonts w:ascii="Consolas" w:hAnsi="Consolas"/>
          <w:color w:val="333333"/>
          <w:sz w:val="18"/>
        </w:rPr>
      </w:r>
      <w:r>
        <w:br/>
      </w:r>
      <w:r>
        <w:rPr>
          <w:rFonts w:ascii="Consolas" w:hAnsi="Consolas"/>
          <w:color w:val="333333"/>
          <w:sz w:val="18"/>
        </w:rPr>
        <w:t>Kính gửi: [Tên đại lý]</w:t>
      </w:r>
      <w:r>
        <w:br/>
      </w:r>
      <w:r>
        <w:rPr>
          <w:rFonts w:ascii="Consolas" w:hAnsi="Consolas"/>
          <w:color w:val="333333"/>
          <w:sz w:val="18"/>
        </w:rPr>
      </w:r>
      <w:r>
        <w:br/>
      </w:r>
      <w:r>
        <w:rPr>
          <w:rFonts w:ascii="Consolas" w:hAnsi="Consolas"/>
          <w:color w:val="333333"/>
          <w:sz w:val="18"/>
        </w:rPr>
        <w:t>Căn cứ Nghị định số 357/2025/NĐ-CP ngày 31/12/2025 của Chính phủ</w:t>
      </w:r>
      <w:r>
        <w:br/>
      </w:r>
      <w:r>
        <w:rPr>
          <w:rFonts w:ascii="Consolas" w:hAnsi="Consolas"/>
          <w:color w:val="333333"/>
          <w:sz w:val="18"/>
        </w:rPr>
        <w:t>(có hiệu lực từ ngày 01/03/2026), Sun Property Group thông báo:</w:t>
      </w:r>
      <w:r>
        <w:br/>
      </w:r>
      <w:r>
        <w:rPr>
          <w:rFonts w:ascii="Consolas" w:hAnsi="Consolas"/>
          <w:color w:val="333333"/>
          <w:sz w:val="18"/>
        </w:rPr>
      </w:r>
      <w:r>
        <w:br/>
      </w:r>
      <w:r>
        <w:rPr>
          <w:rFonts w:ascii="Consolas" w:hAnsi="Consolas"/>
          <w:color w:val="333333"/>
          <w:sz w:val="18"/>
        </w:rPr>
        <w:t>1. Kể từ ngày [___], tất cả nhân viên tham gia giao dịch sản phẩm</w:t>
      </w:r>
      <w:r>
        <w:br/>
      </w:r>
      <w:r>
        <w:rPr>
          <w:rFonts w:ascii="Consolas" w:hAnsi="Consolas"/>
          <w:color w:val="333333"/>
          <w:sz w:val="18"/>
        </w:rPr>
        <w:t xml:space="preserve">   Sun Group phải có chứng chỉ hành nghề môi giới BĐS và mã định</w:t>
      </w:r>
      <w:r>
        <w:br/>
      </w:r>
      <w:r>
        <w:rPr>
          <w:rFonts w:ascii="Consolas" w:hAnsi="Consolas"/>
          <w:color w:val="333333"/>
          <w:sz w:val="18"/>
        </w:rPr>
        <w:t xml:space="preserve">   danh điện tử theo Điều 11 NĐ 357.</w:t>
      </w:r>
      <w:r>
        <w:br/>
      </w:r>
      <w:r>
        <w:rPr>
          <w:rFonts w:ascii="Consolas" w:hAnsi="Consolas"/>
          <w:color w:val="333333"/>
          <w:sz w:val="18"/>
        </w:rPr>
      </w:r>
      <w:r>
        <w:br/>
      </w:r>
      <w:r>
        <w:rPr>
          <w:rFonts w:ascii="Consolas" w:hAnsi="Consolas"/>
          <w:color w:val="333333"/>
          <w:sz w:val="18"/>
        </w:rPr>
        <w:t>2. Đề nghị Quý đại lý cung cấp danh sách nhân viên đủ điều kiện</w:t>
      </w:r>
      <w:r>
        <w:br/>
      </w:r>
      <w:r>
        <w:rPr>
          <w:rFonts w:ascii="Consolas" w:hAnsi="Consolas"/>
          <w:color w:val="333333"/>
          <w:sz w:val="18"/>
        </w:rPr>
        <w:t xml:space="preserve">   (kèm mã định danh 17 ký tự) trước ngày [___].</w:t>
      </w:r>
      <w:r>
        <w:br/>
      </w:r>
      <w:r>
        <w:rPr>
          <w:rFonts w:ascii="Consolas" w:hAnsi="Consolas"/>
          <w:color w:val="333333"/>
          <w:sz w:val="18"/>
        </w:rPr>
      </w:r>
      <w:r>
        <w:br/>
      </w:r>
      <w:r>
        <w:rPr>
          <w:rFonts w:ascii="Consolas" w:hAnsi="Consolas"/>
          <w:color w:val="333333"/>
          <w:sz w:val="18"/>
        </w:rPr>
        <w:t>3. Sau thời hạn trên, nhân viên không có mã định danh sẽ không</w:t>
      </w:r>
      <w:r>
        <w:br/>
      </w:r>
      <w:r>
        <w:rPr>
          <w:rFonts w:ascii="Consolas" w:hAnsi="Consolas"/>
          <w:color w:val="333333"/>
          <w:sz w:val="18"/>
        </w:rPr>
        <w:t xml:space="preserve">   được phép thực hiện giao dịch trên hệ thống Sun Property.</w:t>
      </w:r>
      <w:r>
        <w:br/>
      </w:r>
      <w:r>
        <w:rPr>
          <w:rFonts w:ascii="Consolas" w:hAnsi="Consolas"/>
          <w:color w:val="333333"/>
          <w:sz w:val="18"/>
        </w:rPr>
      </w:r>
      <w:r>
        <w:br/>
      </w:r>
      <w:r>
        <w:rPr>
          <w:rFonts w:ascii="Consolas" w:hAnsi="Consolas"/>
          <w:color w:val="333333"/>
          <w:sz w:val="18"/>
        </w:rPr>
        <w:t>Trân trọng,</w:t>
      </w:r>
      <w:r>
        <w:br/>
      </w:r>
      <w:r>
        <w:rPr>
          <w:rFonts w:ascii="Consolas" w:hAnsi="Consolas"/>
          <w:color w:val="333333"/>
          <w:sz w:val="18"/>
        </w:rPr>
        <w:t>[Chữ ký]</w:t>
      </w:r>
    </w:p>
    <w:p>
      <w:pPr>
        <w:pStyle w:val="Heading4"/>
        <w:spacing w:before="240" w:after="160"/>
      </w:pPr>
      <w:r>
        <w:rPr>
          <w:rFonts w:ascii="Calibri" w:hAnsi="Calibri" w:eastAsia="Calibri"/>
          <w:color w:val="1A1A2E"/>
          <w:sz w:val="28"/>
        </w:rPr>
        <w:t>D.2. Các trường bắt buộc bổ sung vào biểu mẫu HĐMB</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Trường</w:t>
            </w:r>
          </w:p>
        </w:tc>
        <w:tc>
          <w:tcPr>
            <w:tcW w:type="dxa" w:w="2340"/>
            <w:shd w:fill="E2E8F0" w:val="clear"/>
          </w:tcPr>
          <w:p>
            <w:pPr>
              <w:spacing w:before="60" w:after="60"/>
            </w:pPr>
            <w:r>
              <w:rPr>
                <w:rFonts w:ascii="Calibri" w:hAnsi="Calibri"/>
                <w:b/>
                <w:sz w:val="20"/>
              </w:rPr>
              <w:t>Mô tả</w:t>
            </w:r>
          </w:p>
        </w:tc>
        <w:tc>
          <w:tcPr>
            <w:tcW w:type="dxa" w:w="2340"/>
            <w:shd w:fill="E2E8F0" w:val="clear"/>
          </w:tcPr>
          <w:p>
            <w:pPr>
              <w:spacing w:before="60" w:after="60"/>
            </w:pPr>
            <w:r>
              <w:rPr>
                <w:rFonts w:ascii="Calibri" w:hAnsi="Calibri"/>
                <w:b/>
                <w:sz w:val="20"/>
              </w:rPr>
              <w:t>Độ dài</w:t>
            </w:r>
          </w:p>
        </w:tc>
        <w:tc>
          <w:tcPr>
            <w:tcW w:type="dxa" w:w="2340"/>
            <w:shd w:fill="E2E8F0" w:val="clear"/>
          </w:tcPr>
          <w:p>
            <w:pPr>
              <w:spacing w:before="60" w:after="60"/>
            </w:pPr>
            <w:r>
              <w:rPr>
                <w:rFonts w:ascii="Calibri" w:hAnsi="Calibri"/>
                <w:b/>
                <w:sz w:val="20"/>
              </w:rPr>
              <w:t>Nguồn</w:t>
            </w:r>
          </w:p>
        </w:tc>
      </w:tr>
      <w:tr>
        <w:tc>
          <w:tcPr>
            <w:tcW w:type="dxa" w:w="2340"/>
          </w:tcPr>
          <w:p>
            <w:pPr>
              <w:spacing w:before="60" w:after="60"/>
            </w:pPr>
            <w:r>
              <w:rPr>
                <w:rFonts w:ascii="Calibri" w:hAnsi="Calibri"/>
                <w:sz w:val="20"/>
              </w:rPr>
              <w:t>ma_dinh_danh_bds</w:t>
            </w:r>
          </w:p>
        </w:tc>
        <w:tc>
          <w:tcPr>
            <w:tcW w:type="dxa" w:w="2340"/>
          </w:tcPr>
          <w:p>
            <w:pPr>
              <w:spacing w:before="60" w:after="60"/>
            </w:pPr>
            <w:r>
              <w:rPr>
                <w:rFonts w:ascii="Calibri" w:hAnsi="Calibri"/>
                <w:sz w:val="20"/>
              </w:rPr>
              <w:t>Mã định danh điện tử sản phẩm BĐS</w:t>
            </w:r>
          </w:p>
        </w:tc>
        <w:tc>
          <w:tcPr>
            <w:tcW w:type="dxa" w:w="2340"/>
          </w:tcPr>
          <w:p>
            <w:pPr>
              <w:spacing w:before="60" w:after="60"/>
            </w:pPr>
            <w:r>
              <w:rPr>
                <w:rFonts w:ascii="Calibri" w:hAnsi="Calibri"/>
                <w:sz w:val="20"/>
              </w:rPr>
              <w:t>Tối đa 40 ký tự</w:t>
            </w:r>
          </w:p>
        </w:tc>
        <w:tc>
          <w:tcPr>
            <w:tcW w:type="dxa" w:w="2340"/>
          </w:tcPr>
          <w:p>
            <w:pPr>
              <w:spacing w:before="60" w:after="60"/>
            </w:pPr>
            <w:r>
              <w:rPr>
                <w:rFonts w:ascii="Calibri" w:hAnsi="Calibri"/>
                <w:sz w:val="20"/>
              </w:rPr>
              <w:t>Cổng quốc gia</w:t>
            </w:r>
          </w:p>
        </w:tc>
      </w:tr>
      <w:tr>
        <w:tc>
          <w:tcPr>
            <w:tcW w:type="dxa" w:w="2340"/>
          </w:tcPr>
          <w:p>
            <w:pPr>
              <w:spacing w:before="60" w:after="60"/>
            </w:pPr>
            <w:r>
              <w:rPr>
                <w:rFonts w:ascii="Calibri" w:hAnsi="Calibri"/>
                <w:sz w:val="20"/>
              </w:rPr>
              <w:t>ma_moi_gioi</w:t>
            </w:r>
          </w:p>
        </w:tc>
        <w:tc>
          <w:tcPr>
            <w:tcW w:type="dxa" w:w="2340"/>
          </w:tcPr>
          <w:p>
            <w:pPr>
              <w:spacing w:before="60" w:after="60"/>
            </w:pPr>
            <w:r>
              <w:rPr>
                <w:rFonts w:ascii="Calibri" w:hAnsi="Calibri"/>
                <w:sz w:val="20"/>
              </w:rPr>
              <w:t>Mã định danh chứng chỉ hành nghề môi giới</w:t>
            </w:r>
          </w:p>
        </w:tc>
        <w:tc>
          <w:tcPr>
            <w:tcW w:type="dxa" w:w="2340"/>
          </w:tcPr>
          <w:p>
            <w:pPr>
              <w:spacing w:before="60" w:after="60"/>
            </w:pPr>
            <w:r>
              <w:rPr>
                <w:rFonts w:ascii="Calibri" w:hAnsi="Calibri"/>
                <w:sz w:val="20"/>
              </w:rPr>
              <w:t>17 ký tự</w:t>
            </w:r>
          </w:p>
        </w:tc>
        <w:tc>
          <w:tcPr>
            <w:tcW w:type="dxa" w:w="2340"/>
          </w:tcPr>
          <w:p>
            <w:pPr>
              <w:spacing w:before="60" w:after="60"/>
            </w:pPr>
            <w:r>
              <w:rPr>
                <w:rFonts w:ascii="Calibri" w:hAnsi="Calibri"/>
                <w:sz w:val="20"/>
              </w:rPr>
              <w:t>Sở Xây dựng</w:t>
            </w:r>
          </w:p>
        </w:tc>
      </w:tr>
      <w:tr>
        <w:tc>
          <w:tcPr>
            <w:tcW w:type="dxa" w:w="2340"/>
          </w:tcPr>
          <w:p>
            <w:pPr>
              <w:spacing w:before="60" w:after="60"/>
            </w:pPr>
            <w:r>
              <w:rPr>
                <w:rFonts w:ascii="Calibri" w:hAnsi="Calibri"/>
                <w:sz w:val="20"/>
              </w:rPr>
              <w:t>so_dinh_danh_ben_mua</w:t>
            </w:r>
          </w:p>
        </w:tc>
        <w:tc>
          <w:tcPr>
            <w:tcW w:type="dxa" w:w="2340"/>
          </w:tcPr>
          <w:p>
            <w:pPr>
              <w:spacing w:before="60" w:after="60"/>
            </w:pPr>
            <w:r>
              <w:rPr>
                <w:rFonts w:ascii="Calibri" w:hAnsi="Calibri"/>
                <w:sz w:val="20"/>
              </w:rPr>
              <w:t>Số định danh cá nhân/tổ chức bên mua</w:t>
            </w:r>
          </w:p>
        </w:tc>
        <w:tc>
          <w:tcPr>
            <w:tcW w:type="dxa" w:w="2340"/>
          </w:tcPr>
          <w:p>
            <w:pPr>
              <w:spacing w:before="60" w:after="60"/>
            </w:pPr>
            <w:r>
              <w:rPr>
                <w:rFonts w:ascii="Calibri" w:hAnsi="Calibri"/>
                <w:sz w:val="20"/>
              </w:rPr>
              <w:t>12/13 ký tự</w:t>
            </w:r>
          </w:p>
        </w:tc>
        <w:tc>
          <w:tcPr>
            <w:tcW w:type="dxa" w:w="2340"/>
          </w:tcPr>
          <w:p>
            <w:pPr>
              <w:spacing w:before="60" w:after="60"/>
            </w:pPr>
            <w:r>
              <w:rPr>
                <w:rFonts w:ascii="Calibri" w:hAnsi="Calibri"/>
                <w:sz w:val="20"/>
              </w:rPr>
              <w:t>VNeID</w:t>
            </w:r>
          </w:p>
        </w:tc>
      </w:tr>
      <w:tr>
        <w:tc>
          <w:tcPr>
            <w:tcW w:type="dxa" w:w="2340"/>
          </w:tcPr>
          <w:p>
            <w:pPr>
              <w:spacing w:before="60" w:after="60"/>
            </w:pPr>
            <w:r>
              <w:rPr>
                <w:rFonts w:ascii="Calibri" w:hAnsi="Calibri"/>
                <w:sz w:val="20"/>
              </w:rPr>
              <w:t>so_dinh_danh_ben_ban</w:t>
            </w:r>
          </w:p>
        </w:tc>
        <w:tc>
          <w:tcPr>
            <w:tcW w:type="dxa" w:w="2340"/>
          </w:tcPr>
          <w:p>
            <w:pPr>
              <w:spacing w:before="60" w:after="60"/>
            </w:pPr>
            <w:r>
              <w:rPr>
                <w:rFonts w:ascii="Calibri" w:hAnsi="Calibri"/>
                <w:sz w:val="20"/>
              </w:rPr>
              <w:t>Số định danh cá nhân/tổ chức bên bán</w:t>
            </w:r>
          </w:p>
        </w:tc>
        <w:tc>
          <w:tcPr>
            <w:tcW w:type="dxa" w:w="2340"/>
          </w:tcPr>
          <w:p>
            <w:pPr>
              <w:spacing w:before="60" w:after="60"/>
            </w:pPr>
            <w:r>
              <w:rPr>
                <w:rFonts w:ascii="Calibri" w:hAnsi="Calibri"/>
                <w:sz w:val="20"/>
              </w:rPr>
              <w:t>12/13 ký tự</w:t>
            </w:r>
          </w:p>
        </w:tc>
        <w:tc>
          <w:tcPr>
            <w:tcW w:type="dxa" w:w="2340"/>
          </w:tcPr>
          <w:p>
            <w:pPr>
              <w:spacing w:before="60" w:after="60"/>
            </w:pPr>
            <w:r>
              <w:rPr>
                <w:rFonts w:ascii="Calibri" w:hAnsi="Calibri"/>
                <w:sz w:val="20"/>
              </w:rPr>
              <w:t>VNeID</w:t>
            </w:r>
          </w:p>
        </w:tc>
      </w:tr>
    </w:tbl>
    <w:p>
      <w:pPr>
        <w:spacing w:before="0" w:after="80"/>
      </w:pPr>
    </w:p>
    <w:p>
      <w:pPr>
        <w:pStyle w:val="Heading4"/>
        <w:spacing w:before="240" w:after="160"/>
      </w:pPr>
      <w:r>
        <w:rPr>
          <w:rFonts w:ascii="Calibri" w:hAnsi="Calibri" w:eastAsia="Calibri"/>
          <w:color w:val="1A1A2E"/>
          <w:sz w:val="28"/>
        </w:rPr>
        <w:t>D.3. Lưu đồ quy trình chuẩn hóa thao tác</w:t>
      </w:r>
    </w:p>
    <w:p>
      <w:pPr>
        <w:spacing w:before="160" w:after="160" w:line="240" w:lineRule="auto"/>
        <w:ind w:left="283"/>
        <w:shd w:fill="F5F5F5" w:val="clear"/>
        <w:pBdr>
          <w:top w:val="single" w:sz="4" w:space="4" w:color="D0D0D0"/>
          <w:left w:val="single" w:sz="4" w:space="4" w:color="D0D0D0"/>
          <w:bottom w:val="single" w:sz="4" w:space="4" w:color="D0D0D0"/>
          <w:right w:val="single" w:sz="4" w:space="4" w:color="D0D0D0"/>
        </w:pBdr>
      </w:pPr>
      <w:r>
        <w:rPr>
          <w:rFonts w:ascii="Consolas" w:hAnsi="Consolas"/>
          <w:color w:val="333333"/>
          <w:sz w:val="18"/>
        </w:rPr>
        <w:t>Khách hàng chọn sản phẩm</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Nhân viên Sales nhập MÃ MÔI GIỚI (17 ký tự)</w:t>
      </w:r>
      <w:r>
        <w:br/>
      </w:r>
      <w:r>
        <w:rPr>
          <w:rFonts w:ascii="Consolas" w:hAnsi="Consolas"/>
          <w:color w:val="333333"/>
          <w:sz w:val="18"/>
        </w:rPr>
        <w:t xml:space="preserve">        │</w:t>
      </w:r>
      <w:r>
        <w:br/>
      </w:r>
      <w:r>
        <w:rPr>
          <w:rFonts w:ascii="Consolas" w:hAnsi="Consolas"/>
          <w:color w:val="333333"/>
          <w:sz w:val="18"/>
        </w:rPr>
        <w:t xml:space="preserve">        ├── Hợp lệ? ──► Tiếp tục</w:t>
      </w:r>
      <w:r>
        <w:br/>
      </w:r>
      <w:r>
        <w:rPr>
          <w:rFonts w:ascii="Consolas" w:hAnsi="Consolas"/>
          <w:color w:val="333333"/>
          <w:sz w:val="18"/>
        </w:rPr>
        <w:t xml:space="preserve">        │</w:t>
      </w:r>
      <w:r>
        <w:br/>
      </w:r>
      <w:r>
        <w:rPr>
          <w:rFonts w:ascii="Consolas" w:hAnsi="Consolas"/>
          <w:color w:val="333333"/>
          <w:sz w:val="18"/>
        </w:rPr>
        <w:t xml:space="preserve">        └── Không hợp lệ ──► HỆ THỐNG TỰ ĐỘNG KHÓA ──► Báo lỗi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Liên hệ Admin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kéo MÃ ĐỊNH DANH BĐS từ Cổng quốc gia (API Pull)</w:t>
      </w:r>
      <w:r>
        <w:br/>
      </w:r>
      <w:r>
        <w:rPr>
          <w:rFonts w:ascii="Consolas" w:hAnsi="Consolas"/>
          <w:color w:val="333333"/>
          <w:sz w:val="18"/>
        </w:rPr>
        <w:t xml:space="preserve">        │</w:t>
      </w:r>
      <w:r>
        <w:br/>
      </w:r>
      <w:r>
        <w:rPr>
          <w:rFonts w:ascii="Consolas" w:hAnsi="Consolas"/>
          <w:color w:val="333333"/>
          <w:sz w:val="18"/>
        </w:rPr>
        <w:t xml:space="preserve">        ├── Có mã? ──► Tự động điền vào phiếu booking</w:t>
      </w:r>
      <w:r>
        <w:br/>
      </w:r>
      <w:r>
        <w:rPr>
          <w:rFonts w:ascii="Consolas" w:hAnsi="Consolas"/>
          <w:color w:val="333333"/>
          <w:sz w:val="18"/>
        </w:rPr>
        <w:t xml:space="preserve">        │</w:t>
      </w:r>
      <w:r>
        <w:br/>
      </w:r>
      <w:r>
        <w:rPr>
          <w:rFonts w:ascii="Consolas" w:hAnsi="Consolas"/>
          <w:color w:val="333333"/>
          <w:sz w:val="18"/>
        </w:rPr>
        <w:t xml:space="preserve">        └── Chưa có mã? ──► Chế độ OFFLINE QUEUE</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 xml:space="preserve">                            Lưu đệm → Sync khi có kết nối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Ráp căn / Lock căn ──► Hiển thị: Mã BĐS + Mã môi giới</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In phiếu đặt cọc (đã gắn MÃ ĐỊNH DANH BĐS)</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Ký hợp đồng mua bán (HĐMB có đầy đủ: mã BĐS + mã môi giới</w:t>
      </w:r>
      <w:r>
        <w:br/>
      </w:r>
      <w:r>
        <w:rPr>
          <w:rFonts w:ascii="Consolas" w:hAnsi="Consolas"/>
          <w:color w:val="333333"/>
          <w:sz w:val="18"/>
        </w:rPr>
        <w:t xml:space="preserve">                       + số định danh các bên)</w:t>
      </w:r>
      <w:r>
        <w:br/>
      </w:r>
      <w:r>
        <w:rPr>
          <w:rFonts w:ascii="Consolas" w:hAnsi="Consolas"/>
          <w:color w:val="333333"/>
          <w:sz w:val="18"/>
        </w:rPr>
        <w:t xml:space="preserve">        │</w:t>
      </w:r>
      <w:r>
        <w:br/>
      </w:r>
      <w:r>
        <w:rPr>
          <w:rFonts w:ascii="Consolas" w:hAnsi="Consolas"/>
          <w:color w:val="333333"/>
          <w:sz w:val="18"/>
        </w:rPr>
        <w:t xml:space="preserve">        ▼</w:t>
      </w:r>
      <w:r>
        <w:br/>
      </w:r>
      <w:r>
        <w:rPr>
          <w:rFonts w:ascii="Consolas" w:hAnsi="Consolas"/>
          <w:color w:val="333333"/>
          <w:sz w:val="18"/>
        </w:rPr>
        <w:t>Hệ thống đẩy dữ liệu giao dịch lên Cổng quốc gia (API Push)</w:t>
      </w:r>
    </w:p>
    <w:p>
      <w:pPr>
        <w:spacing w:before="120" w:after="120"/>
        <w:pBdr>
          <w:bottom w:val="single" w:sz="12" w:space="1" w:color="CCCCCC"/>
        </w:pBdr>
      </w:pPr>
    </w:p>
    <w:p>
      <w:pPr>
        <w:pStyle w:val="Heading3"/>
        <w:spacing w:before="240" w:after="160"/>
      </w:pPr>
      <w:r>
        <w:rPr>
          <w:rFonts w:ascii="Calibri" w:hAnsi="Calibri" w:eastAsia="Calibri"/>
          <w:color w:val="1A1A2E"/>
          <w:sz w:val="32"/>
        </w:rPr>
        <w:t>Phụ lục E: Cơ sở kỹ thuật công nghệ blockchain</w:t>
      </w:r>
    </w:p>
    <w:p>
      <w:r>
        <w:rPr>
          <w:i/>
        </w:rPr>
        <w:t>Phụ lục này cung cấp nền tảng kỹ thuật làm cơ sở cho các phân tích và nhận định tại Phần 4 của báo cáo. Trình bày theo hướng ứng dụng thực tiễn, không đi sâu vào lý thuyết toán học.</w:t>
      </w:r>
    </w:p>
    <w:p>
      <w:pPr>
        <w:pStyle w:val="Heading4"/>
        <w:spacing w:before="240" w:after="160"/>
      </w:pPr>
      <w:r>
        <w:rPr>
          <w:rFonts w:ascii="Calibri" w:hAnsi="Calibri" w:eastAsia="Calibri"/>
          <w:color w:val="1A1A2E"/>
          <w:sz w:val="28"/>
        </w:rPr>
        <w:t>E.1. Nguyên lý hoạt động cốt lõi của blockchain</w:t>
      </w:r>
    </w:p>
    <w:p>
      <w:r>
        <w:t>Blockchain (chuỗi khối) là một cơ sở dữ liệu phân tán (distributed database) trong đó dữ liệu được tổ chức thành các khối (block) liên kết với nhau theo trình tự thời gian thông qua hàm băm mật mã (cryptographic hash). Mỗi khối chứa:</w:t>
      </w:r>
    </w:p>
    <w:p>
      <w:pPr>
        <w:spacing w:after="40" w:before="20"/>
        <w:ind w:left="720" w:hanging="357"/>
      </w:pPr>
      <w:r>
        <w:rPr>
          <w:sz w:val="20"/>
        </w:rPr>
        <w:t xml:space="preserve">• </w:t>
      </w:r>
      <w:r>
        <w:rPr>
          <w:b/>
        </w:rPr>
        <w:t>Dữ liệu giao dịch:</w:t>
      </w:r>
      <w:r>
        <w:t>Thông tin về hành động được ghi nhận.</w:t>
      </w:r>
    </w:p>
    <w:p>
      <w:pPr>
        <w:spacing w:after="40" w:before="20"/>
        <w:ind w:left="720" w:hanging="357"/>
      </w:pPr>
      <w:r>
        <w:rPr>
          <w:sz w:val="20"/>
        </w:rPr>
        <w:t xml:space="preserve">• </w:t>
      </w:r>
      <w:r>
        <w:rPr>
          <w:b/>
        </w:rPr>
        <w:t>Hash của khối trước:</w:t>
      </w:r>
      <w:r>
        <w:t>Chuỗi ký tự duy nhất đại diện cho khối liền trước, tạo thành “chuỗi” liên kết bất khả phá vỡ.</w:t>
      </w:r>
    </w:p>
    <w:p>
      <w:pPr>
        <w:spacing w:after="40" w:before="20"/>
        <w:ind w:left="720" w:hanging="357"/>
      </w:pPr>
      <w:r>
        <w:rPr>
          <w:sz w:val="20"/>
        </w:rPr>
        <w:t xml:space="preserve">• </w:t>
      </w:r>
      <w:r>
        <w:rPr>
          <w:b/>
        </w:rPr>
        <w:t>Dấu thời gian (timestamp):</w:t>
      </w:r>
      <w:r>
        <w:t>Thời điểm chính xác khối được tạo.</w:t>
      </w:r>
    </w:p>
    <w:p>
      <w:pPr>
        <w:spacing w:after="40" w:before="20"/>
        <w:ind w:left="720" w:hanging="357"/>
      </w:pPr>
      <w:r>
        <w:rPr>
          <w:sz w:val="20"/>
        </w:rPr>
        <w:t xml:space="preserve">• </w:t>
      </w:r>
      <w:r>
        <w:rPr>
          <w:b/>
        </w:rPr>
        <w:t>Nonce / Proof:</w:t>
      </w:r>
      <w:r>
        <w:t>Bằng chứng rằng khối đã được xác nhận bởi mạng lưới.</w:t>
      </w:r>
    </w:p>
    <w:p>
      <w:r>
        <w:rPr>
          <w:b/>
        </w:rPr>
        <w:t>Tại sao dữ liệu trên blockchain không thể bị thay đổi?</w:t>
      </w:r>
      <w:r>
        <w:t xml:space="preserve"> Khi một khối bị sửa đổi, giá trị hash của nó thay đổi, dẫn đến hash trong khối tiếp theo không khớp. Để giả mạo một bản ghi, kẻ tấn công phải tính toán lại hash của tất cả các khối sau đó và kiểm soát đồng thời trên 50% nút mạng (node) - điều này gần như bất khả thi về mặt tính toán.</w:t>
      </w:r>
    </w:p>
    <w:p>
      <w:r>
        <w:rPr>
          <w:b/>
        </w:rPr>
        <w:t>Cơ chế đồng thuận:</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Cơ chế</w:t>
            </w:r>
          </w:p>
        </w:tc>
        <w:tc>
          <w:tcPr>
            <w:tcW w:type="dxa" w:w="1872"/>
            <w:shd w:fill="E2E8F0" w:val="clear"/>
          </w:tcPr>
          <w:p>
            <w:pPr>
              <w:spacing w:before="60" w:after="60"/>
            </w:pPr>
            <w:r>
              <w:rPr>
                <w:rFonts w:ascii="Calibri" w:hAnsi="Calibri"/>
                <w:b/>
                <w:sz w:val="20"/>
              </w:rPr>
              <w:t>Nguyên lý</w:t>
            </w:r>
          </w:p>
        </w:tc>
        <w:tc>
          <w:tcPr>
            <w:tcW w:type="dxa" w:w="1872"/>
            <w:shd w:fill="E2E8F0" w:val="clear"/>
          </w:tcPr>
          <w:p>
            <w:pPr>
              <w:spacing w:before="60" w:after="60"/>
            </w:pPr>
            <w:r>
              <w:rPr>
                <w:rFonts w:ascii="Calibri" w:hAnsi="Calibri"/>
                <w:b/>
                <w:sz w:val="20"/>
              </w:rPr>
              <w:t>Ưu điểm</w:t>
            </w:r>
          </w:p>
        </w:tc>
        <w:tc>
          <w:tcPr>
            <w:tcW w:type="dxa" w:w="1872"/>
            <w:shd w:fill="E2E8F0" w:val="clear"/>
          </w:tcPr>
          <w:p>
            <w:pPr>
              <w:spacing w:before="60" w:after="60"/>
            </w:pPr>
            <w:r>
              <w:rPr>
                <w:rFonts w:ascii="Calibri" w:hAnsi="Calibri"/>
                <w:b/>
                <w:sz w:val="20"/>
              </w:rPr>
              <w:t>Nhược điểm</w:t>
            </w:r>
          </w:p>
        </w:tc>
        <w:tc>
          <w:tcPr>
            <w:tcW w:type="dxa" w:w="1872"/>
            <w:shd w:fill="E2E8F0" w:val="clear"/>
          </w:tcPr>
          <w:p>
            <w:pPr>
              <w:spacing w:before="60" w:after="60"/>
            </w:pPr>
            <w:r>
              <w:rPr>
                <w:rFonts w:ascii="Calibri" w:hAnsi="Calibri"/>
                <w:b/>
                <w:sz w:val="20"/>
              </w:rPr>
              <w:t>Phù hợp cho</w:t>
            </w:r>
          </w:p>
        </w:tc>
      </w:tr>
      <w:tr>
        <w:tc>
          <w:tcPr>
            <w:tcW w:type="dxa" w:w="1872"/>
          </w:tcPr>
          <w:p>
            <w:pPr>
              <w:spacing w:before="60" w:after="60"/>
            </w:pPr>
            <w:r>
              <w:rPr>
                <w:rFonts w:ascii="Calibri" w:hAnsi="Calibri"/>
                <w:sz w:val="20"/>
              </w:rPr>
              <w:t>Proof of Work (PoW)</w:t>
            </w:r>
          </w:p>
        </w:tc>
        <w:tc>
          <w:tcPr>
            <w:tcW w:type="dxa" w:w="1872"/>
          </w:tcPr>
          <w:p>
            <w:pPr>
              <w:spacing w:before="60" w:after="60"/>
            </w:pPr>
            <w:r>
              <w:rPr>
                <w:rFonts w:ascii="Calibri" w:hAnsi="Calibri"/>
                <w:sz w:val="20"/>
              </w:rPr>
              <w:t>Giải bài toán tính toán phức tạp</w:t>
            </w:r>
          </w:p>
        </w:tc>
        <w:tc>
          <w:tcPr>
            <w:tcW w:type="dxa" w:w="1872"/>
          </w:tcPr>
          <w:p>
            <w:pPr>
              <w:spacing w:before="60" w:after="60"/>
            </w:pPr>
            <w:r>
              <w:rPr>
                <w:rFonts w:ascii="Calibri" w:hAnsi="Calibri"/>
                <w:sz w:val="20"/>
              </w:rPr>
              <w:t>Bảo mật cao nhất</w:t>
            </w:r>
          </w:p>
        </w:tc>
        <w:tc>
          <w:tcPr>
            <w:tcW w:type="dxa" w:w="1872"/>
          </w:tcPr>
          <w:p>
            <w:pPr>
              <w:spacing w:before="60" w:after="60"/>
            </w:pPr>
            <w:r>
              <w:rPr>
                <w:rFonts w:ascii="Calibri" w:hAnsi="Calibri"/>
                <w:sz w:val="20"/>
              </w:rPr>
              <w:t>Tiêu tốn năng lượng, chậm (7-30 TPS)</w:t>
            </w:r>
          </w:p>
        </w:tc>
        <w:tc>
          <w:tcPr>
            <w:tcW w:type="dxa" w:w="1872"/>
          </w:tcPr>
          <w:p>
            <w:pPr>
              <w:spacing w:before="60" w:after="60"/>
            </w:pPr>
            <w:r>
              <w:rPr>
                <w:rFonts w:ascii="Calibri" w:hAnsi="Calibri"/>
                <w:sz w:val="20"/>
              </w:rPr>
              <w:t>Bitcoin</w:t>
            </w:r>
          </w:p>
        </w:tc>
      </w:tr>
      <w:tr>
        <w:tc>
          <w:tcPr>
            <w:tcW w:type="dxa" w:w="1872"/>
          </w:tcPr>
          <w:p>
            <w:pPr>
              <w:spacing w:before="60" w:after="60"/>
            </w:pPr>
            <w:r>
              <w:rPr>
                <w:rFonts w:ascii="Calibri" w:hAnsi="Calibri"/>
                <w:sz w:val="20"/>
              </w:rPr>
              <w:t>Proof of Stake (PoS)</w:t>
            </w:r>
          </w:p>
        </w:tc>
        <w:tc>
          <w:tcPr>
            <w:tcW w:type="dxa" w:w="1872"/>
          </w:tcPr>
          <w:p>
            <w:pPr>
              <w:spacing w:before="60" w:after="60"/>
            </w:pPr>
            <w:r>
              <w:rPr>
                <w:rFonts w:ascii="Calibri" w:hAnsi="Calibri"/>
                <w:sz w:val="20"/>
              </w:rPr>
              <w:t>Đặt cọc tài sản số để xác nhận</w:t>
            </w:r>
          </w:p>
        </w:tc>
        <w:tc>
          <w:tcPr>
            <w:tcW w:type="dxa" w:w="1872"/>
          </w:tcPr>
          <w:p>
            <w:pPr>
              <w:spacing w:before="60" w:after="60"/>
            </w:pPr>
            <w:r>
              <w:rPr>
                <w:rFonts w:ascii="Calibri" w:hAnsi="Calibri"/>
                <w:sz w:val="20"/>
              </w:rPr>
              <w:t>Tiết kiệm năng lượng, nhanh hơn</w:t>
            </w:r>
          </w:p>
        </w:tc>
        <w:tc>
          <w:tcPr>
            <w:tcW w:type="dxa" w:w="1872"/>
          </w:tcPr>
          <w:p>
            <w:pPr>
              <w:spacing w:before="60" w:after="60"/>
            </w:pPr>
            <w:r>
              <w:rPr>
                <w:rFonts w:ascii="Calibri" w:hAnsi="Calibri"/>
                <w:sz w:val="20"/>
              </w:rPr>
              <w:t>Rủi ro tập trung hóa</w:t>
            </w:r>
          </w:p>
        </w:tc>
        <w:tc>
          <w:tcPr>
            <w:tcW w:type="dxa" w:w="1872"/>
          </w:tcPr>
          <w:p>
            <w:pPr>
              <w:spacing w:before="60" w:after="60"/>
            </w:pPr>
            <w:r>
              <w:rPr>
                <w:rFonts w:ascii="Calibri" w:hAnsi="Calibri"/>
                <w:sz w:val="20"/>
              </w:rPr>
              <w:t>Ethereum 2.0</w:t>
            </w:r>
          </w:p>
        </w:tc>
      </w:tr>
      <w:tr>
        <w:tc>
          <w:tcPr>
            <w:tcW w:type="dxa" w:w="1872"/>
          </w:tcPr>
          <w:p>
            <w:pPr>
              <w:spacing w:before="60" w:after="60"/>
            </w:pPr>
            <w:r>
              <w:rPr>
                <w:rFonts w:ascii="Calibri" w:hAnsi="Calibri"/>
                <w:sz w:val="20"/>
              </w:rPr>
              <w:t>PBFT / Raft</w:t>
            </w:r>
          </w:p>
        </w:tc>
        <w:tc>
          <w:tcPr>
            <w:tcW w:type="dxa" w:w="1872"/>
          </w:tcPr>
          <w:p>
            <w:pPr>
              <w:spacing w:before="60" w:after="60"/>
            </w:pPr>
            <w:r>
              <w:rPr>
                <w:rFonts w:ascii="Calibri" w:hAnsi="Calibri"/>
                <w:sz w:val="20"/>
              </w:rPr>
              <w:t>Các nút được phép bỏ phiếu đồng thuận</w:t>
            </w:r>
          </w:p>
        </w:tc>
        <w:tc>
          <w:tcPr>
            <w:tcW w:type="dxa" w:w="1872"/>
          </w:tcPr>
          <w:p>
            <w:pPr>
              <w:spacing w:before="60" w:after="60"/>
            </w:pPr>
            <w:r>
              <w:rPr>
                <w:rFonts w:ascii="Calibri" w:hAnsi="Calibri"/>
                <w:sz w:val="20"/>
              </w:rPr>
              <w:t>Nhanh (3.000-20.000 TPS), kiểm soát được</w:t>
            </w:r>
          </w:p>
        </w:tc>
        <w:tc>
          <w:tcPr>
            <w:tcW w:type="dxa" w:w="1872"/>
          </w:tcPr>
          <w:p>
            <w:pPr>
              <w:spacing w:before="60" w:after="60"/>
            </w:pPr>
            <w:r>
              <w:rPr>
                <w:rFonts w:ascii="Calibri" w:hAnsi="Calibri"/>
                <w:sz w:val="20"/>
              </w:rPr>
              <w:t>Yêu cầu danh sách nút cố định</w:t>
            </w:r>
          </w:p>
        </w:tc>
        <w:tc>
          <w:tcPr>
            <w:tcW w:type="dxa" w:w="1872"/>
          </w:tcPr>
          <w:p>
            <w:pPr>
              <w:spacing w:before="60" w:after="60"/>
            </w:pPr>
            <w:r>
              <w:rPr>
                <w:rFonts w:ascii="Calibri" w:hAnsi="Calibri"/>
                <w:sz w:val="20"/>
              </w:rPr>
              <w:t>Hyperledger Fabric - phù hợp cho hệ thống nhà nước</w:t>
            </w:r>
          </w:p>
        </w:tc>
      </w:tr>
    </w:tbl>
    <w:p>
      <w:pPr>
        <w:spacing w:before="0" w:after="80"/>
      </w:pPr>
    </w:p>
    <w:p>
      <w:pPr>
        <w:pStyle w:val="Heading4"/>
        <w:spacing w:before="240" w:after="160"/>
      </w:pPr>
      <w:r>
        <w:rPr>
          <w:rFonts w:ascii="Calibri" w:hAnsi="Calibri" w:eastAsia="Calibri"/>
          <w:color w:val="1A1A2E"/>
          <w:sz w:val="28"/>
        </w:rPr>
        <w:t>E.2. So sánh blockchain công khai và blockchain có phép</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Tiêu chí</w:t>
            </w:r>
          </w:p>
        </w:tc>
        <w:tc>
          <w:tcPr>
            <w:tcW w:type="dxa" w:w="2340"/>
            <w:shd w:fill="E2E8F0" w:val="clear"/>
          </w:tcPr>
          <w:p>
            <w:pPr>
              <w:spacing w:before="60" w:after="60"/>
            </w:pPr>
            <w:r>
              <w:rPr>
                <w:rFonts w:ascii="Calibri" w:hAnsi="Calibri"/>
                <w:b/>
                <w:sz w:val="20"/>
              </w:rPr>
              <w:t>Blockchain công khai</w:t>
            </w:r>
          </w:p>
        </w:tc>
        <w:tc>
          <w:tcPr>
            <w:tcW w:type="dxa" w:w="2340"/>
            <w:shd w:fill="E2E8F0" w:val="clear"/>
          </w:tcPr>
          <w:p>
            <w:pPr>
              <w:spacing w:before="60" w:after="60"/>
            </w:pPr>
            <w:r>
              <w:rPr>
                <w:rFonts w:ascii="Calibri" w:hAnsi="Calibri"/>
                <w:b/>
                <w:sz w:val="20"/>
              </w:rPr>
              <w:t>Blockchain có phép (permissioned)</w:t>
            </w:r>
          </w:p>
        </w:tc>
        <w:tc>
          <w:tcPr>
            <w:tcW w:type="dxa" w:w="2340"/>
            <w:shd w:fill="E2E8F0" w:val="clear"/>
          </w:tcPr>
          <w:p>
            <w:pPr>
              <w:spacing w:before="60" w:after="60"/>
            </w:pPr>
            <w:r>
              <w:rPr>
                <w:rFonts w:ascii="Calibri" w:hAnsi="Calibri"/>
                <w:b/>
                <w:sz w:val="20"/>
              </w:rPr>
              <w:t>Nhận định cho NĐ 357</w:t>
            </w:r>
          </w:p>
        </w:tc>
      </w:tr>
      <w:tr>
        <w:tc>
          <w:tcPr>
            <w:tcW w:type="dxa" w:w="2340"/>
          </w:tcPr>
          <w:p>
            <w:pPr>
              <w:spacing w:before="60" w:after="60"/>
            </w:pPr>
            <w:r>
              <w:rPr>
                <w:rFonts w:ascii="Calibri" w:hAnsi="Calibri"/>
                <w:sz w:val="20"/>
              </w:rPr>
              <w:t>Quyền tham gia</w:t>
            </w:r>
          </w:p>
        </w:tc>
        <w:tc>
          <w:tcPr>
            <w:tcW w:type="dxa" w:w="2340"/>
          </w:tcPr>
          <w:p>
            <w:pPr>
              <w:spacing w:before="60" w:after="60"/>
            </w:pPr>
            <w:r>
              <w:rPr>
                <w:rFonts w:ascii="Calibri" w:hAnsi="Calibri"/>
                <w:sz w:val="20"/>
              </w:rPr>
              <w:t>Bất kỳ ai đều có thể tham gia</w:t>
            </w:r>
          </w:p>
        </w:tc>
        <w:tc>
          <w:tcPr>
            <w:tcW w:type="dxa" w:w="2340"/>
          </w:tcPr>
          <w:p>
            <w:pPr>
              <w:spacing w:before="60" w:after="60"/>
            </w:pPr>
            <w:r>
              <w:rPr>
                <w:rFonts w:ascii="Calibri" w:hAnsi="Calibri"/>
                <w:sz w:val="20"/>
              </w:rPr>
              <w:t>Chỉ các tổ chức được cấp phép</w:t>
            </w:r>
          </w:p>
        </w:tc>
        <w:tc>
          <w:tcPr>
            <w:tcW w:type="dxa" w:w="2340"/>
          </w:tcPr>
          <w:p>
            <w:pPr>
              <w:spacing w:before="60" w:after="60"/>
            </w:pPr>
            <w:r>
              <w:rPr>
                <w:rFonts w:ascii="Calibri" w:hAnsi="Calibri"/>
                <w:sz w:val="20"/>
              </w:rPr>
              <w:t>NĐ 357 yêu cầu quản lý tập trung → permissioned phù hợp</w:t>
            </w:r>
          </w:p>
        </w:tc>
      </w:tr>
      <w:tr>
        <w:tc>
          <w:tcPr>
            <w:tcW w:type="dxa" w:w="2340"/>
          </w:tcPr>
          <w:p>
            <w:pPr>
              <w:spacing w:before="60" w:after="60"/>
            </w:pPr>
            <w:r>
              <w:rPr>
                <w:rFonts w:ascii="Calibri" w:hAnsi="Calibri"/>
                <w:sz w:val="20"/>
              </w:rPr>
              <w:t>Tốc độ xử lý</w:t>
            </w:r>
          </w:p>
        </w:tc>
        <w:tc>
          <w:tcPr>
            <w:tcW w:type="dxa" w:w="2340"/>
          </w:tcPr>
          <w:p>
            <w:pPr>
              <w:spacing w:before="60" w:after="60"/>
            </w:pPr>
            <w:r>
              <w:rPr>
                <w:rFonts w:ascii="Calibri" w:hAnsi="Calibri"/>
                <w:sz w:val="20"/>
              </w:rPr>
              <w:t>15-30 TPS (Ethereum L1)</w:t>
            </w:r>
          </w:p>
        </w:tc>
        <w:tc>
          <w:tcPr>
            <w:tcW w:type="dxa" w:w="2340"/>
          </w:tcPr>
          <w:p>
            <w:pPr>
              <w:spacing w:before="60" w:after="60"/>
            </w:pPr>
            <w:r>
              <w:rPr>
                <w:rFonts w:ascii="Calibri" w:hAnsi="Calibri"/>
                <w:sz w:val="20"/>
              </w:rPr>
              <w:t>3.000-20.000 TPS</w:t>
            </w:r>
          </w:p>
        </w:tc>
        <w:tc>
          <w:tcPr>
            <w:tcW w:type="dxa" w:w="2340"/>
          </w:tcPr>
          <w:p>
            <w:pPr>
              <w:spacing w:before="60" w:after="60"/>
            </w:pPr>
            <w:r>
              <w:rPr>
                <w:rFonts w:ascii="Calibri" w:hAnsi="Calibri"/>
                <w:sz w:val="20"/>
              </w:rPr>
              <w:t>Đủ đáp ứng hàng triệu giao dịch/năm</w:t>
            </w:r>
          </w:p>
        </w:tc>
      </w:tr>
      <w:tr>
        <w:tc>
          <w:tcPr>
            <w:tcW w:type="dxa" w:w="2340"/>
          </w:tcPr>
          <w:p>
            <w:pPr>
              <w:spacing w:before="60" w:after="60"/>
            </w:pPr>
            <w:r>
              <w:rPr>
                <w:rFonts w:ascii="Calibri" w:hAnsi="Calibri"/>
                <w:sz w:val="20"/>
              </w:rPr>
              <w:t>Bảo mật dữ liệu</w:t>
            </w:r>
          </w:p>
        </w:tc>
        <w:tc>
          <w:tcPr>
            <w:tcW w:type="dxa" w:w="2340"/>
          </w:tcPr>
          <w:p>
            <w:pPr>
              <w:spacing w:before="60" w:after="60"/>
            </w:pPr>
            <w:r>
              <w:rPr>
                <w:rFonts w:ascii="Calibri" w:hAnsi="Calibri"/>
                <w:sz w:val="20"/>
              </w:rPr>
              <w:t>Dữ liệu công khai cho mọi người</w:t>
            </w:r>
          </w:p>
        </w:tc>
        <w:tc>
          <w:tcPr>
            <w:tcW w:type="dxa" w:w="2340"/>
          </w:tcPr>
          <w:p>
            <w:pPr>
              <w:spacing w:before="60" w:after="60"/>
            </w:pPr>
            <w:r>
              <w:rPr>
                <w:rFonts w:ascii="Calibri" w:hAnsi="Calibri"/>
                <w:sz w:val="20"/>
              </w:rPr>
              <w:t>Phân quyền theo vai trò</w:t>
            </w:r>
          </w:p>
        </w:tc>
        <w:tc>
          <w:tcPr>
            <w:tcW w:type="dxa" w:w="2340"/>
          </w:tcPr>
          <w:p>
            <w:pPr>
              <w:spacing w:before="60" w:after="60"/>
            </w:pPr>
            <w:r>
              <w:rPr>
                <w:rFonts w:ascii="Calibri" w:hAnsi="Calibri"/>
                <w:sz w:val="20"/>
              </w:rPr>
              <w:t>Phù hợp yêu cầu bảo vệ dữ liệu cá nhân (Điều 4 khoản 7)</w:t>
            </w:r>
          </w:p>
        </w:tc>
      </w:tr>
      <w:tr>
        <w:tc>
          <w:tcPr>
            <w:tcW w:type="dxa" w:w="2340"/>
          </w:tcPr>
          <w:p>
            <w:pPr>
              <w:spacing w:before="60" w:after="60"/>
            </w:pPr>
            <w:r>
              <w:rPr>
                <w:rFonts w:ascii="Calibri" w:hAnsi="Calibri"/>
                <w:sz w:val="20"/>
              </w:rPr>
              <w:t>Chi phí giao dịch</w:t>
            </w:r>
          </w:p>
        </w:tc>
        <w:tc>
          <w:tcPr>
            <w:tcW w:type="dxa" w:w="2340"/>
          </w:tcPr>
          <w:p>
            <w:pPr>
              <w:spacing w:before="60" w:after="60"/>
            </w:pPr>
            <w:r>
              <w:rPr>
                <w:rFonts w:ascii="Calibri" w:hAnsi="Calibri"/>
                <w:sz w:val="20"/>
              </w:rPr>
              <w:t>Phí gas biến động (1-50 USD/tx)</w:t>
            </w:r>
          </w:p>
        </w:tc>
        <w:tc>
          <w:tcPr>
            <w:tcW w:type="dxa" w:w="2340"/>
          </w:tcPr>
          <w:p>
            <w:pPr>
              <w:spacing w:before="60" w:after="60"/>
            </w:pPr>
            <w:r>
              <w:rPr>
                <w:rFonts w:ascii="Calibri" w:hAnsi="Calibri"/>
                <w:sz w:val="20"/>
              </w:rPr>
              <w:t>Gần bằng 0 (self-hosted)</w:t>
            </w:r>
          </w:p>
        </w:tc>
        <w:tc>
          <w:tcPr>
            <w:tcW w:type="dxa" w:w="2340"/>
          </w:tcPr>
          <w:p>
            <w:pPr>
              <w:spacing w:before="60" w:after="60"/>
            </w:pPr>
            <w:r>
              <w:rPr>
                <w:rFonts w:ascii="Calibri" w:hAnsi="Calibri"/>
                <w:sz w:val="20"/>
              </w:rPr>
              <w:t>Tiết kiệm chi phí vận hành</w:t>
            </w:r>
          </w:p>
        </w:tc>
      </w:tr>
      <w:tr>
        <w:tc>
          <w:tcPr>
            <w:tcW w:type="dxa" w:w="2340"/>
          </w:tcPr>
          <w:p>
            <w:pPr>
              <w:spacing w:before="60" w:after="60"/>
            </w:pPr>
            <w:r>
              <w:rPr>
                <w:rFonts w:ascii="Calibri" w:hAnsi="Calibri"/>
                <w:sz w:val="20"/>
              </w:rPr>
              <w:t>Nền tảng tiêu biểu</w:t>
            </w:r>
          </w:p>
        </w:tc>
        <w:tc>
          <w:tcPr>
            <w:tcW w:type="dxa" w:w="2340"/>
          </w:tcPr>
          <w:p>
            <w:pPr>
              <w:spacing w:before="60" w:after="60"/>
            </w:pPr>
            <w:r>
              <w:rPr>
                <w:rFonts w:ascii="Calibri" w:hAnsi="Calibri"/>
                <w:sz w:val="20"/>
              </w:rPr>
              <w:t>Ethereum, Solana, Polygon</w:t>
            </w:r>
          </w:p>
        </w:tc>
        <w:tc>
          <w:tcPr>
            <w:tcW w:type="dxa" w:w="2340"/>
          </w:tcPr>
          <w:p>
            <w:pPr>
              <w:spacing w:before="60" w:after="60"/>
            </w:pPr>
            <w:r>
              <w:rPr>
                <w:rFonts w:ascii="Calibri" w:hAnsi="Calibri"/>
                <w:sz w:val="20"/>
              </w:rPr>
              <w:t>Hyperledger Fabric, Corda, Quorum</w:t>
            </w:r>
          </w:p>
        </w:tc>
        <w:tc>
          <w:tcPr>
            <w:tcW w:type="dxa" w:w="2340"/>
          </w:tcPr>
          <w:p>
            <w:pPr>
              <w:spacing w:before="60" w:after="60"/>
            </w:pPr>
            <w:r>
              <w:rPr>
                <w:rFonts w:ascii="Calibri" w:hAnsi="Calibri"/>
                <w:sz w:val="20"/>
              </w:rPr>
              <w:t>Hyperledger Fabric là lựa chọn ưu tiên cho Chính phủ</w:t>
            </w:r>
          </w:p>
        </w:tc>
      </w:tr>
    </w:tbl>
    <w:p>
      <w:pPr>
        <w:spacing w:before="0" w:after="80"/>
      </w:pPr>
    </w:p>
    <w:p>
      <w:r>
        <w:rPr>
          <w:b/>
        </w:rPr>
        <w:t>Kết luận kỹ thuật:</w:t>
      </w:r>
      <w:r>
        <w:t xml:space="preserve"> Đối với hệ thống định danh BĐS quốc gia, blockchain permissioned (cụ thể là Hyperledger Fabric hoặc giải pháp tương đương) là kiến trúc phù hợp.</w:t>
      </w:r>
    </w:p>
    <w:p>
      <w:pPr>
        <w:pStyle w:val="Heading4"/>
        <w:spacing w:before="240" w:after="160"/>
      </w:pPr>
      <w:r>
        <w:rPr>
          <w:rFonts w:ascii="Calibri" w:hAnsi="Calibri" w:eastAsia="Calibri"/>
          <w:color w:val="1A1A2E"/>
          <w:sz w:val="28"/>
        </w:rPr>
        <w:t>E.3. Hợp đồng thông minh (Smart Contract)</w:t>
      </w:r>
    </w:p>
    <w:p>
      <w:r>
        <w:t>Hợp đồng thông minh là chương trình phần mềm tự thực thi được lưu trữ trên blockchain. Khi các điều kiện được lập trình sẵn được đáp ứng, hợp đồng tự động thực hiện các bước mà không cần trung gian.</w:t>
      </w:r>
    </w:p>
    <w:p>
      <w:r>
        <w:rPr>
          <w:b/>
        </w:rPr>
        <w:t>Ứng dụng tiềm năng cho hệ sinh thái Sun Group:</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Quy trình hiện tại</w:t>
            </w:r>
          </w:p>
        </w:tc>
        <w:tc>
          <w:tcPr>
            <w:tcW w:type="dxa" w:w="2340"/>
            <w:shd w:fill="E2E8F0" w:val="clear"/>
          </w:tcPr>
          <w:p>
            <w:pPr>
              <w:spacing w:before="60" w:after="60"/>
            </w:pPr>
            <w:r>
              <w:rPr>
                <w:rFonts w:ascii="Calibri" w:hAnsi="Calibri"/>
                <w:b/>
                <w:sz w:val="20"/>
              </w:rPr>
              <w:t>Giải pháp Smart Contract</w:t>
            </w:r>
          </w:p>
        </w:tc>
        <w:tc>
          <w:tcPr>
            <w:tcW w:type="dxa" w:w="2340"/>
            <w:shd w:fill="E2E8F0" w:val="clear"/>
          </w:tcPr>
          <w:p>
            <w:pPr>
              <w:spacing w:before="60" w:after="60"/>
            </w:pPr>
            <w:r>
              <w:rPr>
                <w:rFonts w:ascii="Calibri" w:hAnsi="Calibri"/>
                <w:b/>
                <w:sz w:val="20"/>
              </w:rPr>
              <w:t>Mục tiêu lợi ích</w:t>
            </w:r>
          </w:p>
        </w:tc>
        <w:tc>
          <w:tcPr>
            <w:tcW w:type="dxa" w:w="2340"/>
            <w:shd w:fill="E2E8F0" w:val="clear"/>
          </w:tcPr>
          <w:p>
            <w:pPr>
              <w:spacing w:before="60" w:after="60"/>
            </w:pPr>
            <w:r>
              <w:rPr>
                <w:rFonts w:ascii="Calibri" w:hAnsi="Calibri"/>
                <w:b/>
                <w:sz w:val="20"/>
              </w:rPr>
              <w:t>Ghi chú</w:t>
            </w:r>
          </w:p>
        </w:tc>
      </w:tr>
      <w:tr>
        <w:tc>
          <w:tcPr>
            <w:tcW w:type="dxa" w:w="2340"/>
          </w:tcPr>
          <w:p>
            <w:pPr>
              <w:spacing w:before="60" w:after="60"/>
            </w:pPr>
            <w:r>
              <w:rPr>
                <w:rFonts w:ascii="Calibri" w:hAnsi="Calibri"/>
                <w:sz w:val="20"/>
              </w:rPr>
              <w:t>Xác nhận quyền sở hữu qua công chứng mất 5-15 ngày</w:t>
            </w:r>
          </w:p>
        </w:tc>
        <w:tc>
          <w:tcPr>
            <w:tcW w:type="dxa" w:w="2340"/>
          </w:tcPr>
          <w:p>
            <w:pPr>
              <w:spacing w:before="60" w:after="60"/>
            </w:pPr>
            <w:r>
              <w:rPr>
                <w:rFonts w:ascii="Calibri" w:hAnsi="Calibri"/>
                <w:sz w:val="20"/>
              </w:rPr>
              <w:t>Smart contract tự động xác minh lịch sử sở hữu on-chain</w:t>
            </w:r>
          </w:p>
        </w:tc>
        <w:tc>
          <w:tcPr>
            <w:tcW w:type="dxa" w:w="2340"/>
          </w:tcPr>
          <w:p>
            <w:pPr>
              <w:spacing w:before="60" w:after="60"/>
            </w:pPr>
            <w:r>
              <w:rPr>
                <w:rFonts w:ascii="Calibri" w:hAnsi="Calibri"/>
                <w:sz w:val="20"/>
              </w:rPr>
              <w:t>Giảm 80-90% thời gian xác nhận</w:t>
            </w:r>
          </w:p>
        </w:tc>
        <w:tc>
          <w:tcPr>
            <w:tcW w:type="dxa" w:w="2340"/>
          </w:tcPr>
          <w:p>
            <w:pPr>
              <w:spacing w:before="60" w:after="60"/>
            </w:pPr>
            <w:r>
              <w:rPr>
                <w:rFonts w:ascii="Calibri" w:hAnsi="Calibri"/>
                <w:sz w:val="20"/>
              </w:rPr>
            </w:r>
          </w:p>
        </w:tc>
      </w:tr>
      <w:tr>
        <w:tc>
          <w:tcPr>
            <w:tcW w:type="dxa" w:w="2340"/>
          </w:tcPr>
          <w:p>
            <w:pPr>
              <w:spacing w:before="60" w:after="60"/>
            </w:pPr>
            <w:r>
              <w:rPr>
                <w:rFonts w:ascii="Calibri" w:hAnsi="Calibri"/>
                <w:sz w:val="20"/>
              </w:rPr>
              <w:t>Chia sẻ doanh thu rental pool → đối soát thủ công</w:t>
            </w:r>
          </w:p>
        </w:tc>
        <w:tc>
          <w:tcPr>
            <w:tcW w:type="dxa" w:w="2340"/>
          </w:tcPr>
          <w:p>
            <w:pPr>
              <w:spacing w:before="60" w:after="60"/>
            </w:pPr>
            <w:r>
              <w:rPr>
                <w:rFonts w:ascii="Calibri" w:hAnsi="Calibri"/>
                <w:sz w:val="20"/>
              </w:rPr>
              <w:t>Smart contract tự động phân chia doanh thu theo tỷ lệ</w:t>
            </w:r>
          </w:p>
        </w:tc>
        <w:tc>
          <w:tcPr>
            <w:tcW w:type="dxa" w:w="2340"/>
          </w:tcPr>
          <w:p>
            <w:pPr>
              <w:spacing w:before="60" w:after="60"/>
            </w:pPr>
            <w:r>
              <w:rPr>
                <w:rFonts w:ascii="Calibri" w:hAnsi="Calibri"/>
                <w:sz w:val="20"/>
              </w:rPr>
              <w:t>Loại bỏ tranh chấp chia doanh thu</w:t>
            </w:r>
          </w:p>
        </w:tc>
        <w:tc>
          <w:tcPr>
            <w:tcW w:type="dxa" w:w="2340"/>
          </w:tcPr>
          <w:p>
            <w:pPr>
              <w:spacing w:before="60" w:after="60"/>
            </w:pPr>
            <w:r>
              <w:rPr>
                <w:rFonts w:ascii="Calibri" w:hAnsi="Calibri"/>
                <w:sz w:val="20"/>
              </w:rPr>
            </w:r>
          </w:p>
        </w:tc>
      </w:tr>
      <w:tr>
        <w:tc>
          <w:tcPr>
            <w:tcW w:type="dxa" w:w="2340"/>
          </w:tcPr>
          <w:p>
            <w:pPr>
              <w:spacing w:before="60" w:after="60"/>
            </w:pPr>
            <w:r>
              <w:rPr>
                <w:rFonts w:ascii="Calibri" w:hAnsi="Calibri"/>
                <w:sz w:val="20"/>
              </w:rPr>
              <w:t>Chuyển nhượng thứ cấp → qua nhiều trung gian</w:t>
            </w:r>
          </w:p>
        </w:tc>
        <w:tc>
          <w:tcPr>
            <w:tcW w:type="dxa" w:w="2340"/>
          </w:tcPr>
          <w:p>
            <w:pPr>
              <w:spacing w:before="60" w:after="60"/>
            </w:pPr>
            <w:r>
              <w:rPr>
                <w:rFonts w:ascii="Calibri" w:hAnsi="Calibri"/>
                <w:sz w:val="20"/>
              </w:rPr>
              <w:t>Escrow smart contract</w:t>
            </w:r>
          </w:p>
        </w:tc>
        <w:tc>
          <w:tcPr>
            <w:tcW w:type="dxa" w:w="2340"/>
          </w:tcPr>
          <w:p>
            <w:pPr>
              <w:spacing w:before="60" w:after="60"/>
            </w:pPr>
            <w:r>
              <w:rPr>
                <w:rFonts w:ascii="Calibri" w:hAnsi="Calibri"/>
                <w:sz w:val="20"/>
              </w:rPr>
              <w:t>Giảm chi phí trung gian, tăng tốc giao dịch</w:t>
            </w:r>
          </w:p>
        </w:tc>
        <w:tc>
          <w:tcPr>
            <w:tcW w:type="dxa" w:w="2340"/>
          </w:tcPr>
          <w:p>
            <w:pPr>
              <w:spacing w:before="60" w:after="60"/>
            </w:pPr>
            <w:r>
              <w:rPr>
                <w:rFonts w:ascii="Calibri" w:hAnsi="Calibri"/>
                <w:sz w:val="20"/>
              </w:rPr>
              <w:t>Chưa khả thi trong tương lai gần do yếu tố pháp lý</w:t>
            </w:r>
          </w:p>
        </w:tc>
      </w:tr>
      <w:tr>
        <w:tc>
          <w:tcPr>
            <w:tcW w:type="dxa" w:w="2340"/>
          </w:tcPr>
          <w:p>
            <w:pPr>
              <w:spacing w:before="60" w:after="60"/>
            </w:pPr>
            <w:r>
              <w:rPr>
                <w:rFonts w:ascii="Calibri" w:hAnsi="Calibri"/>
                <w:sz w:val="20"/>
              </w:rPr>
              <w:t>Kiểm tra mã định danh môi giới → tra cứu thủ công</w:t>
            </w:r>
          </w:p>
        </w:tc>
        <w:tc>
          <w:tcPr>
            <w:tcW w:type="dxa" w:w="2340"/>
          </w:tcPr>
          <w:p>
            <w:pPr>
              <w:spacing w:before="60" w:after="60"/>
            </w:pPr>
            <w:r>
              <w:rPr>
                <w:rFonts w:ascii="Calibri" w:hAnsi="Calibri"/>
                <w:sz w:val="20"/>
              </w:rPr>
              <w:t>Smart contract tự động xác thực mã 17 ký tự</w:t>
            </w:r>
          </w:p>
        </w:tc>
        <w:tc>
          <w:tcPr>
            <w:tcW w:type="dxa" w:w="2340"/>
          </w:tcPr>
          <w:p>
            <w:pPr>
              <w:spacing w:before="60" w:after="60"/>
            </w:pPr>
            <w:r>
              <w:rPr>
                <w:rFonts w:ascii="Calibri" w:hAnsi="Calibri"/>
                <w:sz w:val="20"/>
              </w:rPr>
              <w:t>Rule-block tự động</w:t>
            </w:r>
          </w:p>
        </w:tc>
        <w:tc>
          <w:tcPr>
            <w:tcW w:type="dxa" w:w="2340"/>
          </w:tcPr>
          <w:p>
            <w:pPr>
              <w:spacing w:before="60" w:after="60"/>
            </w:pPr>
            <w:r>
              <w:rPr>
                <w:rFonts w:ascii="Calibri" w:hAnsi="Calibri"/>
                <w:sz w:val="20"/>
              </w:rPr>
            </w:r>
          </w:p>
        </w:tc>
      </w:tr>
    </w:tbl>
    <w:p>
      <w:pPr>
        <w:spacing w:before="0" w:after="80"/>
      </w:pPr>
    </w:p>
    <w:p>
      <w:pPr>
        <w:pStyle w:val="Heading4"/>
        <w:spacing w:before="240" w:after="160"/>
      </w:pPr>
      <w:r>
        <w:rPr>
          <w:rFonts w:ascii="Calibri" w:hAnsi="Calibri" w:eastAsia="Calibri"/>
          <w:color w:val="1A1A2E"/>
          <w:sz w:val="28"/>
        </w:rPr>
        <w:t>E.4. Khả năng mở rộng (Scalability)</w:t>
      </w:r>
    </w:p>
    <w:p>
      <w:pPr>
        <w:spacing w:before="80" w:after="0"/>
      </w:pP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val="clear"/>
          </w:tcPr>
          <w:p>
            <w:pPr>
              <w:spacing w:before="60" w:after="60"/>
            </w:pPr>
            <w:r>
              <w:rPr>
                <w:rFonts w:ascii="Calibri" w:hAnsi="Calibri"/>
                <w:b/>
                <w:sz w:val="20"/>
              </w:rPr>
              <w:t>Nền tảng</w:t>
            </w:r>
          </w:p>
        </w:tc>
        <w:tc>
          <w:tcPr>
            <w:tcW w:type="dxa" w:w="1872"/>
            <w:shd w:fill="E2E8F0" w:val="clear"/>
          </w:tcPr>
          <w:p>
            <w:pPr>
              <w:spacing w:before="60" w:after="60"/>
            </w:pPr>
            <w:r>
              <w:rPr>
                <w:rFonts w:ascii="Calibri" w:hAnsi="Calibri"/>
                <w:b/>
                <w:sz w:val="20"/>
              </w:rPr>
              <w:t>Loại</w:t>
            </w:r>
          </w:p>
        </w:tc>
        <w:tc>
          <w:tcPr>
            <w:tcW w:type="dxa" w:w="1872"/>
            <w:shd w:fill="E2E8F0" w:val="clear"/>
          </w:tcPr>
          <w:p>
            <w:pPr>
              <w:spacing w:before="60" w:after="60"/>
            </w:pPr>
            <w:r>
              <w:rPr>
                <w:rFonts w:ascii="Calibri" w:hAnsi="Calibri"/>
                <w:b/>
                <w:sz w:val="20"/>
              </w:rPr>
              <w:t>TPS</w:t>
            </w:r>
          </w:p>
        </w:tc>
        <w:tc>
          <w:tcPr>
            <w:tcW w:type="dxa" w:w="1872"/>
            <w:shd w:fill="E2E8F0" w:val="clear"/>
          </w:tcPr>
          <w:p>
            <w:pPr>
              <w:spacing w:before="60" w:after="60"/>
            </w:pPr>
            <w:r>
              <w:rPr>
                <w:rFonts w:ascii="Calibri" w:hAnsi="Calibri"/>
                <w:b/>
                <w:sz w:val="20"/>
              </w:rPr>
              <w:t>Thời gian xác nhận</w:t>
            </w:r>
          </w:p>
        </w:tc>
        <w:tc>
          <w:tcPr>
            <w:tcW w:type="dxa" w:w="1872"/>
            <w:shd w:fill="E2E8F0" w:val="clear"/>
          </w:tcPr>
          <w:p>
            <w:pPr>
              <w:spacing w:before="60" w:after="60"/>
            </w:pPr>
            <w:r>
              <w:rPr>
                <w:rFonts w:ascii="Calibri" w:hAnsi="Calibri"/>
                <w:b/>
                <w:sz w:val="20"/>
              </w:rPr>
              <w:t>Ghi chú</w:t>
            </w:r>
          </w:p>
        </w:tc>
      </w:tr>
      <w:tr>
        <w:tc>
          <w:tcPr>
            <w:tcW w:type="dxa" w:w="1872"/>
          </w:tcPr>
          <w:p>
            <w:pPr>
              <w:spacing w:before="60" w:after="60"/>
            </w:pPr>
            <w:r>
              <w:rPr>
                <w:rFonts w:ascii="Calibri" w:hAnsi="Calibri"/>
                <w:sz w:val="20"/>
              </w:rPr>
              <w:t>Bitcoin</w:t>
            </w:r>
          </w:p>
        </w:tc>
        <w:tc>
          <w:tcPr>
            <w:tcW w:type="dxa" w:w="1872"/>
          </w:tcPr>
          <w:p>
            <w:pPr>
              <w:spacing w:before="60" w:after="60"/>
            </w:pPr>
            <w:r>
              <w:rPr>
                <w:rFonts w:ascii="Calibri" w:hAnsi="Calibri"/>
                <w:sz w:val="20"/>
              </w:rPr>
              <w:t>Public/PoW</w:t>
            </w:r>
          </w:p>
        </w:tc>
        <w:tc>
          <w:tcPr>
            <w:tcW w:type="dxa" w:w="1872"/>
          </w:tcPr>
          <w:p>
            <w:pPr>
              <w:spacing w:before="60" w:after="60"/>
            </w:pPr>
            <w:r>
              <w:rPr>
                <w:rFonts w:ascii="Calibri" w:hAnsi="Calibri"/>
                <w:sz w:val="20"/>
              </w:rPr>
              <w:t>7</w:t>
            </w:r>
          </w:p>
        </w:tc>
        <w:tc>
          <w:tcPr>
            <w:tcW w:type="dxa" w:w="1872"/>
          </w:tcPr>
          <w:p>
            <w:pPr>
              <w:spacing w:before="60" w:after="60"/>
            </w:pPr>
            <w:r>
              <w:rPr>
                <w:rFonts w:ascii="Calibri" w:hAnsi="Calibri"/>
                <w:sz w:val="20"/>
              </w:rPr>
              <w:t>10 phút</w:t>
            </w:r>
          </w:p>
        </w:tc>
        <w:tc>
          <w:tcPr>
            <w:tcW w:type="dxa" w:w="1872"/>
          </w:tcPr>
          <w:p>
            <w:pPr>
              <w:spacing w:before="60" w:after="60"/>
            </w:pPr>
            <w:r>
              <w:rPr>
                <w:rFonts w:ascii="Calibri" w:hAnsi="Calibri"/>
                <w:sz w:val="20"/>
              </w:rPr>
              <w:t>Không phù hợp cho ứng dụng BĐS</w:t>
            </w:r>
          </w:p>
        </w:tc>
      </w:tr>
      <w:tr>
        <w:tc>
          <w:tcPr>
            <w:tcW w:type="dxa" w:w="1872"/>
          </w:tcPr>
          <w:p>
            <w:pPr>
              <w:spacing w:before="60" w:after="60"/>
            </w:pPr>
            <w:r>
              <w:rPr>
                <w:rFonts w:ascii="Calibri" w:hAnsi="Calibri"/>
                <w:sz w:val="20"/>
              </w:rPr>
              <w:t>Ethereum L1</w:t>
            </w:r>
          </w:p>
        </w:tc>
        <w:tc>
          <w:tcPr>
            <w:tcW w:type="dxa" w:w="1872"/>
          </w:tcPr>
          <w:p>
            <w:pPr>
              <w:spacing w:before="60" w:after="60"/>
            </w:pPr>
            <w:r>
              <w:rPr>
                <w:rFonts w:ascii="Calibri" w:hAnsi="Calibri"/>
                <w:sz w:val="20"/>
              </w:rPr>
              <w:t>Public/PoS</w:t>
            </w:r>
          </w:p>
        </w:tc>
        <w:tc>
          <w:tcPr>
            <w:tcW w:type="dxa" w:w="1872"/>
          </w:tcPr>
          <w:p>
            <w:pPr>
              <w:spacing w:before="60" w:after="60"/>
            </w:pPr>
            <w:r>
              <w:rPr>
                <w:rFonts w:ascii="Calibri" w:hAnsi="Calibri"/>
                <w:sz w:val="20"/>
              </w:rPr>
              <w:t>15-30</w:t>
            </w:r>
          </w:p>
        </w:tc>
        <w:tc>
          <w:tcPr>
            <w:tcW w:type="dxa" w:w="1872"/>
          </w:tcPr>
          <w:p>
            <w:pPr>
              <w:spacing w:before="60" w:after="60"/>
            </w:pPr>
            <w:r>
              <w:rPr>
                <w:rFonts w:ascii="Calibri" w:hAnsi="Calibri"/>
                <w:sz w:val="20"/>
              </w:rPr>
              <w:t>12 giây</w:t>
            </w:r>
          </w:p>
        </w:tc>
        <w:tc>
          <w:tcPr>
            <w:tcW w:type="dxa" w:w="1872"/>
          </w:tcPr>
          <w:p>
            <w:pPr>
              <w:spacing w:before="60" w:after="60"/>
            </w:pPr>
            <w:r>
              <w:rPr>
                <w:rFonts w:ascii="Calibri" w:hAnsi="Calibri"/>
                <w:sz w:val="20"/>
              </w:rPr>
              <w:t>Quá chậm cho quy mô quốc gia</w:t>
            </w:r>
          </w:p>
        </w:tc>
      </w:tr>
      <w:tr>
        <w:tc>
          <w:tcPr>
            <w:tcW w:type="dxa" w:w="1872"/>
          </w:tcPr>
          <w:p>
            <w:pPr>
              <w:spacing w:before="60" w:after="60"/>
            </w:pPr>
            <w:r>
              <w:rPr>
                <w:rFonts w:ascii="Calibri" w:hAnsi="Calibri"/>
                <w:sz w:val="20"/>
              </w:rPr>
              <w:t>Ethereum L2 (Arbitrum)</w:t>
            </w:r>
          </w:p>
        </w:tc>
        <w:tc>
          <w:tcPr>
            <w:tcW w:type="dxa" w:w="1872"/>
          </w:tcPr>
          <w:p>
            <w:pPr>
              <w:spacing w:before="60" w:after="60"/>
            </w:pPr>
            <w:r>
              <w:rPr>
                <w:rFonts w:ascii="Calibri" w:hAnsi="Calibri"/>
                <w:sz w:val="20"/>
              </w:rPr>
              <w:t>Public/Rollup</w:t>
            </w:r>
          </w:p>
        </w:tc>
        <w:tc>
          <w:tcPr>
            <w:tcW w:type="dxa" w:w="1872"/>
          </w:tcPr>
          <w:p>
            <w:pPr>
              <w:spacing w:before="60" w:after="60"/>
            </w:pPr>
            <w:r>
              <w:rPr>
                <w:rFonts w:ascii="Calibri" w:hAnsi="Calibri"/>
                <w:sz w:val="20"/>
              </w:rPr>
              <w:t>2.000-4.000</w:t>
            </w:r>
          </w:p>
        </w:tc>
        <w:tc>
          <w:tcPr>
            <w:tcW w:type="dxa" w:w="1872"/>
          </w:tcPr>
          <w:p>
            <w:pPr>
              <w:spacing w:before="60" w:after="60"/>
            </w:pPr>
            <w:r>
              <w:rPr>
                <w:rFonts w:ascii="Calibri" w:hAnsi="Calibri"/>
                <w:sz w:val="20"/>
              </w:rPr>
              <w:t>0,5-2 giây</w:t>
            </w:r>
          </w:p>
        </w:tc>
        <w:tc>
          <w:tcPr>
            <w:tcW w:type="dxa" w:w="1872"/>
          </w:tcPr>
          <w:p>
            <w:pPr>
              <w:spacing w:before="60" w:after="60"/>
            </w:pPr>
            <w:r>
              <w:rPr>
                <w:rFonts w:ascii="Calibri" w:hAnsi="Calibri"/>
                <w:sz w:val="20"/>
              </w:rPr>
              <w:t>Khả thi, nhưng vẫn là public chain</w:t>
            </w:r>
          </w:p>
        </w:tc>
      </w:tr>
      <w:tr>
        <w:tc>
          <w:tcPr>
            <w:tcW w:type="dxa" w:w="1872"/>
          </w:tcPr>
          <w:p>
            <w:pPr>
              <w:spacing w:before="60" w:after="60"/>
            </w:pPr>
            <w:r>
              <w:rPr>
                <w:rFonts w:ascii="Calibri" w:hAnsi="Calibri"/>
                <w:sz w:val="20"/>
              </w:rPr>
              <w:t>Polygon PoS</w:t>
            </w:r>
          </w:p>
        </w:tc>
        <w:tc>
          <w:tcPr>
            <w:tcW w:type="dxa" w:w="1872"/>
          </w:tcPr>
          <w:p>
            <w:pPr>
              <w:spacing w:before="60" w:after="60"/>
            </w:pPr>
            <w:r>
              <w:rPr>
                <w:rFonts w:ascii="Calibri" w:hAnsi="Calibri"/>
                <w:sz w:val="20"/>
              </w:rPr>
              <w:t>Public/PoS</w:t>
            </w:r>
          </w:p>
        </w:tc>
        <w:tc>
          <w:tcPr>
            <w:tcW w:type="dxa" w:w="1872"/>
          </w:tcPr>
          <w:p>
            <w:pPr>
              <w:spacing w:before="60" w:after="60"/>
            </w:pPr>
            <w:r>
              <w:rPr>
                <w:rFonts w:ascii="Calibri" w:hAnsi="Calibri"/>
                <w:sz w:val="20"/>
              </w:rPr>
              <w:t>7.000</w:t>
            </w:r>
          </w:p>
        </w:tc>
        <w:tc>
          <w:tcPr>
            <w:tcW w:type="dxa" w:w="1872"/>
          </w:tcPr>
          <w:p>
            <w:pPr>
              <w:spacing w:before="60" w:after="60"/>
            </w:pPr>
            <w:r>
              <w:rPr>
                <w:rFonts w:ascii="Calibri" w:hAnsi="Calibri"/>
                <w:sz w:val="20"/>
              </w:rPr>
              <w:t>2 giây</w:t>
            </w:r>
          </w:p>
        </w:tc>
        <w:tc>
          <w:tcPr>
            <w:tcW w:type="dxa" w:w="1872"/>
          </w:tcPr>
          <w:p>
            <w:pPr>
              <w:spacing w:before="60" w:after="60"/>
            </w:pPr>
            <w:r>
              <w:rPr>
                <w:rFonts w:ascii="Calibri" w:hAnsi="Calibri"/>
                <w:sz w:val="20"/>
              </w:rPr>
              <w:t>Chi phí thấp; nhiều dự án BĐS đã triển khai</w:t>
            </w:r>
          </w:p>
        </w:tc>
      </w:tr>
      <w:tr>
        <w:tc>
          <w:tcPr>
            <w:tcW w:type="dxa" w:w="1872"/>
          </w:tcPr>
          <w:p>
            <w:pPr>
              <w:spacing w:before="60" w:after="60"/>
            </w:pPr>
            <w:r>
              <w:rPr>
                <w:rFonts w:ascii="Calibri" w:hAnsi="Calibri"/>
                <w:sz w:val="20"/>
              </w:rPr>
              <w:t>Hyperledger Fabric</w:t>
            </w:r>
          </w:p>
        </w:tc>
        <w:tc>
          <w:tcPr>
            <w:tcW w:type="dxa" w:w="1872"/>
          </w:tcPr>
          <w:p>
            <w:pPr>
              <w:spacing w:before="60" w:after="60"/>
            </w:pPr>
            <w:r>
              <w:rPr>
                <w:rFonts w:ascii="Calibri" w:hAnsi="Calibri"/>
                <w:sz w:val="20"/>
              </w:rPr>
              <w:t>Permissioned/PBFT</w:t>
            </w:r>
          </w:p>
        </w:tc>
        <w:tc>
          <w:tcPr>
            <w:tcW w:type="dxa" w:w="1872"/>
          </w:tcPr>
          <w:p>
            <w:pPr>
              <w:spacing w:before="60" w:after="60"/>
            </w:pPr>
            <w:r>
              <w:rPr>
                <w:rFonts w:ascii="Calibri" w:hAnsi="Calibri"/>
                <w:sz w:val="20"/>
              </w:rPr>
              <w:t>3.000-20.000</w:t>
            </w:r>
          </w:p>
        </w:tc>
        <w:tc>
          <w:tcPr>
            <w:tcW w:type="dxa" w:w="1872"/>
          </w:tcPr>
          <w:p>
            <w:pPr>
              <w:spacing w:before="60" w:after="60"/>
            </w:pPr>
            <w:r>
              <w:rPr>
                <w:rFonts w:ascii="Calibri" w:hAnsi="Calibri"/>
                <w:sz w:val="20"/>
              </w:rPr>
              <w:t>&lt; 1 giây</w:t>
            </w:r>
          </w:p>
        </w:tc>
        <w:tc>
          <w:tcPr>
            <w:tcW w:type="dxa" w:w="1872"/>
          </w:tcPr>
          <w:p>
            <w:pPr>
              <w:spacing w:before="60" w:after="60"/>
            </w:pPr>
            <w:r>
              <w:rPr>
                <w:rFonts w:ascii="Calibri" w:hAnsi="Calibri"/>
                <w:sz w:val="20"/>
              </w:rPr>
              <w:t>Lựa chọn ưu tiên cho Chính phủ và doanh nghiệp</w:t>
            </w:r>
          </w:p>
        </w:tc>
      </w:tr>
      <w:tr>
        <w:tc>
          <w:tcPr>
            <w:tcW w:type="dxa" w:w="1872"/>
          </w:tcPr>
          <w:p>
            <w:pPr>
              <w:spacing w:before="60" w:after="60"/>
            </w:pPr>
            <w:r>
              <w:rPr>
                <w:rFonts w:ascii="Calibri" w:hAnsi="Calibri"/>
                <w:sz w:val="20"/>
              </w:rPr>
              <w:t>Corda (R3)</w:t>
            </w:r>
          </w:p>
        </w:tc>
        <w:tc>
          <w:tcPr>
            <w:tcW w:type="dxa" w:w="1872"/>
          </w:tcPr>
          <w:p>
            <w:pPr>
              <w:spacing w:before="60" w:after="60"/>
            </w:pPr>
            <w:r>
              <w:rPr>
                <w:rFonts w:ascii="Calibri" w:hAnsi="Calibri"/>
                <w:sz w:val="20"/>
              </w:rPr>
              <w:t>Permissioned</w:t>
            </w:r>
          </w:p>
        </w:tc>
        <w:tc>
          <w:tcPr>
            <w:tcW w:type="dxa" w:w="1872"/>
          </w:tcPr>
          <w:p>
            <w:pPr>
              <w:spacing w:before="60" w:after="60"/>
            </w:pPr>
            <w:r>
              <w:rPr>
                <w:rFonts w:ascii="Calibri" w:hAnsi="Calibri"/>
                <w:sz w:val="20"/>
              </w:rPr>
              <w:t>1.000-5.000</w:t>
            </w:r>
          </w:p>
        </w:tc>
        <w:tc>
          <w:tcPr>
            <w:tcW w:type="dxa" w:w="1872"/>
          </w:tcPr>
          <w:p>
            <w:pPr>
              <w:spacing w:before="60" w:after="60"/>
            </w:pPr>
            <w:r>
              <w:rPr>
                <w:rFonts w:ascii="Calibri" w:hAnsi="Calibri"/>
                <w:sz w:val="20"/>
              </w:rPr>
              <w:t>&lt; 1 giây</w:t>
            </w:r>
          </w:p>
        </w:tc>
        <w:tc>
          <w:tcPr>
            <w:tcW w:type="dxa" w:w="1872"/>
          </w:tcPr>
          <w:p>
            <w:pPr>
              <w:spacing w:before="60" w:after="60"/>
            </w:pPr>
            <w:r>
              <w:rPr>
                <w:rFonts w:ascii="Calibri" w:hAnsi="Calibri"/>
                <w:sz w:val="20"/>
              </w:rPr>
              <w:t>Chuyên cho tài chính, BĐS</w:t>
            </w:r>
          </w:p>
        </w:tc>
      </w:tr>
    </w:tbl>
    <w:p>
      <w:pPr>
        <w:spacing w:before="0" w:after="80"/>
      </w:pPr>
    </w:p>
    <w:p>
      <w:r>
        <w:rPr>
          <w:b/>
        </w:rPr>
        <w:t>Quy mô tham chiếu:</w:t>
      </w:r>
      <w:r>
        <w:t xml:space="preserve"> Thị trường BĐS Việt Nam ghi nhận khoảng 800.000 giao dịch/năm, tương đương 0,04-0,05 TPS trung bình. Ngay cả trong các sự kiện Mega-Sales, yêu cầu TPS đỉnh cũng chỉ ở mức 0,1-0,3 TPS - thấp hơn nhiều so với năng lực của Hyperledger Fabric.</w:t>
      </w:r>
    </w:p>
    <w:p>
      <w:pPr>
        <w:pStyle w:val="Heading4"/>
        <w:spacing w:before="240" w:after="160"/>
      </w:pPr>
      <w:r>
        <w:rPr>
          <w:rFonts w:ascii="Calibri" w:hAnsi="Calibri" w:eastAsia="Calibri"/>
          <w:color w:val="1A1A2E"/>
          <w:sz w:val="28"/>
        </w:rPr>
        <w:t>E.5. Bảo mật dữ liệu cá nhân trên blockchain bằng Zero-Knowledge Proof (ZKP)</w:t>
      </w:r>
    </w:p>
    <w:p>
      <w:r>
        <w:rPr>
          <w:b/>
        </w:rPr>
        <w:t>Ví dụ ứng dụng cho NĐ 357:</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Tình huống</w:t>
            </w:r>
          </w:p>
        </w:tc>
        <w:tc>
          <w:tcPr>
            <w:tcW w:type="dxa" w:w="3120"/>
            <w:shd w:fill="E2E8F0" w:val="clear"/>
          </w:tcPr>
          <w:p>
            <w:pPr>
              <w:spacing w:before="60" w:after="60"/>
            </w:pPr>
            <w:r>
              <w:rPr>
                <w:rFonts w:ascii="Calibri" w:hAnsi="Calibri"/>
                <w:b/>
                <w:sz w:val="20"/>
              </w:rPr>
              <w:t>Không có ZKP</w:t>
            </w:r>
          </w:p>
        </w:tc>
        <w:tc>
          <w:tcPr>
            <w:tcW w:type="dxa" w:w="3120"/>
            <w:shd w:fill="E2E8F0" w:val="clear"/>
          </w:tcPr>
          <w:p>
            <w:pPr>
              <w:spacing w:before="60" w:after="60"/>
            </w:pPr>
            <w:r>
              <w:rPr>
                <w:rFonts w:ascii="Calibri" w:hAnsi="Calibri"/>
                <w:b/>
                <w:sz w:val="20"/>
              </w:rPr>
              <w:t>Có ZKP</w:t>
            </w:r>
          </w:p>
        </w:tc>
      </w:tr>
      <w:tr>
        <w:tc>
          <w:tcPr>
            <w:tcW w:type="dxa" w:w="3120"/>
          </w:tcPr>
          <w:p>
            <w:pPr>
              <w:spacing w:before="60" w:after="60"/>
            </w:pPr>
            <w:r>
              <w:rPr>
                <w:rFonts w:ascii="Calibri" w:hAnsi="Calibri"/>
                <w:sz w:val="20"/>
              </w:rPr>
              <w:t>Ngân hàng kiểm tra khách hàng có sở hữu BĐS không</w:t>
            </w:r>
          </w:p>
        </w:tc>
        <w:tc>
          <w:tcPr>
            <w:tcW w:type="dxa" w:w="3120"/>
          </w:tcPr>
          <w:p>
            <w:pPr>
              <w:spacing w:before="60" w:after="60"/>
            </w:pPr>
            <w:r>
              <w:rPr>
                <w:rFonts w:ascii="Calibri" w:hAnsi="Calibri"/>
                <w:sz w:val="20"/>
              </w:rPr>
              <w:t>Phải truy cập toàn bộ danh sách tài sản</w:t>
            </w:r>
          </w:p>
        </w:tc>
        <w:tc>
          <w:tcPr>
            <w:tcW w:type="dxa" w:w="3120"/>
          </w:tcPr>
          <w:p>
            <w:pPr>
              <w:spacing w:before="60" w:after="60"/>
            </w:pPr>
            <w:r>
              <w:rPr>
                <w:rFonts w:ascii="Calibri" w:hAnsi="Calibri"/>
                <w:sz w:val="20"/>
              </w:rPr>
              <w:t>Hệ thống trả lời “Có/Không” mà không tiết lộ chi tiết</w:t>
            </w:r>
          </w:p>
        </w:tc>
      </w:tr>
      <w:tr>
        <w:tc>
          <w:tcPr>
            <w:tcW w:type="dxa" w:w="3120"/>
          </w:tcPr>
          <w:p>
            <w:pPr>
              <w:spacing w:before="60" w:after="60"/>
            </w:pPr>
            <w:r>
              <w:rPr>
                <w:rFonts w:ascii="Calibri" w:hAnsi="Calibri"/>
                <w:sz w:val="20"/>
              </w:rPr>
              <w:t>Cơ quan thuế xác minh nghĩa vụ thuế BĐS thứ 2</w:t>
            </w:r>
          </w:p>
        </w:tc>
        <w:tc>
          <w:tcPr>
            <w:tcW w:type="dxa" w:w="3120"/>
          </w:tcPr>
          <w:p>
            <w:pPr>
              <w:spacing w:before="60" w:after="60"/>
            </w:pPr>
            <w:r>
              <w:rPr>
                <w:rFonts w:ascii="Calibri" w:hAnsi="Calibri"/>
                <w:sz w:val="20"/>
              </w:rPr>
              <w:t>Truy cập đầy đủ lịch sử sở hữu</w:t>
            </w:r>
          </w:p>
        </w:tc>
        <w:tc>
          <w:tcPr>
            <w:tcW w:type="dxa" w:w="3120"/>
          </w:tcPr>
          <w:p>
            <w:pPr>
              <w:spacing w:before="60" w:after="60"/>
            </w:pPr>
            <w:r>
              <w:rPr>
                <w:rFonts w:ascii="Calibri" w:hAnsi="Calibri"/>
                <w:sz w:val="20"/>
              </w:rPr>
              <w:t>Hệ thống xác nhận “sở hữu ≥ 2 BĐS” mà không tiết lộ chi tiết</w:t>
            </w:r>
          </w:p>
        </w:tc>
      </w:tr>
      <w:tr>
        <w:tc>
          <w:tcPr>
            <w:tcW w:type="dxa" w:w="3120"/>
          </w:tcPr>
          <w:p>
            <w:pPr>
              <w:spacing w:before="60" w:after="60"/>
            </w:pPr>
            <w:r>
              <w:rPr>
                <w:rFonts w:ascii="Calibri" w:hAnsi="Calibri"/>
                <w:sz w:val="20"/>
              </w:rPr>
              <w:t>Đối tác nước ngoài thẩm định dự án</w:t>
            </w:r>
          </w:p>
        </w:tc>
        <w:tc>
          <w:tcPr>
            <w:tcW w:type="dxa" w:w="3120"/>
          </w:tcPr>
          <w:p>
            <w:pPr>
              <w:spacing w:before="60" w:after="60"/>
            </w:pPr>
            <w:r>
              <w:rPr>
                <w:rFonts w:ascii="Calibri" w:hAnsi="Calibri"/>
                <w:sz w:val="20"/>
              </w:rPr>
              <w:t>Truy cập dữ liệu gốc (vi phạm Điều 33 khoản 8)</w:t>
            </w:r>
          </w:p>
        </w:tc>
        <w:tc>
          <w:tcPr>
            <w:tcW w:type="dxa" w:w="3120"/>
          </w:tcPr>
          <w:p>
            <w:pPr>
              <w:spacing w:before="60" w:after="60"/>
            </w:pPr>
            <w:r>
              <w:rPr>
                <w:rFonts w:ascii="Calibri" w:hAnsi="Calibri"/>
                <w:sz w:val="20"/>
              </w:rPr>
              <w:t>Cung cấp bản chứng minh ZKP không chứa thông tin cá nhân</w:t>
            </w:r>
          </w:p>
        </w:tc>
      </w:tr>
    </w:tbl>
    <w:p>
      <w:pPr>
        <w:spacing w:before="0" w:after="80"/>
      </w:pPr>
    </w:p>
    <w:p>
      <w:pPr>
        <w:pStyle w:val="Heading4"/>
        <w:spacing w:before="240" w:after="160"/>
      </w:pPr>
      <w:r>
        <w:rPr>
          <w:rFonts w:ascii="Calibri" w:hAnsi="Calibri" w:eastAsia="Calibri"/>
          <w:color w:val="1A1A2E"/>
          <w:sz w:val="28"/>
        </w:rPr>
        <w:t>E.6. Tokenization bất động sản - Xu hướng toàn cầu</w:t>
      </w:r>
    </w:p>
    <w:p>
      <w:r>
        <w:rPr>
          <w:b/>
        </w:rPr>
        <w:t>Tiền lệ quốc tế về blockchain cho BĐS:</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2E8F0" w:val="clear"/>
          </w:tcPr>
          <w:p>
            <w:pPr>
              <w:spacing w:before="60" w:after="60"/>
            </w:pPr>
            <w:r>
              <w:rPr>
                <w:rFonts w:ascii="Calibri" w:hAnsi="Calibri"/>
                <w:b/>
                <w:sz w:val="20"/>
              </w:rPr>
              <w:t>Quốc gia</w:t>
            </w:r>
          </w:p>
        </w:tc>
        <w:tc>
          <w:tcPr>
            <w:tcW w:type="dxa" w:w="2340"/>
            <w:shd w:fill="E2E8F0" w:val="clear"/>
          </w:tcPr>
          <w:p>
            <w:pPr>
              <w:spacing w:before="60" w:after="60"/>
            </w:pPr>
            <w:r>
              <w:rPr>
                <w:rFonts w:ascii="Calibri" w:hAnsi="Calibri"/>
                <w:b/>
                <w:sz w:val="20"/>
              </w:rPr>
              <w:t>Chương trình</w:t>
            </w:r>
          </w:p>
        </w:tc>
        <w:tc>
          <w:tcPr>
            <w:tcW w:type="dxa" w:w="2340"/>
            <w:shd w:fill="E2E8F0" w:val="clear"/>
          </w:tcPr>
          <w:p>
            <w:pPr>
              <w:spacing w:before="60" w:after="60"/>
            </w:pPr>
            <w:r>
              <w:rPr>
                <w:rFonts w:ascii="Calibri" w:hAnsi="Calibri"/>
                <w:b/>
                <w:sz w:val="20"/>
              </w:rPr>
              <w:t>Nội dung</w:t>
            </w:r>
          </w:p>
        </w:tc>
        <w:tc>
          <w:tcPr>
            <w:tcW w:type="dxa" w:w="2340"/>
            <w:shd w:fill="E2E8F0" w:val="clear"/>
          </w:tcPr>
          <w:p>
            <w:pPr>
              <w:spacing w:before="60" w:after="60"/>
            </w:pPr>
            <w:r>
              <w:rPr>
                <w:rFonts w:ascii="Calibri" w:hAnsi="Calibri"/>
                <w:b/>
                <w:sz w:val="20"/>
              </w:rPr>
              <w:t>Kết quả</w:t>
            </w:r>
          </w:p>
        </w:tc>
      </w:tr>
      <w:tr>
        <w:tc>
          <w:tcPr>
            <w:tcW w:type="dxa" w:w="2340"/>
          </w:tcPr>
          <w:p>
            <w:pPr>
              <w:spacing w:before="60" w:after="60"/>
            </w:pPr>
            <w:r>
              <w:rPr>
                <w:rFonts w:ascii="Calibri" w:hAnsi="Calibri"/>
                <w:sz w:val="20"/>
              </w:rPr>
              <w:t>Dubai (UAE)</w:t>
            </w:r>
          </w:p>
        </w:tc>
        <w:tc>
          <w:tcPr>
            <w:tcW w:type="dxa" w:w="2340"/>
          </w:tcPr>
          <w:p>
            <w:pPr>
              <w:spacing w:before="60" w:after="60"/>
            </w:pPr>
            <w:r>
              <w:rPr>
                <w:rFonts w:ascii="Calibri" w:hAnsi="Calibri"/>
                <w:sz w:val="20"/>
              </w:rPr>
              <w:t>Dubai Real Estate Blockchain</w:t>
            </w:r>
          </w:p>
        </w:tc>
        <w:tc>
          <w:tcPr>
            <w:tcW w:type="dxa" w:w="2340"/>
          </w:tcPr>
          <w:p>
            <w:pPr>
              <w:spacing w:before="60" w:after="60"/>
            </w:pPr>
            <w:r>
              <w:rPr>
                <w:rFonts w:ascii="Calibri" w:hAnsi="Calibri"/>
                <w:sz w:val="20"/>
              </w:rPr>
              <w:t>100% giao dịch BĐS ghi nhận trên blockchain</w:t>
            </w:r>
          </w:p>
        </w:tc>
        <w:tc>
          <w:tcPr>
            <w:tcW w:type="dxa" w:w="2340"/>
          </w:tcPr>
          <w:p>
            <w:pPr>
              <w:spacing w:before="60" w:after="60"/>
            </w:pPr>
            <w:r>
              <w:rPr>
                <w:rFonts w:ascii="Calibri" w:hAnsi="Calibri"/>
                <w:sz w:val="20"/>
              </w:rPr>
              <w:t>Giảm thời gian đăng ký từ 7-14 ngày xuống 4 giờ; giảm 30% chi phí hành chính</w:t>
            </w:r>
          </w:p>
        </w:tc>
      </w:tr>
      <w:tr>
        <w:tc>
          <w:tcPr>
            <w:tcW w:type="dxa" w:w="2340"/>
          </w:tcPr>
          <w:p>
            <w:pPr>
              <w:spacing w:before="60" w:after="60"/>
            </w:pPr>
            <w:r>
              <w:rPr>
                <w:rFonts w:ascii="Calibri" w:hAnsi="Calibri"/>
                <w:sz w:val="20"/>
              </w:rPr>
              <w:t>Singapore</w:t>
            </w:r>
          </w:p>
        </w:tc>
        <w:tc>
          <w:tcPr>
            <w:tcW w:type="dxa" w:w="2340"/>
          </w:tcPr>
          <w:p>
            <w:pPr>
              <w:spacing w:before="60" w:after="60"/>
            </w:pPr>
            <w:r>
              <w:rPr>
                <w:rFonts w:ascii="Calibri" w:hAnsi="Calibri"/>
                <w:sz w:val="20"/>
              </w:rPr>
              <w:t>MAS Regulatory Sandbox + Project Guardian</w:t>
            </w:r>
          </w:p>
        </w:tc>
        <w:tc>
          <w:tcPr>
            <w:tcW w:type="dxa" w:w="2340"/>
          </w:tcPr>
          <w:p>
            <w:pPr>
              <w:spacing w:before="60" w:after="60"/>
            </w:pPr>
            <w:r>
              <w:rPr>
                <w:rFonts w:ascii="Calibri" w:hAnsi="Calibri"/>
                <w:sz w:val="20"/>
              </w:rPr>
              <w:t>Token hóa BĐS thương mại; khung pháp lý cho STO</w:t>
            </w:r>
          </w:p>
        </w:tc>
        <w:tc>
          <w:tcPr>
            <w:tcW w:type="dxa" w:w="2340"/>
          </w:tcPr>
          <w:p>
            <w:pPr>
              <w:spacing w:before="60" w:after="60"/>
            </w:pPr>
            <w:r>
              <w:rPr>
                <w:rFonts w:ascii="Calibri" w:hAnsi="Calibri"/>
                <w:sz w:val="20"/>
              </w:rPr>
              <w:t>Marketnode (SGX) phát hành token BĐS thương mại thành công</w:t>
            </w:r>
          </w:p>
        </w:tc>
      </w:tr>
      <w:tr>
        <w:tc>
          <w:tcPr>
            <w:tcW w:type="dxa" w:w="2340"/>
          </w:tcPr>
          <w:p>
            <w:pPr>
              <w:spacing w:before="60" w:after="60"/>
            </w:pPr>
            <w:r>
              <w:rPr>
                <w:rFonts w:ascii="Calibri" w:hAnsi="Calibri"/>
                <w:sz w:val="20"/>
              </w:rPr>
              <w:t>Thụy Điển</w:t>
            </w:r>
          </w:p>
        </w:tc>
        <w:tc>
          <w:tcPr>
            <w:tcW w:type="dxa" w:w="2340"/>
          </w:tcPr>
          <w:p>
            <w:pPr>
              <w:spacing w:before="60" w:after="60"/>
            </w:pPr>
            <w:r>
              <w:rPr>
                <w:rFonts w:ascii="Calibri" w:hAnsi="Calibri"/>
                <w:sz w:val="20"/>
              </w:rPr>
              <w:t>Lantmäteriet Blockchain Project</w:t>
            </w:r>
          </w:p>
        </w:tc>
        <w:tc>
          <w:tcPr>
            <w:tcW w:type="dxa" w:w="2340"/>
          </w:tcPr>
          <w:p>
            <w:pPr>
              <w:spacing w:before="60" w:after="60"/>
            </w:pPr>
            <w:r>
              <w:rPr>
                <w:rFonts w:ascii="Calibri" w:hAnsi="Calibri"/>
                <w:sz w:val="20"/>
              </w:rPr>
              <w:t>Thí điểm chuyển nhượng BĐS trên blockchain</w:t>
            </w:r>
          </w:p>
        </w:tc>
        <w:tc>
          <w:tcPr>
            <w:tcW w:type="dxa" w:w="2340"/>
          </w:tcPr>
          <w:p>
            <w:pPr>
              <w:spacing w:before="60" w:after="60"/>
            </w:pPr>
            <w:r>
              <w:rPr>
                <w:rFonts w:ascii="Calibri" w:hAnsi="Calibri"/>
                <w:sz w:val="20"/>
              </w:rPr>
              <w:t>Giảm thời gian chuyển nhượng từ 3-6 tháng xuống vài giờ</w:t>
            </w:r>
          </w:p>
        </w:tc>
      </w:tr>
      <w:tr>
        <w:tc>
          <w:tcPr>
            <w:tcW w:type="dxa" w:w="2340"/>
          </w:tcPr>
          <w:p>
            <w:pPr>
              <w:spacing w:before="60" w:after="60"/>
            </w:pPr>
            <w:r>
              <w:rPr>
                <w:rFonts w:ascii="Calibri" w:hAnsi="Calibri"/>
                <w:sz w:val="20"/>
              </w:rPr>
              <w:t>Georgia</w:t>
            </w:r>
          </w:p>
        </w:tc>
        <w:tc>
          <w:tcPr>
            <w:tcW w:type="dxa" w:w="2340"/>
          </w:tcPr>
          <w:p>
            <w:pPr>
              <w:spacing w:before="60" w:after="60"/>
            </w:pPr>
            <w:r>
              <w:rPr>
                <w:rFonts w:ascii="Calibri" w:hAnsi="Calibri"/>
                <w:sz w:val="20"/>
              </w:rPr>
              <w:t>National Agency of Public Registry + Bitfury</w:t>
            </w:r>
          </w:p>
        </w:tc>
        <w:tc>
          <w:tcPr>
            <w:tcW w:type="dxa" w:w="2340"/>
          </w:tcPr>
          <w:p>
            <w:pPr>
              <w:spacing w:before="60" w:after="60"/>
            </w:pPr>
            <w:r>
              <w:rPr>
                <w:rFonts w:ascii="Calibri" w:hAnsi="Calibri"/>
                <w:sz w:val="20"/>
              </w:rPr>
              <w:t>Đăng ký quyền sở hữu đất trên blockchain (từ 2017)</w:t>
            </w:r>
          </w:p>
        </w:tc>
        <w:tc>
          <w:tcPr>
            <w:tcW w:type="dxa" w:w="2340"/>
          </w:tcPr>
          <w:p>
            <w:pPr>
              <w:spacing w:before="60" w:after="60"/>
            </w:pPr>
            <w:r>
              <w:rPr>
                <w:rFonts w:ascii="Calibri" w:hAnsi="Calibri"/>
                <w:sz w:val="20"/>
              </w:rPr>
              <w:t>&gt; 1,5 triệu giấy chứng nhận đã ghi nhận on-chain</w:t>
            </w:r>
          </w:p>
        </w:tc>
      </w:tr>
      <w:tr>
        <w:tc>
          <w:tcPr>
            <w:tcW w:type="dxa" w:w="2340"/>
          </w:tcPr>
          <w:p>
            <w:pPr>
              <w:spacing w:before="60" w:after="60"/>
            </w:pPr>
            <w:r>
              <w:rPr>
                <w:rFonts w:ascii="Calibri" w:hAnsi="Calibri"/>
                <w:sz w:val="20"/>
              </w:rPr>
              <w:t>Hồng Kông (Trung Quốc)</w:t>
            </w:r>
          </w:p>
        </w:tc>
        <w:tc>
          <w:tcPr>
            <w:tcW w:type="dxa" w:w="2340"/>
          </w:tcPr>
          <w:p>
            <w:pPr>
              <w:spacing w:before="60" w:after="60"/>
            </w:pPr>
            <w:r>
              <w:rPr>
                <w:rFonts w:ascii="Calibri" w:hAnsi="Calibri"/>
                <w:sz w:val="20"/>
              </w:rPr>
              <w:t>HKMA eHKD Pilot / SFC Tokenized Securities</w:t>
            </w:r>
          </w:p>
        </w:tc>
        <w:tc>
          <w:tcPr>
            <w:tcW w:type="dxa" w:w="2340"/>
          </w:tcPr>
          <w:p>
            <w:pPr>
              <w:spacing w:before="60" w:after="60"/>
            </w:pPr>
            <w:r>
              <w:rPr>
                <w:rFonts w:ascii="Calibri" w:hAnsi="Calibri"/>
                <w:sz w:val="20"/>
              </w:rPr>
              <w:t>Token hóa bất động sản bán lẻ</w:t>
            </w:r>
          </w:p>
        </w:tc>
        <w:tc>
          <w:tcPr>
            <w:tcW w:type="dxa" w:w="2340"/>
          </w:tcPr>
          <w:p>
            <w:pPr>
              <w:spacing w:before="60" w:after="60"/>
            </w:pPr>
            <w:r>
              <w:rPr>
                <w:rFonts w:ascii="Calibri" w:hAnsi="Calibri"/>
                <w:sz w:val="20"/>
              </w:rPr>
              <w:t>Quỹ đầu tư BĐS token hóa đầu tiên được cấp phép 2024</w:t>
            </w:r>
          </w:p>
        </w:tc>
      </w:tr>
    </w:tbl>
    <w:p>
      <w:pPr>
        <w:spacing w:before="0" w:after="80"/>
      </w:pPr>
    </w:p>
    <w:p>
      <w:pPr>
        <w:pStyle w:val="Heading4"/>
        <w:spacing w:before="240" w:after="160"/>
      </w:pPr>
      <w:r>
        <w:rPr>
          <w:rFonts w:ascii="Calibri" w:hAnsi="Calibri" w:eastAsia="Calibri"/>
          <w:color w:val="1A1A2E"/>
          <w:sz w:val="28"/>
        </w:rPr>
        <w:t>E.7. Bảng thuật ngữ blockchain (Glossary)</w:t>
      </w:r>
    </w:p>
    <w:p>
      <w:pPr>
        <w:spacing w:before="80" w:after="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2E8F0" w:val="clear"/>
          </w:tcPr>
          <w:p>
            <w:pPr>
              <w:spacing w:before="60" w:after="60"/>
            </w:pPr>
            <w:r>
              <w:rPr>
                <w:rFonts w:ascii="Calibri" w:hAnsi="Calibri"/>
                <w:b/>
                <w:sz w:val="20"/>
              </w:rPr>
              <w:t>Thuật ngữ</w:t>
            </w:r>
          </w:p>
        </w:tc>
        <w:tc>
          <w:tcPr>
            <w:tcW w:type="dxa" w:w="3120"/>
            <w:shd w:fill="E2E8F0" w:val="clear"/>
          </w:tcPr>
          <w:p>
            <w:pPr>
              <w:spacing w:before="60" w:after="60"/>
            </w:pPr>
            <w:r>
              <w:rPr>
                <w:rFonts w:ascii="Calibri" w:hAnsi="Calibri"/>
                <w:b/>
                <w:sz w:val="20"/>
              </w:rPr>
              <w:t>Giải nghĩa</w:t>
            </w:r>
          </w:p>
        </w:tc>
        <w:tc>
          <w:tcPr>
            <w:tcW w:type="dxa" w:w="3120"/>
            <w:shd w:fill="E2E8F0" w:val="clear"/>
          </w:tcPr>
          <w:p>
            <w:pPr>
              <w:spacing w:before="60" w:after="60"/>
            </w:pPr>
            <w:r>
              <w:rPr>
                <w:rFonts w:ascii="Calibri" w:hAnsi="Calibri"/>
                <w:b/>
                <w:sz w:val="20"/>
              </w:rPr>
              <w:t>Liên quan Phần 4</w:t>
            </w:r>
          </w:p>
        </w:tc>
      </w:tr>
      <w:tr>
        <w:tc>
          <w:tcPr>
            <w:tcW w:type="dxa" w:w="3120"/>
          </w:tcPr>
          <w:p>
            <w:pPr>
              <w:spacing w:before="60" w:after="60"/>
            </w:pPr>
            <w:r>
              <w:rPr>
                <w:rFonts w:ascii="Calibri" w:hAnsi="Calibri"/>
                <w:sz w:val="20"/>
              </w:rPr>
              <w:t>Block (Khối)</w:t>
            </w:r>
          </w:p>
        </w:tc>
        <w:tc>
          <w:tcPr>
            <w:tcW w:type="dxa" w:w="3120"/>
          </w:tcPr>
          <w:p>
            <w:pPr>
              <w:spacing w:before="60" w:after="60"/>
            </w:pPr>
            <w:r>
              <w:rPr>
                <w:rFonts w:ascii="Calibri" w:hAnsi="Calibri"/>
                <w:sz w:val="20"/>
              </w:rPr>
              <w:t>Đơn vị dữ liệu chứa danh sách giao dịch, hash khối trước và dấu thời gian</w:t>
            </w:r>
          </w:p>
        </w:tc>
        <w:tc>
          <w:tcPr>
            <w:tcW w:type="dxa" w:w="3120"/>
          </w:tcPr>
          <w:p>
            <w:pPr>
              <w:spacing w:before="60" w:after="60"/>
            </w:pPr>
            <w:r>
              <w:rPr>
                <w:rFonts w:ascii="Calibri" w:hAnsi="Calibri"/>
                <w:sz w:val="20"/>
              </w:rPr>
              <w:t>Nền tảng lưu trữ mã định danh BĐS</w:t>
            </w:r>
          </w:p>
        </w:tc>
      </w:tr>
      <w:tr>
        <w:tc>
          <w:tcPr>
            <w:tcW w:type="dxa" w:w="3120"/>
          </w:tcPr>
          <w:p>
            <w:pPr>
              <w:spacing w:before="60" w:after="60"/>
            </w:pPr>
            <w:r>
              <w:rPr>
                <w:rFonts w:ascii="Calibri" w:hAnsi="Calibri"/>
                <w:sz w:val="20"/>
              </w:rPr>
              <w:t>Hash (Hàm băm)</w:t>
            </w:r>
          </w:p>
        </w:tc>
        <w:tc>
          <w:tcPr>
            <w:tcW w:type="dxa" w:w="3120"/>
          </w:tcPr>
          <w:p>
            <w:pPr>
              <w:spacing w:before="60" w:after="60"/>
            </w:pPr>
            <w:r>
              <w:rPr>
                <w:rFonts w:ascii="Calibri" w:hAnsi="Calibri"/>
                <w:sz w:val="20"/>
              </w:rPr>
              <w:t>Hàm toán học chuyển dữ liệu bất kỳ thành chuỗi ký tự cố định, không thể đảo ngược</w:t>
            </w:r>
          </w:p>
        </w:tc>
        <w:tc>
          <w:tcPr>
            <w:tcW w:type="dxa" w:w="3120"/>
          </w:tcPr>
          <w:p>
            <w:pPr>
              <w:spacing w:before="60" w:after="60"/>
            </w:pPr>
            <w:r>
              <w:rPr>
                <w:rFonts w:ascii="Calibri" w:hAnsi="Calibri"/>
                <w:sz w:val="20"/>
              </w:rPr>
              <w:t>Đảm bảo tính bất biến của mã định danh</w:t>
            </w:r>
          </w:p>
        </w:tc>
      </w:tr>
      <w:tr>
        <w:tc>
          <w:tcPr>
            <w:tcW w:type="dxa" w:w="3120"/>
          </w:tcPr>
          <w:p>
            <w:pPr>
              <w:spacing w:before="60" w:after="60"/>
            </w:pPr>
            <w:r>
              <w:rPr>
                <w:rFonts w:ascii="Calibri" w:hAnsi="Calibri"/>
                <w:sz w:val="20"/>
              </w:rPr>
              <w:t>Node (Nút mạng)</w:t>
            </w:r>
          </w:p>
        </w:tc>
        <w:tc>
          <w:tcPr>
            <w:tcW w:type="dxa" w:w="3120"/>
          </w:tcPr>
          <w:p>
            <w:pPr>
              <w:spacing w:before="60" w:after="60"/>
            </w:pPr>
            <w:r>
              <w:rPr>
                <w:rFonts w:ascii="Calibri" w:hAnsi="Calibri"/>
                <w:sz w:val="20"/>
              </w:rPr>
              <w:t>Máy tính tham gia mạng blockchain, lưu trữ bản sao sổ cái và xác nhận giao dịch</w:t>
            </w:r>
          </w:p>
        </w:tc>
        <w:tc>
          <w:tcPr>
            <w:tcW w:type="dxa" w:w="3120"/>
          </w:tcPr>
          <w:p>
            <w:pPr>
              <w:spacing w:before="60" w:after="60"/>
            </w:pPr>
            <w:r>
              <w:rPr>
                <w:rFonts w:ascii="Calibri" w:hAnsi="Calibri"/>
                <w:sz w:val="20"/>
              </w:rPr>
              <w:t>Bộ Xây dựng, các Sở vận hành node trong mô hình permissioned</w:t>
            </w:r>
          </w:p>
        </w:tc>
      </w:tr>
      <w:tr>
        <w:tc>
          <w:tcPr>
            <w:tcW w:type="dxa" w:w="3120"/>
          </w:tcPr>
          <w:p>
            <w:pPr>
              <w:spacing w:before="60" w:after="60"/>
            </w:pPr>
            <w:r>
              <w:rPr>
                <w:rFonts w:ascii="Calibri" w:hAnsi="Calibri"/>
                <w:sz w:val="20"/>
              </w:rPr>
              <w:t>Smart Contract</w:t>
            </w:r>
          </w:p>
        </w:tc>
        <w:tc>
          <w:tcPr>
            <w:tcW w:type="dxa" w:w="3120"/>
          </w:tcPr>
          <w:p>
            <w:pPr>
              <w:spacing w:before="60" w:after="60"/>
            </w:pPr>
            <w:r>
              <w:rPr>
                <w:rFonts w:ascii="Calibri" w:hAnsi="Calibri"/>
                <w:sz w:val="20"/>
              </w:rPr>
              <w:t>Chương trình tự thực thi trên blockchain khi đủ điều kiện định trước</w:t>
            </w:r>
          </w:p>
        </w:tc>
        <w:tc>
          <w:tcPr>
            <w:tcW w:type="dxa" w:w="3120"/>
          </w:tcPr>
          <w:p>
            <w:pPr>
              <w:spacing w:before="60" w:after="60"/>
            </w:pPr>
            <w:r>
              <w:rPr>
                <w:rFonts w:ascii="Calibri" w:hAnsi="Calibri"/>
                <w:sz w:val="20"/>
              </w:rPr>
              <w:t>Tự động hóa quy trình giao dịch BĐS</w:t>
            </w:r>
          </w:p>
        </w:tc>
      </w:tr>
      <w:tr>
        <w:tc>
          <w:tcPr>
            <w:tcW w:type="dxa" w:w="3120"/>
          </w:tcPr>
          <w:p>
            <w:pPr>
              <w:spacing w:before="60" w:after="60"/>
            </w:pPr>
            <w:r>
              <w:rPr>
                <w:rFonts w:ascii="Calibri" w:hAnsi="Calibri"/>
                <w:sz w:val="20"/>
              </w:rPr>
              <w:t>NFT</w:t>
            </w:r>
          </w:p>
        </w:tc>
        <w:tc>
          <w:tcPr>
            <w:tcW w:type="dxa" w:w="3120"/>
          </w:tcPr>
          <w:p>
            <w:pPr>
              <w:spacing w:before="60" w:after="60"/>
            </w:pPr>
            <w:r>
              <w:rPr>
                <w:rFonts w:ascii="Calibri" w:hAnsi="Calibri"/>
                <w:sz w:val="20"/>
              </w:rPr>
              <w:t>Token duy nhất, không thể thay thế, đại diện cho một tài sản cụ thể</w:t>
            </w:r>
          </w:p>
        </w:tc>
        <w:tc>
          <w:tcPr>
            <w:tcW w:type="dxa" w:w="3120"/>
          </w:tcPr>
          <w:p>
            <w:pPr>
              <w:spacing w:before="60" w:after="60"/>
            </w:pPr>
            <w:r>
              <w:rPr>
                <w:rFonts w:ascii="Calibri" w:hAnsi="Calibri"/>
                <w:sz w:val="20"/>
              </w:rPr>
              <w:t>Mã định danh BĐS có thể biểu diễn dưới dạng NFT</w:t>
            </w:r>
          </w:p>
        </w:tc>
      </w:tr>
      <w:tr>
        <w:tc>
          <w:tcPr>
            <w:tcW w:type="dxa" w:w="3120"/>
          </w:tcPr>
          <w:p>
            <w:pPr>
              <w:spacing w:before="60" w:after="60"/>
            </w:pPr>
            <w:r>
              <w:rPr>
                <w:rFonts w:ascii="Calibri" w:hAnsi="Calibri"/>
                <w:sz w:val="20"/>
              </w:rPr>
              <w:t>SBT (Soulbound Token)</w:t>
            </w:r>
          </w:p>
        </w:tc>
        <w:tc>
          <w:tcPr>
            <w:tcW w:type="dxa" w:w="3120"/>
          </w:tcPr>
          <w:p>
            <w:pPr>
              <w:spacing w:before="60" w:after="60"/>
            </w:pPr>
            <w:r>
              <w:rPr>
                <w:rFonts w:ascii="Calibri" w:hAnsi="Calibri"/>
                <w:sz w:val="20"/>
              </w:rPr>
              <w:t>Token gắn liền với danh tính, không thể chuyển nhượng</w:t>
            </w:r>
          </w:p>
        </w:tc>
        <w:tc>
          <w:tcPr>
            <w:tcW w:type="dxa" w:w="3120"/>
          </w:tcPr>
          <w:p>
            <w:pPr>
              <w:spacing w:before="60" w:after="60"/>
            </w:pPr>
            <w:r>
              <w:rPr>
                <w:rFonts w:ascii="Calibri" w:hAnsi="Calibri"/>
                <w:sz w:val="20"/>
              </w:rPr>
              <w:t>Phù hợp cho mã chứng chỉ hành nghề môi giới</w:t>
            </w:r>
          </w:p>
        </w:tc>
      </w:tr>
      <w:tr>
        <w:tc>
          <w:tcPr>
            <w:tcW w:type="dxa" w:w="3120"/>
          </w:tcPr>
          <w:p>
            <w:pPr>
              <w:spacing w:before="60" w:after="60"/>
            </w:pPr>
            <w:r>
              <w:rPr>
                <w:rFonts w:ascii="Calibri" w:hAnsi="Calibri"/>
                <w:sz w:val="20"/>
              </w:rPr>
              <w:t>ZKP (Zero-Knowledge Proof)</w:t>
            </w:r>
          </w:p>
        </w:tc>
        <w:tc>
          <w:tcPr>
            <w:tcW w:type="dxa" w:w="3120"/>
          </w:tcPr>
          <w:p>
            <w:pPr>
              <w:spacing w:before="60" w:after="60"/>
            </w:pPr>
            <w:r>
              <w:rPr>
                <w:rFonts w:ascii="Calibri" w:hAnsi="Calibri"/>
                <w:sz w:val="20"/>
              </w:rPr>
              <w:t>Giao thức chứng minh mệnh đề đúng mà không tiết lộ thông tin chi tiết</w:t>
            </w:r>
          </w:p>
        </w:tc>
        <w:tc>
          <w:tcPr>
            <w:tcW w:type="dxa" w:w="3120"/>
          </w:tcPr>
          <w:p>
            <w:pPr>
              <w:spacing w:before="60" w:after="60"/>
            </w:pPr>
            <w:r>
              <w:rPr>
                <w:rFonts w:ascii="Calibri" w:hAnsi="Calibri"/>
                <w:sz w:val="20"/>
              </w:rPr>
              <w:t>Bảo vệ dữ liệu cá nhân theo Điều 33 khoản 7-8</w:t>
            </w:r>
          </w:p>
        </w:tc>
      </w:tr>
      <w:tr>
        <w:tc>
          <w:tcPr>
            <w:tcW w:type="dxa" w:w="3120"/>
          </w:tcPr>
          <w:p>
            <w:pPr>
              <w:spacing w:before="60" w:after="60"/>
            </w:pPr>
            <w:r>
              <w:rPr>
                <w:rFonts w:ascii="Calibri" w:hAnsi="Calibri"/>
                <w:sz w:val="20"/>
              </w:rPr>
              <w:t>Oracle (Bộ cầu nối)</w:t>
            </w:r>
          </w:p>
        </w:tc>
        <w:tc>
          <w:tcPr>
            <w:tcW w:type="dxa" w:w="3120"/>
          </w:tcPr>
          <w:p>
            <w:pPr>
              <w:spacing w:before="60" w:after="60"/>
            </w:pPr>
            <w:r>
              <w:rPr>
                <w:rFonts w:ascii="Calibri" w:hAnsi="Calibri"/>
                <w:sz w:val="20"/>
              </w:rPr>
              <w:t>Dịch vụ cung cấp dữ liệu từ thế giới thực cho blockchain</w:t>
            </w:r>
          </w:p>
        </w:tc>
        <w:tc>
          <w:tcPr>
            <w:tcW w:type="dxa" w:w="3120"/>
          </w:tcPr>
          <w:p>
            <w:pPr>
              <w:spacing w:before="60" w:after="60"/>
            </w:pPr>
            <w:r>
              <w:rPr>
                <w:rFonts w:ascii="Calibri" w:hAnsi="Calibri"/>
                <w:sz w:val="20"/>
              </w:rPr>
              <w:t>Đồng bộ dữ liệu giữa Cổng quốc gia và blockchain</w:t>
            </w:r>
          </w:p>
        </w:tc>
      </w:tr>
      <w:tr>
        <w:tc>
          <w:tcPr>
            <w:tcW w:type="dxa" w:w="3120"/>
          </w:tcPr>
          <w:p>
            <w:pPr>
              <w:spacing w:before="60" w:after="60"/>
            </w:pPr>
            <w:r>
              <w:rPr>
                <w:rFonts w:ascii="Calibri" w:hAnsi="Calibri"/>
                <w:sz w:val="20"/>
              </w:rPr>
              <w:t>Permissioned Blockchain</w:t>
            </w:r>
          </w:p>
        </w:tc>
        <w:tc>
          <w:tcPr>
            <w:tcW w:type="dxa" w:w="3120"/>
          </w:tcPr>
          <w:p>
            <w:pPr>
              <w:spacing w:before="60" w:after="60"/>
            </w:pPr>
            <w:r>
              <w:rPr>
                <w:rFonts w:ascii="Calibri" w:hAnsi="Calibri"/>
                <w:sz w:val="20"/>
              </w:rPr>
              <w:t>Blockchain có kiểm soát quyền tham gia, chỉ tổ chức được cấp phép mới vận hành node</w:t>
            </w:r>
          </w:p>
        </w:tc>
        <w:tc>
          <w:tcPr>
            <w:tcW w:type="dxa" w:w="3120"/>
          </w:tcPr>
          <w:p>
            <w:pPr>
              <w:spacing w:before="60" w:after="60"/>
            </w:pPr>
            <w:r>
              <w:rPr>
                <w:rFonts w:ascii="Calibri" w:hAnsi="Calibri"/>
                <w:sz w:val="20"/>
              </w:rPr>
              <w:t>Mô hình phù hợp cho hệ thống nhà nước (Điều 7)</w:t>
            </w:r>
          </w:p>
        </w:tc>
      </w:tr>
      <w:tr>
        <w:tc>
          <w:tcPr>
            <w:tcW w:type="dxa" w:w="3120"/>
          </w:tcPr>
          <w:p>
            <w:pPr>
              <w:spacing w:before="60" w:after="60"/>
            </w:pPr>
            <w:r>
              <w:rPr>
                <w:rFonts w:ascii="Calibri" w:hAnsi="Calibri"/>
                <w:sz w:val="20"/>
              </w:rPr>
              <w:t>TPS</w:t>
            </w:r>
          </w:p>
        </w:tc>
        <w:tc>
          <w:tcPr>
            <w:tcW w:type="dxa" w:w="3120"/>
          </w:tcPr>
          <w:p>
            <w:pPr>
              <w:spacing w:before="60" w:after="60"/>
            </w:pPr>
            <w:r>
              <w:rPr>
                <w:rFonts w:ascii="Calibri" w:hAnsi="Calibri"/>
                <w:sz w:val="20"/>
              </w:rPr>
              <w:t>Số giao dịch xử lý mỗi giây - thước đo hiệu năng blockchain</w:t>
            </w:r>
          </w:p>
        </w:tc>
        <w:tc>
          <w:tcPr>
            <w:tcW w:type="dxa" w:w="3120"/>
          </w:tcPr>
          <w:p>
            <w:pPr>
              <w:spacing w:before="60" w:after="60"/>
            </w:pPr>
            <w:r>
              <w:rPr>
                <w:rFonts w:ascii="Calibri" w:hAnsi="Calibri"/>
                <w:sz w:val="20"/>
              </w:rPr>
              <w:t>Hyperledger Fabric đạt 3.000-20.000 TPS</w:t>
            </w:r>
          </w:p>
        </w:tc>
      </w:tr>
      <w:tr>
        <w:tc>
          <w:tcPr>
            <w:tcW w:type="dxa" w:w="3120"/>
          </w:tcPr>
          <w:p>
            <w:pPr>
              <w:spacing w:before="60" w:after="60"/>
            </w:pPr>
            <w:r>
              <w:rPr>
                <w:rFonts w:ascii="Calibri" w:hAnsi="Calibri"/>
                <w:sz w:val="20"/>
              </w:rPr>
              <w:t>Tokenization</w:t>
            </w:r>
          </w:p>
        </w:tc>
        <w:tc>
          <w:tcPr>
            <w:tcW w:type="dxa" w:w="3120"/>
          </w:tcPr>
          <w:p>
            <w:pPr>
              <w:spacing w:before="60" w:after="60"/>
            </w:pPr>
            <w:r>
              <w:rPr>
                <w:rFonts w:ascii="Calibri" w:hAnsi="Calibri"/>
                <w:sz w:val="20"/>
              </w:rPr>
              <w:t>Chuyển đổi quyền sở hữu tài sản thực thành token kỹ thuật số</w:t>
            </w:r>
          </w:p>
        </w:tc>
        <w:tc>
          <w:tcPr>
            <w:tcW w:type="dxa" w:w="3120"/>
          </w:tcPr>
          <w:p>
            <w:pPr>
              <w:spacing w:before="60" w:after="60"/>
            </w:pPr>
            <w:r>
              <w:rPr>
                <w:rFonts w:ascii="Calibri" w:hAnsi="Calibri"/>
                <w:sz w:val="20"/>
              </w:rPr>
              <w:t>Xu hướng toàn cầu, cơ hội tương lai cho Sun Group</w:t>
            </w:r>
          </w:p>
        </w:tc>
      </w:tr>
      <w:tr>
        <w:tc>
          <w:tcPr>
            <w:tcW w:type="dxa" w:w="3120"/>
          </w:tcPr>
          <w:p>
            <w:pPr>
              <w:spacing w:before="60" w:after="60"/>
            </w:pPr>
            <w:r>
              <w:rPr>
                <w:rFonts w:ascii="Calibri" w:hAnsi="Calibri"/>
                <w:sz w:val="20"/>
              </w:rPr>
              <w:t>DLT</w:t>
            </w:r>
          </w:p>
        </w:tc>
        <w:tc>
          <w:tcPr>
            <w:tcW w:type="dxa" w:w="3120"/>
          </w:tcPr>
          <w:p>
            <w:pPr>
              <w:spacing w:before="60" w:after="60"/>
            </w:pPr>
            <w:r>
              <w:rPr>
                <w:rFonts w:ascii="Calibri" w:hAnsi="Calibri"/>
                <w:sz w:val="20"/>
              </w:rPr>
              <w:t>Công nghệ sổ cái phân tán - tên gọi chung bao gồm blockchain và các biến thể</w:t>
            </w:r>
          </w:p>
        </w:tc>
        <w:tc>
          <w:tcPr>
            <w:tcW w:type="dxa" w:w="3120"/>
          </w:tcPr>
          <w:p>
            <w:pPr>
              <w:spacing w:before="60" w:after="60"/>
            </w:pPr>
            <w:r>
              <w:rPr>
                <w:rFonts w:ascii="Calibri" w:hAnsi="Calibri"/>
                <w:sz w:val="20"/>
              </w:rPr>
              <w:t>Thuật ngữ chính thức trong văn bản pháp lý quốc tế</w:t>
            </w:r>
          </w:p>
        </w:tc>
      </w:tr>
    </w:tbl>
    <w:p>
      <w:pPr>
        <w:spacing w:before="0" w:after="80"/>
      </w:pPr>
    </w:p>
    <w:p>
      <w:pPr>
        <w:spacing w:before="120" w:after="120"/>
        <w:pBdr>
          <w:bottom w:val="single" w:sz="12" w:space="1" w:color="CCCCCC"/>
        </w:pBdr>
      </w:pPr>
    </w:p>
    <w:p>
      <w:r>
        <w:rPr>
          <w:i/>
        </w:rPr>
        <w:t>- Kết thúc báo cáo -</w:t>
      </w:r>
    </w:p>
    <w:p>
      <w:r>
        <w:rPr>
          <w:i/>
        </w:rPr>
        <w:t>Tài liệu này là tài sản của Tập đoàn Sun Group. Nghiêm cấm sao chép, phân phối cho bên thứ ba khi chưa được phép.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