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rFonts w:ascii="Calibri" w:hAnsi="Calibri" w:eastAsia="Calibri"/>
          <w:color w:val="1A1A2E"/>
          <w:sz w:val="40"/>
        </w:rPr>
        <w:t>Đánh Giá Tác Động NĐ 357/2025/NĐ-CP — Chuỗi Giá Trị, Chuyển Đổi Số &amp; Công Nghệ</w:t>
      </w:r>
    </w:p>
    <w:p>
      <w:r>
        <w:rPr>
          <w:b/>
        </w:rPr>
        <w:t>Thời lượng:</w:t>
      </w:r>
      <w:r>
        <w:t xml:space="preserve"> 20-30 phút | </w:t>
      </w:r>
      <w:r>
        <w:rPr>
          <w:b/>
        </w:rPr>
        <w:t>Slides:</w:t>
      </w:r>
      <w:r>
        <w:t xml:space="preserve"> 15 | </w:t>
      </w:r>
      <w:r>
        <w:rPr>
          <w:b/>
        </w:rPr>
        <w:t>Vibe:</w:t>
      </w:r>
      <w:r>
        <w:t xml:space="preserve"> Formal, tổng quan → chi tiết</w:t>
        <w:br/>
      </w:r>
      <w:r>
        <w:rPr>
          <w:b/>
        </w:rPr>
        <w:t>Đối tượng:</w:t>
      </w:r>
      <w:r>
        <w:t xml:space="preserve"> Ban Tổng giám đốc (BOM) Sun Group</w:t>
        <w:br/>
      </w:r>
      <w:r>
        <w:rPr>
          <w:b/>
        </w:rPr>
        <w:t>Ngôn ngữ:</w:t>
      </w:r>
      <w:r>
        <w:t xml:space="preserve"> Tiếng Việt</w:t>
      </w:r>
    </w:p>
    <w:p>
      <w:pPr>
        <w:spacing w:before="120" w:after="120"/>
        <w:pBdr>
          <w:bottom w:val="single" w:sz="12" w:space="1" w:color="CCCCCC"/>
        </w:pBdr>
      </w:pPr>
    </w:p>
    <w:p>
      <w:pPr>
        <w:pStyle w:val="Heading2"/>
        <w:spacing w:before="360" w:after="160"/>
      </w:pPr>
      <w:r>
        <w:rPr>
          <w:rFonts w:ascii="Calibri" w:hAnsi="Calibri" w:eastAsia="Calibri"/>
          <w:color w:val="1A1A2E"/>
          <w:sz w:val="36"/>
        </w:rPr>
        <w:t>Outline</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Calibri" w:hAnsi="Calibri"/>
                <w:b/>
                <w:sz w:val="20"/>
              </w:rPr>
              <w:t>Slide #</w:t>
            </w:r>
          </w:p>
        </w:tc>
        <w:tc>
          <w:tcPr>
            <w:tcW w:type="dxa" w:w="1872"/>
            <w:shd w:fill="E2E8F0" w:val="clear"/>
          </w:tcPr>
          <w:p>
            <w:pPr>
              <w:spacing w:before="60" w:after="60"/>
            </w:pPr>
            <w:r>
              <w:rPr>
                <w:rFonts w:ascii="Calibri" w:hAnsi="Calibri"/>
                <w:b/>
                <w:sz w:val="20"/>
              </w:rPr>
              <w:t>Tên slide</w:t>
            </w:r>
          </w:p>
        </w:tc>
        <w:tc>
          <w:tcPr>
            <w:tcW w:type="dxa" w:w="1872"/>
            <w:shd w:fill="E2E8F0" w:val="clear"/>
          </w:tcPr>
          <w:p>
            <w:pPr>
              <w:spacing w:before="60" w:after="60"/>
            </w:pPr>
            <w:r>
              <w:rPr>
                <w:rFonts w:ascii="Calibri" w:hAnsi="Calibri"/>
                <w:b/>
                <w:sz w:val="20"/>
              </w:rPr>
              <w:t>Loại</w:t>
            </w:r>
          </w:p>
        </w:tc>
        <w:tc>
          <w:tcPr>
            <w:tcW w:type="dxa" w:w="1872"/>
            <w:shd w:fill="E2E8F0" w:val="clear"/>
          </w:tcPr>
          <w:p>
            <w:pPr>
              <w:spacing w:before="60" w:after="60"/>
            </w:pPr>
            <w:r>
              <w:rPr>
                <w:rFonts w:ascii="Calibri" w:hAnsi="Calibri"/>
                <w:b/>
                <w:sz w:val="20"/>
              </w:rPr>
              <w:t>Thời gian</w:t>
            </w:r>
          </w:p>
        </w:tc>
        <w:tc>
          <w:tcPr>
            <w:tcW w:type="dxa" w:w="1872"/>
            <w:shd w:fill="E2E8F0" w:val="clear"/>
          </w:tcPr>
          <w:p>
            <w:pPr>
              <w:spacing w:before="60" w:after="60"/>
            </w:pPr>
            <w:r>
              <w:rPr>
                <w:rFonts w:ascii="Calibri" w:hAnsi="Calibri"/>
                <w:b/>
                <w:sz w:val="20"/>
              </w:rPr>
              <w:t>Ghi chú</w:t>
            </w:r>
          </w:p>
        </w:tc>
      </w:tr>
      <w:tr>
        <w:tc>
          <w:tcPr>
            <w:tcW w:type="dxa" w:w="1872"/>
          </w:tcPr>
          <w:p>
            <w:pPr>
              <w:spacing w:before="60" w:after="60"/>
            </w:pPr>
            <w:r>
              <w:rPr>
                <w:rFonts w:ascii="Calibri" w:hAnsi="Calibri"/>
                <w:sz w:val="20"/>
              </w:rPr>
              <w:t>1</w:t>
            </w:r>
          </w:p>
        </w:tc>
        <w:tc>
          <w:tcPr>
            <w:tcW w:type="dxa" w:w="1872"/>
          </w:tcPr>
          <w:p>
            <w:pPr>
              <w:spacing w:before="60" w:after="60"/>
            </w:pPr>
            <w:r>
              <w:rPr>
                <w:rFonts w:ascii="Calibri" w:hAnsi="Calibri"/>
                <w:sz w:val="20"/>
              </w:rPr>
              <w:t>Trang bìa</w:t>
            </w:r>
          </w:p>
        </w:tc>
        <w:tc>
          <w:tcPr>
            <w:tcW w:type="dxa" w:w="1872"/>
          </w:tcPr>
          <w:p>
            <w:pPr>
              <w:spacing w:before="60" w:after="60"/>
            </w:pPr>
            <w:r>
              <w:rPr>
                <w:rFonts w:ascii="Calibri" w:hAnsi="Calibri"/>
                <w:sz w:val="20"/>
              </w:rPr>
              <w:t>Title</w:t>
            </w:r>
          </w:p>
        </w:tc>
        <w:tc>
          <w:tcPr>
            <w:tcW w:type="dxa" w:w="1872"/>
          </w:tcPr>
          <w:p>
            <w:pPr>
              <w:spacing w:before="60" w:after="60"/>
            </w:pPr>
            <w:r>
              <w:rPr>
                <w:rFonts w:ascii="Calibri" w:hAnsi="Calibri"/>
                <w:sz w:val="20"/>
              </w:rPr>
              <w:t>30s</w:t>
            </w:r>
          </w:p>
        </w:tc>
        <w:tc>
          <w:tcPr>
            <w:tcW w:type="dxa" w:w="1872"/>
          </w:tcPr>
          <w:p>
            <w:pPr>
              <w:spacing w:before="60" w:after="60"/>
            </w:pPr>
            <w:r>
              <w:rPr>
                <w:rFonts w:ascii="Calibri" w:hAnsi="Calibri"/>
                <w:sz w:val="20"/>
              </w:rPr>
              <w:t>Số hiệu SG-BC-2026/NĐ357, ngày, đơn vị soạn thảo</w:t>
            </w:r>
          </w:p>
        </w:tc>
      </w:tr>
      <w:tr>
        <w:tc>
          <w:tcPr>
            <w:tcW w:type="dxa" w:w="1872"/>
          </w:tcPr>
          <w:p>
            <w:pPr>
              <w:spacing w:before="60" w:after="60"/>
            </w:pPr>
            <w:r>
              <w:rPr>
                <w:rFonts w:ascii="Calibri" w:hAnsi="Calibri"/>
                <w:sz w:val="20"/>
              </w:rPr>
              <w:t>2</w:t>
            </w:r>
          </w:p>
        </w:tc>
        <w:tc>
          <w:tcPr>
            <w:tcW w:type="dxa" w:w="1872"/>
          </w:tcPr>
          <w:p>
            <w:pPr>
              <w:spacing w:before="60" w:after="60"/>
            </w:pPr>
            <w:r>
              <w:rPr>
                <w:rFonts w:ascii="Calibri" w:hAnsi="Calibri"/>
                <w:sz w:val="20"/>
              </w:rPr>
              <w:t>Nội dung trình bày</w:t>
            </w:r>
          </w:p>
        </w:tc>
        <w:tc>
          <w:tcPr>
            <w:tcW w:type="dxa" w:w="1872"/>
          </w:tcPr>
          <w:p>
            <w:pPr>
              <w:spacing w:before="60" w:after="60"/>
            </w:pPr>
            <w:r>
              <w:rPr>
                <w:rFonts w:ascii="Calibri" w:hAnsi="Calibri"/>
                <w:sz w:val="20"/>
              </w:rPr>
              <w:t>Agenda</w:t>
            </w:r>
          </w:p>
        </w:tc>
        <w:tc>
          <w:tcPr>
            <w:tcW w:type="dxa" w:w="1872"/>
          </w:tcPr>
          <w:p>
            <w:pPr>
              <w:spacing w:before="60" w:after="60"/>
            </w:pPr>
            <w:r>
              <w:rPr>
                <w:rFonts w:ascii="Calibri" w:hAnsi="Calibri"/>
                <w:sz w:val="20"/>
              </w:rPr>
              <w:t>30s</w:t>
            </w:r>
          </w:p>
        </w:tc>
        <w:tc>
          <w:tcPr>
            <w:tcW w:type="dxa" w:w="1872"/>
          </w:tcPr>
          <w:p>
            <w:pPr>
              <w:spacing w:before="60" w:after="60"/>
            </w:pPr>
            <w:r>
              <w:rPr>
                <w:rFonts w:ascii="Calibri" w:hAnsi="Calibri"/>
                <w:sz w:val="20"/>
              </w:rPr>
              <w:t>Roadmap 4 phần chính</w:t>
            </w:r>
          </w:p>
        </w:tc>
      </w:tr>
      <w:tr>
        <w:tc>
          <w:tcPr>
            <w:tcW w:type="dxa" w:w="1872"/>
          </w:tcPr>
          <w:p>
            <w:pPr>
              <w:spacing w:before="60" w:after="60"/>
            </w:pPr>
            <w:r>
              <w:rPr>
                <w:rFonts w:ascii="Calibri" w:hAnsi="Calibri"/>
                <w:sz w:val="20"/>
              </w:rPr>
              <w:t>3</w:t>
            </w:r>
          </w:p>
        </w:tc>
        <w:tc>
          <w:tcPr>
            <w:tcW w:type="dxa" w:w="1872"/>
          </w:tcPr>
          <w:p>
            <w:pPr>
              <w:spacing w:before="60" w:after="60"/>
            </w:pPr>
            <w:r>
              <w:rPr>
                <w:rFonts w:ascii="Calibri" w:hAnsi="Calibri"/>
                <w:sz w:val="20"/>
              </w:rPr>
              <w:t>NĐ 357 — 3 trụ cột cốt lõi</w:t>
            </w:r>
          </w:p>
        </w:tc>
        <w:tc>
          <w:tcPr>
            <w:tcW w:type="dxa" w:w="1872"/>
          </w:tcPr>
          <w:p>
            <w:pPr>
              <w:spacing w:before="60" w:after="60"/>
            </w:pPr>
            <w:r>
              <w:rPr>
                <w:rFonts w:ascii="Calibri" w:hAnsi="Calibri"/>
                <w:sz w:val="20"/>
              </w:rPr>
              <w:t>Overview</w:t>
            </w:r>
          </w:p>
        </w:tc>
        <w:tc>
          <w:tcPr>
            <w:tcW w:type="dxa" w:w="1872"/>
          </w:tcPr>
          <w:p>
            <w:pPr>
              <w:spacing w:before="60" w:after="60"/>
            </w:pPr>
            <w:r>
              <w:rPr>
                <w:rFonts w:ascii="Calibri" w:hAnsi="Calibri"/>
                <w:sz w:val="20"/>
              </w:rPr>
              <w:t>2 phút</w:t>
            </w:r>
          </w:p>
        </w:tc>
        <w:tc>
          <w:tcPr>
            <w:tcW w:type="dxa" w:w="1872"/>
          </w:tcPr>
          <w:p>
            <w:pPr>
              <w:spacing w:before="60" w:after="60"/>
            </w:pPr>
            <w:r>
              <w:rPr>
                <w:rFonts w:ascii="Calibri" w:hAnsi="Calibri"/>
                <w:sz w:val="20"/>
              </w:rPr>
              <w:t>Định danh tài sản, định danh chủ thể, liên thông CSDL</w:t>
            </w:r>
          </w:p>
        </w:tc>
      </w:tr>
      <w:tr>
        <w:tc>
          <w:tcPr>
            <w:tcW w:type="dxa" w:w="1872"/>
          </w:tcPr>
          <w:p>
            <w:pPr>
              <w:spacing w:before="60" w:after="60"/>
            </w:pPr>
            <w:r>
              <w:rPr>
                <w:rFonts w:ascii="Calibri" w:hAnsi="Calibri"/>
                <w:sz w:val="20"/>
              </w:rPr>
              <w:t>4</w:t>
            </w:r>
          </w:p>
        </w:tc>
        <w:tc>
          <w:tcPr>
            <w:tcW w:type="dxa" w:w="1872"/>
          </w:tcPr>
          <w:p>
            <w:pPr>
              <w:spacing w:before="60" w:after="60"/>
            </w:pPr>
            <w:r>
              <w:rPr>
                <w:rFonts w:ascii="Calibri" w:hAnsi="Calibri"/>
                <w:sz w:val="20"/>
              </w:rPr>
              <w:t>Bức tranh toàn cảnh: Từ “hồ sơ giấy” đến “hệ sinh thái số”</w:t>
            </w:r>
          </w:p>
        </w:tc>
        <w:tc>
          <w:tcPr>
            <w:tcW w:type="dxa" w:w="1872"/>
          </w:tcPr>
          <w:p>
            <w:pPr>
              <w:spacing w:before="60" w:after="60"/>
            </w:pPr>
            <w:r>
              <w:rPr>
                <w:rFonts w:ascii="Calibri" w:hAnsi="Calibri"/>
                <w:sz w:val="20"/>
              </w:rPr>
              <w:t>Context</w:t>
            </w:r>
          </w:p>
        </w:tc>
        <w:tc>
          <w:tcPr>
            <w:tcW w:type="dxa" w:w="1872"/>
          </w:tcPr>
          <w:p>
            <w:pPr>
              <w:spacing w:before="60" w:after="60"/>
            </w:pPr>
            <w:r>
              <w:rPr>
                <w:rFonts w:ascii="Calibri" w:hAnsi="Calibri"/>
                <w:sz w:val="20"/>
              </w:rPr>
              <w:t>2 phút</w:t>
            </w:r>
          </w:p>
        </w:tc>
        <w:tc>
          <w:tcPr>
            <w:tcW w:type="dxa" w:w="1872"/>
          </w:tcPr>
          <w:p>
            <w:pPr>
              <w:spacing w:before="60" w:after="60"/>
            </w:pPr>
            <w:r>
              <w:rPr>
                <w:rFonts w:ascii="Calibri" w:hAnsi="Calibri"/>
                <w:sz w:val="20"/>
              </w:rPr>
              <w:t>Ma trận pháp lý, ý đồ Chính phủ</w:t>
            </w:r>
          </w:p>
        </w:tc>
      </w:tr>
      <w:tr>
        <w:tc>
          <w:tcPr>
            <w:tcW w:type="dxa" w:w="1872"/>
          </w:tcPr>
          <w:p>
            <w:pPr>
              <w:spacing w:before="60" w:after="60"/>
            </w:pPr>
            <w:r>
              <w:rPr>
                <w:rFonts w:ascii="Calibri" w:hAnsi="Calibri"/>
                <w:sz w:val="20"/>
              </w:rPr>
              <w:t>5</w:t>
            </w:r>
          </w:p>
        </w:tc>
        <w:tc>
          <w:tcPr>
            <w:tcW w:type="dxa" w:w="1872"/>
          </w:tcPr>
          <w:p>
            <w:pPr>
              <w:spacing w:before="60" w:after="60"/>
            </w:pPr>
            <w:r>
              <w:rPr>
                <w:rFonts w:ascii="Calibri" w:hAnsi="Calibri"/>
                <w:sz w:val="20"/>
              </w:rPr>
              <w:t>Impact Matrix — Tác động theo chuỗi giá trị</w:t>
            </w:r>
          </w:p>
        </w:tc>
        <w:tc>
          <w:tcPr>
            <w:tcW w:type="dxa" w:w="1872"/>
          </w:tcPr>
          <w:p>
            <w:pPr>
              <w:spacing w:before="60" w:after="60"/>
            </w:pPr>
            <w:r>
              <w:rPr>
                <w:rFonts w:ascii="Calibri" w:hAnsi="Calibri"/>
                <w:sz w:val="20"/>
              </w:rPr>
              <w:t>Summary</w:t>
            </w:r>
          </w:p>
        </w:tc>
        <w:tc>
          <w:tcPr>
            <w:tcW w:type="dxa" w:w="1872"/>
          </w:tcPr>
          <w:p>
            <w:pPr>
              <w:spacing w:before="60" w:after="60"/>
            </w:pPr>
            <w:r>
              <w:rPr>
                <w:rFonts w:ascii="Calibri" w:hAnsi="Calibri"/>
                <w:sz w:val="20"/>
              </w:rPr>
              <w:t>2 phút</w:t>
            </w:r>
          </w:p>
        </w:tc>
        <w:tc>
          <w:tcPr>
            <w:tcW w:type="dxa" w:w="1872"/>
          </w:tcPr>
          <w:p>
            <w:pPr>
              <w:spacing w:before="60" w:after="60"/>
            </w:pPr>
            <w:r>
              <w:rPr>
                <w:rFonts w:ascii="Calibri" w:hAnsi="Calibri"/>
                <w:sz w:val="20"/>
              </w:rPr>
              <w:t>Bảng 5 mắt xích, mức độ tác động, đơn vị chịu trách nhiệm</w:t>
            </w:r>
          </w:p>
        </w:tc>
      </w:tr>
      <w:tr>
        <w:tc>
          <w:tcPr>
            <w:tcW w:type="dxa" w:w="1872"/>
          </w:tcPr>
          <w:p>
            <w:pPr>
              <w:spacing w:before="60" w:after="60"/>
            </w:pPr>
            <w:r>
              <w:rPr>
                <w:rFonts w:ascii="Calibri" w:hAnsi="Calibri"/>
                <w:sz w:val="20"/>
              </w:rPr>
              <w:t>6</w:t>
            </w:r>
          </w:p>
        </w:tc>
        <w:tc>
          <w:tcPr>
            <w:tcW w:type="dxa" w:w="1872"/>
          </w:tcPr>
          <w:p>
            <w:pPr>
              <w:spacing w:before="60" w:after="60"/>
            </w:pPr>
            <w:r>
              <w:rPr>
                <w:rFonts w:ascii="Calibri" w:hAnsi="Calibri"/>
                <w:sz w:val="20"/>
              </w:rPr>
              <w:t>Mắt xích 1: Khởi tạo dự án &amp; pháp lý</w:t>
            </w:r>
          </w:p>
        </w:tc>
        <w:tc>
          <w:tcPr>
            <w:tcW w:type="dxa" w:w="1872"/>
          </w:tcPr>
          <w:p>
            <w:pPr>
              <w:spacing w:before="60" w:after="60"/>
            </w:pPr>
            <w:r>
              <w:rPr>
                <w:rFonts w:ascii="Calibri" w:hAnsi="Calibri"/>
                <w:sz w:val="20"/>
              </w:rPr>
              <w:t>Value Chain</w:t>
            </w:r>
          </w:p>
        </w:tc>
        <w:tc>
          <w:tcPr>
            <w:tcW w:type="dxa" w:w="1872"/>
          </w:tcPr>
          <w:p>
            <w:pPr>
              <w:spacing w:before="60" w:after="60"/>
            </w:pPr>
            <w:r>
              <w:rPr>
                <w:rFonts w:ascii="Calibri" w:hAnsi="Calibri"/>
                <w:sz w:val="20"/>
              </w:rPr>
              <w:t>2 phút</w:t>
            </w:r>
          </w:p>
        </w:tc>
        <w:tc>
          <w:tcPr>
            <w:tcW w:type="dxa" w:w="1872"/>
          </w:tcPr>
          <w:p>
            <w:pPr>
              <w:spacing w:before="60" w:after="60"/>
            </w:pPr>
            <w:r>
              <w:rPr>
                <w:rFonts w:ascii="Calibri" w:hAnsi="Calibri"/>
                <w:sz w:val="20"/>
              </w:rPr>
              <w:t>Lead-time, hồi tố, sản phẩm đặc thù</w:t>
            </w:r>
          </w:p>
        </w:tc>
      </w:tr>
      <w:tr>
        <w:tc>
          <w:tcPr>
            <w:tcW w:type="dxa" w:w="1872"/>
          </w:tcPr>
          <w:p>
            <w:pPr>
              <w:spacing w:before="60" w:after="60"/>
            </w:pPr>
            <w:r>
              <w:rPr>
                <w:rFonts w:ascii="Calibri" w:hAnsi="Calibri"/>
                <w:sz w:val="20"/>
              </w:rPr>
              <w:t>7</w:t>
            </w:r>
          </w:p>
        </w:tc>
        <w:tc>
          <w:tcPr>
            <w:tcW w:type="dxa" w:w="1872"/>
          </w:tcPr>
          <w:p>
            <w:pPr>
              <w:spacing w:before="60" w:after="60"/>
            </w:pPr>
            <w:r>
              <w:rPr>
                <w:rFonts w:ascii="Calibri" w:hAnsi="Calibri"/>
                <w:sz w:val="20"/>
              </w:rPr>
              <w:t>Mắt xích 2: Phân phối &amp; Marketing — TRỌNG ĐIỂM</w:t>
            </w:r>
          </w:p>
        </w:tc>
        <w:tc>
          <w:tcPr>
            <w:tcW w:type="dxa" w:w="1872"/>
          </w:tcPr>
          <w:p>
            <w:pPr>
              <w:spacing w:before="60" w:after="60"/>
            </w:pPr>
            <w:r>
              <w:rPr>
                <w:rFonts w:ascii="Calibri" w:hAnsi="Calibri"/>
                <w:sz w:val="20"/>
              </w:rPr>
              <w:t>Value Chain</w:t>
            </w:r>
          </w:p>
        </w:tc>
        <w:tc>
          <w:tcPr>
            <w:tcW w:type="dxa" w:w="1872"/>
          </w:tcPr>
          <w:p>
            <w:pPr>
              <w:spacing w:before="60" w:after="60"/>
            </w:pPr>
            <w:r>
              <w:rPr>
                <w:rFonts w:ascii="Calibri" w:hAnsi="Calibri"/>
                <w:sz w:val="20"/>
              </w:rPr>
              <w:t>3 phút</w:t>
            </w:r>
          </w:p>
        </w:tc>
        <w:tc>
          <w:tcPr>
            <w:tcW w:type="dxa" w:w="1872"/>
          </w:tcPr>
          <w:p>
            <w:pPr>
              <w:spacing w:before="60" w:after="60"/>
            </w:pPr>
            <w:r>
              <w:rPr>
                <w:rFonts w:ascii="Calibri" w:hAnsi="Calibri"/>
                <w:sz w:val="20"/>
              </w:rPr>
              <w:t>Tâm lý VIP, đứt gãy đại lý, chuẩn hóa biểu mẫu</w:t>
            </w:r>
          </w:p>
        </w:tc>
      </w:tr>
      <w:tr>
        <w:tc>
          <w:tcPr>
            <w:tcW w:type="dxa" w:w="1872"/>
          </w:tcPr>
          <w:p>
            <w:pPr>
              <w:spacing w:before="60" w:after="60"/>
            </w:pPr>
            <w:r>
              <w:rPr>
                <w:rFonts w:ascii="Calibri" w:hAnsi="Calibri"/>
                <w:sz w:val="20"/>
              </w:rPr>
              <w:t>8</w:t>
            </w:r>
          </w:p>
        </w:tc>
        <w:tc>
          <w:tcPr>
            <w:tcW w:type="dxa" w:w="1872"/>
          </w:tcPr>
          <w:p>
            <w:pPr>
              <w:spacing w:before="60" w:after="60"/>
            </w:pPr>
            <w:r>
              <w:rPr>
                <w:rFonts w:ascii="Calibri" w:hAnsi="Calibri"/>
                <w:sz w:val="20"/>
              </w:rPr>
              <w:t>Mắt xích 3: Bàn giao &amp; Vận hành</w:t>
            </w:r>
          </w:p>
        </w:tc>
        <w:tc>
          <w:tcPr>
            <w:tcW w:type="dxa" w:w="1872"/>
          </w:tcPr>
          <w:p>
            <w:pPr>
              <w:spacing w:before="60" w:after="60"/>
            </w:pPr>
            <w:r>
              <w:rPr>
                <w:rFonts w:ascii="Calibri" w:hAnsi="Calibri"/>
                <w:sz w:val="20"/>
              </w:rPr>
              <w:t>Value Chain</w:t>
            </w:r>
          </w:p>
        </w:tc>
        <w:tc>
          <w:tcPr>
            <w:tcW w:type="dxa" w:w="1872"/>
          </w:tcPr>
          <w:p>
            <w:pPr>
              <w:spacing w:before="60" w:after="60"/>
            </w:pPr>
            <w:r>
              <w:rPr>
                <w:rFonts w:ascii="Calibri" w:hAnsi="Calibri"/>
                <w:sz w:val="20"/>
              </w:rPr>
              <w:t>2 phút</w:t>
            </w:r>
          </w:p>
        </w:tc>
        <w:tc>
          <w:tcPr>
            <w:tcW w:type="dxa" w:w="1872"/>
          </w:tcPr>
          <w:p>
            <w:pPr>
              <w:spacing w:before="60" w:after="60"/>
            </w:pPr>
            <w:r>
              <w:rPr>
                <w:rFonts w:ascii="Calibri" w:hAnsi="Calibri"/>
                <w:sz w:val="20"/>
              </w:rPr>
              <w:t>Mã pháp nhân QLVH, Sun Smart, rental pool</w:t>
            </w:r>
          </w:p>
        </w:tc>
      </w:tr>
      <w:tr>
        <w:tc>
          <w:tcPr>
            <w:tcW w:type="dxa" w:w="1872"/>
          </w:tcPr>
          <w:p>
            <w:pPr>
              <w:spacing w:before="60" w:after="60"/>
            </w:pPr>
            <w:r>
              <w:rPr>
                <w:rFonts w:ascii="Calibri" w:hAnsi="Calibri"/>
                <w:sz w:val="20"/>
              </w:rPr>
              <w:t>9</w:t>
            </w:r>
          </w:p>
        </w:tc>
        <w:tc>
          <w:tcPr>
            <w:tcW w:type="dxa" w:w="1872"/>
          </w:tcPr>
          <w:p>
            <w:pPr>
              <w:spacing w:before="60" w:after="60"/>
            </w:pPr>
            <w:r>
              <w:rPr>
                <w:rFonts w:ascii="Calibri" w:hAnsi="Calibri"/>
                <w:sz w:val="20"/>
              </w:rPr>
              <w:t>Mắt xích 4: Hạ tầng CNTT &amp; Tài chính</w:t>
            </w:r>
          </w:p>
        </w:tc>
        <w:tc>
          <w:tcPr>
            <w:tcW w:type="dxa" w:w="1872"/>
          </w:tcPr>
          <w:p>
            <w:pPr>
              <w:spacing w:before="60" w:after="60"/>
            </w:pPr>
            <w:r>
              <w:rPr>
                <w:rFonts w:ascii="Calibri" w:hAnsi="Calibri"/>
                <w:sz w:val="20"/>
              </w:rPr>
              <w:t>Value Chain</w:t>
            </w:r>
          </w:p>
        </w:tc>
        <w:tc>
          <w:tcPr>
            <w:tcW w:type="dxa" w:w="1872"/>
          </w:tcPr>
          <w:p>
            <w:pPr>
              <w:spacing w:before="60" w:after="60"/>
            </w:pPr>
            <w:r>
              <w:rPr>
                <w:rFonts w:ascii="Calibri" w:hAnsi="Calibri"/>
                <w:sz w:val="20"/>
              </w:rPr>
              <w:t>2 phút</w:t>
            </w:r>
          </w:p>
        </w:tc>
        <w:tc>
          <w:tcPr>
            <w:tcW w:type="dxa" w:w="1872"/>
          </w:tcPr>
          <w:p>
            <w:pPr>
              <w:spacing w:before="60" w:after="60"/>
            </w:pPr>
            <w:r>
              <w:rPr>
                <w:rFonts w:ascii="Calibri" w:hAnsi="Calibri"/>
                <w:sz w:val="20"/>
              </w:rPr>
              <w:t>Tái cấu trúc CRM/ERP, API 2 chiều, kế toán số</w:t>
            </w:r>
          </w:p>
        </w:tc>
      </w:tr>
      <w:tr>
        <w:tc>
          <w:tcPr>
            <w:tcW w:type="dxa" w:w="1872"/>
          </w:tcPr>
          <w:p>
            <w:pPr>
              <w:spacing w:before="60" w:after="60"/>
            </w:pPr>
            <w:r>
              <w:rPr>
                <w:rFonts w:ascii="Calibri" w:hAnsi="Calibri"/>
                <w:sz w:val="20"/>
              </w:rPr>
              <w:t>10</w:t>
            </w:r>
          </w:p>
        </w:tc>
        <w:tc>
          <w:tcPr>
            <w:tcW w:type="dxa" w:w="1872"/>
          </w:tcPr>
          <w:p>
            <w:pPr>
              <w:spacing w:before="60" w:after="60"/>
            </w:pPr>
            <w:r>
              <w:rPr>
                <w:rFonts w:ascii="Calibri" w:hAnsi="Calibri"/>
                <w:sz w:val="20"/>
              </w:rPr>
              <w:t>Chuyển đổi số: Dòng chảy dữ liệu As-Is → To-Be</w:t>
            </w:r>
          </w:p>
        </w:tc>
        <w:tc>
          <w:tcPr>
            <w:tcW w:type="dxa" w:w="1872"/>
          </w:tcPr>
          <w:p>
            <w:pPr>
              <w:spacing w:before="60" w:after="60"/>
            </w:pPr>
            <w:r>
              <w:rPr>
                <w:rFonts w:ascii="Calibri" w:hAnsi="Calibri"/>
                <w:sz w:val="20"/>
              </w:rPr>
              <w:t>Digital</w:t>
            </w:r>
          </w:p>
        </w:tc>
        <w:tc>
          <w:tcPr>
            <w:tcW w:type="dxa" w:w="1872"/>
          </w:tcPr>
          <w:p>
            <w:pPr>
              <w:spacing w:before="60" w:after="60"/>
            </w:pPr>
            <w:r>
              <w:rPr>
                <w:rFonts w:ascii="Calibri" w:hAnsi="Calibri"/>
                <w:sz w:val="20"/>
              </w:rPr>
              <w:t>2 phút</w:t>
            </w:r>
          </w:p>
        </w:tc>
        <w:tc>
          <w:tcPr>
            <w:tcW w:type="dxa" w:w="1872"/>
          </w:tcPr>
          <w:p>
            <w:pPr>
              <w:spacing w:before="60" w:after="60"/>
            </w:pPr>
            <w:r>
              <w:rPr>
                <w:rFonts w:ascii="Calibri" w:hAnsi="Calibri"/>
                <w:sz w:val="20"/>
              </w:rPr>
              <w:t>So sánh trước/sau NĐ 357, kiến trúc API</w:t>
            </w:r>
          </w:p>
        </w:tc>
      </w:tr>
      <w:tr>
        <w:tc>
          <w:tcPr>
            <w:tcW w:type="dxa" w:w="1872"/>
          </w:tcPr>
          <w:p>
            <w:pPr>
              <w:spacing w:before="60" w:after="60"/>
            </w:pPr>
            <w:r>
              <w:rPr>
                <w:rFonts w:ascii="Calibri" w:hAnsi="Calibri"/>
                <w:sz w:val="20"/>
              </w:rPr>
              <w:t>11</w:t>
            </w:r>
          </w:p>
        </w:tc>
        <w:tc>
          <w:tcPr>
            <w:tcW w:type="dxa" w:w="1872"/>
          </w:tcPr>
          <w:p>
            <w:pPr>
              <w:spacing w:before="60" w:after="60"/>
            </w:pPr>
            <w:r>
              <w:rPr>
                <w:rFonts w:ascii="Calibri" w:hAnsi="Calibri"/>
                <w:sz w:val="20"/>
              </w:rPr>
              <w:t>Blockchain &amp; VNDA — Cơ hội chiến lược</w:t>
            </w:r>
          </w:p>
        </w:tc>
        <w:tc>
          <w:tcPr>
            <w:tcW w:type="dxa" w:w="1872"/>
          </w:tcPr>
          <w:p>
            <w:pPr>
              <w:spacing w:before="60" w:after="60"/>
            </w:pPr>
            <w:r>
              <w:rPr>
                <w:rFonts w:ascii="Calibri" w:hAnsi="Calibri"/>
                <w:sz w:val="20"/>
              </w:rPr>
              <w:t>Technology</w:t>
            </w:r>
          </w:p>
        </w:tc>
        <w:tc>
          <w:tcPr>
            <w:tcW w:type="dxa" w:w="1872"/>
          </w:tcPr>
          <w:p>
            <w:pPr>
              <w:spacing w:before="60" w:after="60"/>
            </w:pPr>
            <w:r>
              <w:rPr>
                <w:rFonts w:ascii="Calibri" w:hAnsi="Calibri"/>
                <w:sz w:val="20"/>
              </w:rPr>
              <w:t>3 phút</w:t>
            </w:r>
          </w:p>
        </w:tc>
        <w:tc>
          <w:tcPr>
            <w:tcW w:type="dxa" w:w="1872"/>
          </w:tcPr>
          <w:p>
            <w:pPr>
              <w:spacing w:before="60" w:after="60"/>
            </w:pPr>
            <w:r>
              <w:rPr>
                <w:rFonts w:ascii="Calibri" w:hAnsi="Calibri"/>
                <w:sz w:val="20"/>
              </w:rPr>
              <w:t>Tính tương thích, 3 kịch bản triển khai</w:t>
            </w:r>
          </w:p>
        </w:tc>
      </w:tr>
      <w:tr>
        <w:tc>
          <w:tcPr>
            <w:tcW w:type="dxa" w:w="1872"/>
          </w:tcPr>
          <w:p>
            <w:pPr>
              <w:spacing w:before="60" w:after="60"/>
            </w:pPr>
            <w:r>
              <w:rPr>
                <w:rFonts w:ascii="Calibri" w:hAnsi="Calibri"/>
                <w:sz w:val="20"/>
              </w:rPr>
              <w:t>12</w:t>
            </w:r>
          </w:p>
        </w:tc>
        <w:tc>
          <w:tcPr>
            <w:tcW w:type="dxa" w:w="1872"/>
          </w:tcPr>
          <w:p>
            <w:pPr>
              <w:spacing w:before="60" w:after="60"/>
            </w:pPr>
            <w:r>
              <w:rPr>
                <w:rFonts w:ascii="Calibri" w:hAnsi="Calibri"/>
                <w:sz w:val="20"/>
              </w:rPr>
              <w:t>Lộ trình “chiến dịch thần tốc” 30-60-90 ngày</w:t>
            </w:r>
          </w:p>
        </w:tc>
        <w:tc>
          <w:tcPr>
            <w:tcW w:type="dxa" w:w="1872"/>
          </w:tcPr>
          <w:p>
            <w:pPr>
              <w:spacing w:before="60" w:after="60"/>
            </w:pPr>
            <w:r>
              <w:rPr>
                <w:rFonts w:ascii="Calibri" w:hAnsi="Calibri"/>
                <w:sz w:val="20"/>
              </w:rPr>
              <w:t>Timeline</w:t>
            </w:r>
          </w:p>
        </w:tc>
        <w:tc>
          <w:tcPr>
            <w:tcW w:type="dxa" w:w="1872"/>
          </w:tcPr>
          <w:p>
            <w:pPr>
              <w:spacing w:before="60" w:after="60"/>
            </w:pPr>
            <w:r>
              <w:rPr>
                <w:rFonts w:ascii="Calibri" w:hAnsi="Calibri"/>
                <w:sz w:val="20"/>
              </w:rPr>
              <w:t>2 phút</w:t>
            </w:r>
          </w:p>
        </w:tc>
        <w:tc>
          <w:tcPr>
            <w:tcW w:type="dxa" w:w="1872"/>
          </w:tcPr>
          <w:p>
            <w:pPr>
              <w:spacing w:before="60" w:after="60"/>
            </w:pPr>
            <w:r>
              <w:rPr>
                <w:rFonts w:ascii="Calibri" w:hAnsi="Calibri"/>
                <w:sz w:val="20"/>
              </w:rPr>
              <w:t>3 phases, kết quả đầu ra từng giai đoạn</w:t>
            </w:r>
          </w:p>
        </w:tc>
      </w:tr>
      <w:tr>
        <w:tc>
          <w:tcPr>
            <w:tcW w:type="dxa" w:w="1872"/>
          </w:tcPr>
          <w:p>
            <w:pPr>
              <w:spacing w:before="60" w:after="60"/>
            </w:pPr>
            <w:r>
              <w:rPr>
                <w:rFonts w:ascii="Calibri" w:hAnsi="Calibri"/>
                <w:sz w:val="20"/>
              </w:rPr>
              <w:t>13</w:t>
            </w:r>
          </w:p>
        </w:tc>
        <w:tc>
          <w:tcPr>
            <w:tcW w:type="dxa" w:w="1872"/>
          </w:tcPr>
          <w:p>
            <w:pPr>
              <w:spacing w:before="60" w:after="60"/>
            </w:pPr>
            <w:r>
              <w:rPr>
                <w:rFonts w:ascii="Calibri" w:hAnsi="Calibri"/>
                <w:sz w:val="20"/>
              </w:rPr>
              <w:t>Tổ công tác đặc biệt (Task Force 357) &amp; RACI</w:t>
            </w:r>
          </w:p>
        </w:tc>
        <w:tc>
          <w:tcPr>
            <w:tcW w:type="dxa" w:w="1872"/>
          </w:tcPr>
          <w:p>
            <w:pPr>
              <w:spacing w:before="60" w:after="60"/>
            </w:pPr>
            <w:r>
              <w:rPr>
                <w:rFonts w:ascii="Calibri" w:hAnsi="Calibri"/>
                <w:sz w:val="20"/>
              </w:rPr>
              <w:t>Organization</w:t>
            </w:r>
          </w:p>
        </w:tc>
        <w:tc>
          <w:tcPr>
            <w:tcW w:type="dxa" w:w="1872"/>
          </w:tcPr>
          <w:p>
            <w:pPr>
              <w:spacing w:before="60" w:after="60"/>
            </w:pPr>
            <w:r>
              <w:rPr>
                <w:rFonts w:ascii="Calibri" w:hAnsi="Calibri"/>
                <w:sz w:val="20"/>
              </w:rPr>
              <w:t>1.5 phút</w:t>
            </w:r>
          </w:p>
        </w:tc>
        <w:tc>
          <w:tcPr>
            <w:tcW w:type="dxa" w:w="1872"/>
          </w:tcPr>
          <w:p>
            <w:pPr>
              <w:spacing w:before="60" w:after="60"/>
            </w:pPr>
            <w:r>
              <w:rPr>
                <w:rFonts w:ascii="Calibri" w:hAnsi="Calibri"/>
                <w:sz w:val="20"/>
              </w:rPr>
              <w:t>Cơ cấu nhân sự, ma trận trách nhiệm</w:t>
            </w:r>
          </w:p>
        </w:tc>
      </w:tr>
      <w:tr>
        <w:tc>
          <w:tcPr>
            <w:tcW w:type="dxa" w:w="1872"/>
          </w:tcPr>
          <w:p>
            <w:pPr>
              <w:spacing w:before="60" w:after="60"/>
            </w:pPr>
            <w:r>
              <w:rPr>
                <w:rFonts w:ascii="Calibri" w:hAnsi="Calibri"/>
                <w:sz w:val="20"/>
              </w:rPr>
              <w:t>14</w:t>
            </w:r>
          </w:p>
        </w:tc>
        <w:tc>
          <w:tcPr>
            <w:tcW w:type="dxa" w:w="1872"/>
          </w:tcPr>
          <w:p>
            <w:pPr>
              <w:spacing w:before="60" w:after="60"/>
            </w:pPr>
            <w:r>
              <w:rPr>
                <w:rFonts w:ascii="Calibri" w:hAnsi="Calibri"/>
                <w:sz w:val="20"/>
              </w:rPr>
              <w:t>Kiến nghị phê duyệt</w:t>
            </w:r>
          </w:p>
        </w:tc>
        <w:tc>
          <w:tcPr>
            <w:tcW w:type="dxa" w:w="1872"/>
          </w:tcPr>
          <w:p>
            <w:pPr>
              <w:spacing w:before="60" w:after="60"/>
            </w:pPr>
            <w:r>
              <w:rPr>
                <w:rFonts w:ascii="Calibri" w:hAnsi="Calibri"/>
                <w:sz w:val="20"/>
              </w:rPr>
              <w:t>CTA</w:t>
            </w:r>
          </w:p>
        </w:tc>
        <w:tc>
          <w:tcPr>
            <w:tcW w:type="dxa" w:w="1872"/>
          </w:tcPr>
          <w:p>
            <w:pPr>
              <w:spacing w:before="60" w:after="60"/>
            </w:pPr>
            <w:r>
              <w:rPr>
                <w:rFonts w:ascii="Calibri" w:hAnsi="Calibri"/>
                <w:sz w:val="20"/>
              </w:rPr>
              <w:t>1.5 phút</w:t>
            </w:r>
          </w:p>
        </w:tc>
        <w:tc>
          <w:tcPr>
            <w:tcW w:type="dxa" w:w="1872"/>
          </w:tcPr>
          <w:p>
            <w:pPr>
              <w:spacing w:before="60" w:after="60"/>
            </w:pPr>
            <w:r>
              <w:rPr>
                <w:rFonts w:ascii="Calibri" w:hAnsi="Calibri"/>
                <w:sz w:val="20"/>
              </w:rPr>
              <w:t>5 nội dung cần BOM quyết định ngay</w:t>
            </w:r>
          </w:p>
        </w:tc>
      </w:tr>
      <w:tr>
        <w:tc>
          <w:tcPr>
            <w:tcW w:type="dxa" w:w="1872"/>
          </w:tcPr>
          <w:p>
            <w:pPr>
              <w:spacing w:before="60" w:after="60"/>
            </w:pPr>
            <w:r>
              <w:rPr>
                <w:rFonts w:ascii="Calibri" w:hAnsi="Calibri"/>
                <w:sz w:val="20"/>
              </w:rPr>
              <w:t>15</w:t>
            </w:r>
          </w:p>
        </w:tc>
        <w:tc>
          <w:tcPr>
            <w:tcW w:type="dxa" w:w="1872"/>
          </w:tcPr>
          <w:p>
            <w:pPr>
              <w:spacing w:before="60" w:after="60"/>
            </w:pPr>
            <w:r>
              <w:rPr>
                <w:rFonts w:ascii="Calibri" w:hAnsi="Calibri"/>
                <w:sz w:val="20"/>
              </w:rPr>
              <w:t>Hỏi đáp</w:t>
            </w:r>
          </w:p>
        </w:tc>
        <w:tc>
          <w:tcPr>
            <w:tcW w:type="dxa" w:w="1872"/>
          </w:tcPr>
          <w:p>
            <w:pPr>
              <w:spacing w:before="60" w:after="60"/>
            </w:pPr>
            <w:r>
              <w:rPr>
                <w:rFonts w:ascii="Calibri" w:hAnsi="Calibri"/>
                <w:sz w:val="20"/>
              </w:rPr>
              <w:t>Q&amp;A</w:t>
            </w:r>
          </w:p>
        </w:tc>
        <w:tc>
          <w:tcPr>
            <w:tcW w:type="dxa" w:w="1872"/>
          </w:tcPr>
          <w:p>
            <w:pPr>
              <w:spacing w:before="60" w:after="60"/>
            </w:pPr>
            <w:r>
              <w:rPr>
                <w:rFonts w:ascii="Calibri" w:hAnsi="Calibri"/>
                <w:sz w:val="20"/>
              </w:rPr>
              <w:t>—</w:t>
            </w:r>
          </w:p>
        </w:tc>
        <w:tc>
          <w:tcPr>
            <w:tcW w:type="dxa" w:w="1872"/>
          </w:tcPr>
          <w:p>
            <w:pPr>
              <w:spacing w:before="60" w:after="60"/>
            </w:pPr>
            <w:r>
              <w:rPr>
                <w:rFonts w:ascii="Calibri" w:hAnsi="Calibri"/>
                <w:sz w:val="20"/>
              </w:rPr>
              <w:t>Thông tin liên hệ</w:t>
            </w:r>
          </w:p>
        </w:tc>
      </w:tr>
    </w:tbl>
    <w:p>
      <w:pPr>
        <w:spacing w:before="0" w:after="80"/>
      </w:pPr>
    </w:p>
    <w:p>
      <w:pPr>
        <w:spacing w:before="120" w:after="120"/>
        <w:pBdr>
          <w:bottom w:val="single" w:sz="12" w:space="1" w:color="CCCCCC"/>
        </w:pBdr>
      </w:pPr>
    </w:p>
    <w:p>
      <w:pPr>
        <w:pStyle w:val="Heading2"/>
        <w:spacing w:before="360" w:after="160"/>
      </w:pPr>
      <w:r>
        <w:rPr>
          <w:rFonts w:ascii="Calibri" w:hAnsi="Calibri" w:eastAsia="Calibri"/>
          <w:color w:val="1A1A2E"/>
          <w:sz w:val="36"/>
        </w:rPr>
        <w:t>Flow Logic (Tổng quan → Chi tiết)</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Slide 1-2: Mở đầu</w:t>
      </w:r>
      <w:r>
        <w:br/>
      </w:r>
      <w:r>
        <w:rPr>
          <w:rFonts w:ascii="Consolas" w:hAnsi="Consolas"/>
          <w:color w:val="333333"/>
          <w:sz w:val="18"/>
        </w:rPr>
        <w:t xml:space="preserve">    ↓</w:t>
      </w:r>
      <w:r>
        <w:br/>
      </w:r>
      <w:r>
        <w:rPr>
          <w:rFonts w:ascii="Consolas" w:hAnsi="Consolas"/>
          <w:color w:val="333333"/>
          <w:sz w:val="18"/>
        </w:rPr>
        <w:t>Slide 3-4: TỔNG QUAN — NĐ 357 là gì? Vì sao quan trọng?</w:t>
      </w:r>
      <w:r>
        <w:br/>
      </w:r>
      <w:r>
        <w:rPr>
          <w:rFonts w:ascii="Consolas" w:hAnsi="Consolas"/>
          <w:color w:val="333333"/>
          <w:sz w:val="18"/>
        </w:rPr>
        <w:t xml:space="preserve">    ↓</w:t>
      </w:r>
      <w:r>
        <w:br/>
      </w:r>
      <w:r>
        <w:rPr>
          <w:rFonts w:ascii="Consolas" w:hAnsi="Consolas"/>
          <w:color w:val="333333"/>
          <w:sz w:val="18"/>
        </w:rPr>
        <w:t>Slide 5: PIVOT — Impact Matrix (bản đồ tác động)</w:t>
      </w:r>
      <w:r>
        <w:br/>
      </w:r>
      <w:r>
        <w:rPr>
          <w:rFonts w:ascii="Consolas" w:hAnsi="Consolas"/>
          <w:color w:val="333333"/>
          <w:sz w:val="18"/>
        </w:rPr>
        <w:t xml:space="preserve">    ↓</w:t>
      </w:r>
      <w:r>
        <w:br/>
      </w:r>
      <w:r>
        <w:rPr>
          <w:rFonts w:ascii="Consolas" w:hAnsi="Consolas"/>
          <w:color w:val="333333"/>
          <w:sz w:val="18"/>
        </w:rPr>
        <w:t>Slide 6-9: CHI TIẾT — Từng mắt xích chuỗi giá trị</w:t>
      </w:r>
      <w:r>
        <w:br/>
      </w:r>
      <w:r>
        <w:rPr>
          <w:rFonts w:ascii="Consolas" w:hAnsi="Consolas"/>
          <w:color w:val="333333"/>
          <w:sz w:val="18"/>
        </w:rPr>
        <w:t xml:space="preserve">    ↓</w:t>
      </w:r>
      <w:r>
        <w:br/>
      </w:r>
      <w:r>
        <w:rPr>
          <w:rFonts w:ascii="Consolas" w:hAnsi="Consolas"/>
          <w:color w:val="333333"/>
          <w:sz w:val="18"/>
        </w:rPr>
        <w:t>Slide 10: CHUYỂN ĐỔI SỐ — Kiến trúc dữ liệu mới</w:t>
      </w:r>
      <w:r>
        <w:br/>
      </w:r>
      <w:r>
        <w:rPr>
          <w:rFonts w:ascii="Consolas" w:hAnsi="Consolas"/>
          <w:color w:val="333333"/>
          <w:sz w:val="18"/>
        </w:rPr>
        <w:t xml:space="preserve">    ↓</w:t>
      </w:r>
      <w:r>
        <w:br/>
      </w:r>
      <w:r>
        <w:rPr>
          <w:rFonts w:ascii="Consolas" w:hAnsi="Consolas"/>
          <w:color w:val="333333"/>
          <w:sz w:val="18"/>
        </w:rPr>
        <w:t>Slide 11: CÔNG NGHỆ — Blockchain + VNDA</w:t>
      </w:r>
      <w:r>
        <w:br/>
      </w:r>
      <w:r>
        <w:rPr>
          <w:rFonts w:ascii="Consolas" w:hAnsi="Consolas"/>
          <w:color w:val="333333"/>
          <w:sz w:val="18"/>
        </w:rPr>
        <w:t xml:space="preserve">    ↓</w:t>
      </w:r>
      <w:r>
        <w:br/>
      </w:r>
      <w:r>
        <w:rPr>
          <w:rFonts w:ascii="Consolas" w:hAnsi="Consolas"/>
          <w:color w:val="333333"/>
          <w:sz w:val="18"/>
        </w:rPr>
        <w:t>Slide 12-13: HÀNH ĐỘNG — Lộ trình + Tổ chức</w:t>
      </w:r>
      <w:r>
        <w:br/>
      </w:r>
      <w:r>
        <w:rPr>
          <w:rFonts w:ascii="Consolas" w:hAnsi="Consolas"/>
          <w:color w:val="333333"/>
          <w:sz w:val="18"/>
        </w:rPr>
        <w:t xml:space="preserve">    ↓</w:t>
      </w:r>
      <w:r>
        <w:br/>
      </w:r>
      <w:r>
        <w:rPr>
          <w:rFonts w:ascii="Consolas" w:hAnsi="Consolas"/>
          <w:color w:val="333333"/>
          <w:sz w:val="18"/>
        </w:rPr>
        <w:t>Slide 14-15: QUYẾT ĐỊNH — CTA + Q&amp;A</w:t>
      </w:r>
    </w:p>
    <w:p>
      <w:pPr>
        <w:spacing w:before="120" w:after="120"/>
        <w:pBdr>
          <w:bottom w:val="single" w:sz="12" w:space="1" w:color="CCCCCC"/>
        </w:pBdr>
      </w:pPr>
    </w:p>
    <w:p>
      <w:pPr>
        <w:pStyle w:val="Heading3"/>
        <w:spacing w:before="240" w:after="160"/>
      </w:pPr>
      <w:r>
        <w:rPr>
          <w:rFonts w:ascii="Calibri" w:hAnsi="Calibri" w:eastAsia="Calibri"/>
          <w:color w:val="1A1A2E"/>
          <w:sz w:val="32"/>
        </w:rPr>
        <w:t>Slide 1: Trang bìa</w:t>
      </w:r>
    </w:p>
    <w:p>
      <w:r>
        <w:rPr>
          <w:b/>
        </w:rPr>
        <w:t>Loại:</w:t>
      </w:r>
      <w:r>
        <w:t xml:space="preserve"> Title</w:t>
        <w:br/>
      </w:r>
      <w:r>
        <w:rPr>
          <w:b/>
        </w:rPr>
        <w:t>Thời gian:</w:t>
      </w:r>
      <w:r>
        <w:t xml:space="preserve"> 30 giây</w:t>
      </w:r>
    </w:p>
    <w:p>
      <w:r>
        <w:rPr>
          <w:b/>
        </w:rPr>
        <w:t>Key Message:</w:t>
      </w:r>
      <w:r>
        <w:t xml:space="preserve"> Đây là báo cáo chiến lược đánh giá tác động nghị định mới tới toàn bộ hoạt động Tập đoàn.</w:t>
      </w:r>
    </w:p>
    <w:p>
      <w:r>
        <w:rPr>
          <w:b/>
        </w:rPr>
        <w:t>Nội dung:</w:t>
      </w:r>
      <w:r>
        <w:br/>
        <w:t xml:space="preserve">- </w:t>
      </w:r>
      <w:r>
        <w:rPr>
          <w:b/>
        </w:rPr>
        <w:t>Tiêu đề:</w:t>
      </w:r>
      <w:r>
        <w:t xml:space="preserve"> Đánh giá tác động Nghị định 357/2025/NĐ-CP tới hoạt động Tập đoàn Sun Group</w:t>
        <w:br/>
        <w:t xml:space="preserve">- </w:t>
      </w:r>
      <w:r>
        <w:rPr>
          <w:b/>
        </w:rPr>
        <w:t>Phụ đề:</w:t>
      </w:r>
      <w:r>
        <w:t xml:space="preserve"> Phân tích chuỗi giá trị — Chuyển đổi số — Cơ hội công nghệ blockchain</w:t>
        <w:br/>
        <w:t>- Số hiệu: SG-BC-2026/NĐ357</w:t>
        <w:br/>
        <w:t>- Ngày: 23/02/2026</w:t>
        <w:br/>
        <w:t>- Đơn vị soạn thảo: Ban Pháp chế &amp; Chiến lược</w:t>
        <w:br/>
        <w:t>- Trình: Ban Tổng giám đốc (BOM)</w:t>
      </w:r>
    </w:p>
    <w:p>
      <w:r>
        <w:rPr>
          <w:b/>
        </w:rPr>
        <w:t>Gợi ý hình ảnh:</w:t>
      </w:r>
      <w:r>
        <w:t xml:space="preserve"> Logo Sun Group, nền tối sang trọng, typography trang trọng</w:t>
      </w:r>
    </w:p>
    <w:p>
      <w:r>
        <w:rPr>
          <w:b/>
        </w:rPr>
        <w:t>Speaker Notes:</w:t>
      </w:r>
      <w:r>
        <w:t xml:space="preserve"> Chào BOM, hôm nay tôi trình bày báo cáo đánh giá tác động của NĐ 357 — nghị định sẽ thay đổi căn bản cách vận hành toàn bộ thị trường BĐS từ ngày 01/03/2026.</w:t>
      </w:r>
    </w:p>
    <w:p>
      <w:r>
        <w:rPr>
          <w:b/>
        </w:rPr>
        <w:t>Transition:</w:t>
      </w:r>
      <w:r>
        <w:t xml:space="preserve"> → “Trước tiên, xin trình bày cấu trúc nội dung hôm nay.”</w:t>
      </w:r>
    </w:p>
    <w:p>
      <w:pPr>
        <w:spacing w:before="120" w:after="120"/>
        <w:pBdr>
          <w:bottom w:val="single" w:sz="12" w:space="1" w:color="CCCCCC"/>
        </w:pBdr>
      </w:pPr>
    </w:p>
    <w:p>
      <w:pPr>
        <w:pStyle w:val="Heading3"/>
        <w:spacing w:before="240" w:after="160"/>
      </w:pPr>
      <w:r>
        <w:rPr>
          <w:rFonts w:ascii="Calibri" w:hAnsi="Calibri" w:eastAsia="Calibri"/>
          <w:color w:val="1A1A2E"/>
          <w:sz w:val="32"/>
        </w:rPr>
        <w:t>Slide 2: Nội dung trình bày</w:t>
      </w:r>
    </w:p>
    <w:p>
      <w:r>
        <w:rPr>
          <w:b/>
        </w:rPr>
        <w:t>Loại:</w:t>
      </w:r>
      <w:r>
        <w:t xml:space="preserve"> Agenda</w:t>
        <w:br/>
      </w:r>
      <w:r>
        <w:rPr>
          <w:b/>
        </w:rPr>
        <w:t>Thời gian:</w:t>
      </w:r>
      <w:r>
        <w:t xml:space="preserve"> 30 giây</w:t>
      </w:r>
    </w:p>
    <w:p>
      <w:r>
        <w:rPr>
          <w:b/>
        </w:rPr>
        <w:t>Key Message:</w:t>
      </w:r>
      <w:r>
        <w:t xml:space="preserve"> Báo cáo đi từ tổng quan nghị định → tác động theo chuỗi giá trị → giải pháp công nghệ → hành động cụ thể.</w:t>
      </w:r>
    </w:p>
    <w:p>
      <w:r>
        <w:rPr>
          <w:b/>
        </w:rPr>
        <w:t>Nội dung:</w:t>
      </w:r>
      <w:r>
        <w:br/>
        <w:t>1. NĐ 357 — Bức tranh toàn cảnh</w:t>
        <w:br/>
        <w:t>2. Tác động theo chuỗi giá trị (4 mắt xích)</w:t>
        <w:br/>
        <w:t>3. Chuyển đổi số &amp; Cơ hội blockchain</w:t>
        <w:br/>
        <w:t>4. Lộ trình hành động &amp; Kiến nghị phê duyệt</w:t>
      </w:r>
    </w:p>
    <w:p>
      <w:r>
        <w:rPr>
          <w:b/>
        </w:rPr>
        <w:t>Gợi ý hình ảnh:</w:t>
      </w:r>
      <w:r>
        <w:t xml:space="preserve"> 4 icon đại diện cho từng phần, layout dạng timeline ngang</w:t>
      </w:r>
    </w:p>
    <w:p>
      <w:r>
        <w:rPr>
          <w:b/>
        </w:rPr>
        <w:t>Speaker Notes:</w:t>
      </w:r>
      <w:r>
        <w:t xml:space="preserve"> Nội dung đi từ tổng quan đến chi tiết. Phần 1 giúp BOM hiểu bản chất nghị định. Phần 2 phân tích tác động từng khâu kinh doanh. Phần 3 là cơ hội công nghệ. Phần 4 là hành động cụ thể cần phê duyệt.</w:t>
      </w:r>
    </w:p>
    <w:p>
      <w:r>
        <w:rPr>
          <w:b/>
        </w:rPr>
        <w:t>Transition:</w:t>
      </w:r>
      <w:r>
        <w:t xml:space="preserve"> → “Trước hết, NĐ 357 thực chất quy định điều gì?”</w:t>
      </w:r>
    </w:p>
    <w:p>
      <w:pPr>
        <w:spacing w:before="120" w:after="120"/>
        <w:pBdr>
          <w:bottom w:val="single" w:sz="12" w:space="1" w:color="CCCCCC"/>
        </w:pBdr>
      </w:pPr>
    </w:p>
    <w:p>
      <w:pPr>
        <w:pStyle w:val="Heading3"/>
        <w:spacing w:before="240" w:after="160"/>
      </w:pPr>
      <w:r>
        <w:rPr>
          <w:rFonts w:ascii="Calibri" w:hAnsi="Calibri" w:eastAsia="Calibri"/>
          <w:color w:val="1A1A2E"/>
          <w:sz w:val="32"/>
        </w:rPr>
        <w:t>Slide 3: NĐ 357 — 3 trụ cột cốt lõi</w:t>
      </w:r>
    </w:p>
    <w:p>
      <w:r>
        <w:rPr>
          <w:b/>
        </w:rPr>
        <w:t>Loại:</w:t>
      </w:r>
      <w:r>
        <w:t xml:space="preserve"> Overview</w:t>
        <w:br/>
      </w:r>
      <w:r>
        <w:rPr>
          <w:b/>
        </w:rPr>
        <w:t>Thời gian:</w:t>
      </w:r>
      <w:r>
        <w:t xml:space="preserve"> 2 phút</w:t>
      </w:r>
    </w:p>
    <w:p>
      <w:r>
        <w:rPr>
          <w:b/>
        </w:rPr>
        <w:t>Key Message:</w:t>
      </w:r>
      <w:r>
        <w:t xml:space="preserve"> NĐ 357 tạo ra hệ thống “chứng minh thư số” cho mọi BĐS, mọi chủ thể, và liên thông toàn bộ dữ liệu quốc gia.</w:t>
      </w:r>
    </w:p>
    <w:p>
      <w:r>
        <w:rPr>
          <w:b/>
        </w:rPr>
        <w:t>Nội dung:</w:t>
      </w:r>
      <w:r>
        <w:br/>
        <w:t xml:space="preserve">- </w:t>
      </w:r>
      <w:r>
        <w:rPr>
          <w:b/>
        </w:rPr>
        <w:t>Trụ cột 1 — Định danh tài sản:</w:t>
      </w:r>
      <w:r>
        <w:t xml:space="preserve"> Mỗi sản phẩm BĐS được cấp mã điện tử duy nhất (tối đa 40 ký tự), không thể tẩy xóa (Điều 3 khoản 5; Điều 8-9)</w:t>
        <w:br/>
        <w:t xml:space="preserve">- </w:t>
      </w:r>
      <w:r>
        <w:rPr>
          <w:b/>
        </w:rPr>
        <w:t>Trụ cột 2 — Định danh chủ thể:</w:t>
      </w:r>
      <w:r>
        <w:t xml:space="preserve"> Mã cho đơn vị QLVH (15 ký tự), mã môi giới (17 ký tự), mã cá nhân thụ hưởng chính sách (Điều 10-12)</w:t>
        <w:br/>
        <w:t xml:space="preserve">- </w:t>
      </w:r>
      <w:r>
        <w:rPr>
          <w:b/>
        </w:rPr>
        <w:t>Trụ cột 3 — Liên thông CSDL quốc gia:</w:t>
      </w:r>
      <w:r>
        <w:t xml:space="preserve"> API thời gian thực kết nối 5 bộ ngành: Công an, Nông nghiệp &amp; Môi trường, Tài chính, NHNN, Tư pháp (Điều 28, 31)</w:t>
        <w:br/>
        <w:t xml:space="preserve">- </w:t>
      </w:r>
      <w:r>
        <w:rPr>
          <w:b/>
        </w:rPr>
        <w:t>Hiệu lực:</w:t>
      </w:r>
      <w:r>
        <w:t xml:space="preserve"> 01/03/2026 | Hạn chuẩn hóa dữ liệu cũ: 01/07/2026</w:t>
      </w:r>
    </w:p>
    <w:p>
      <w:r>
        <w:rPr>
          <w:b/>
        </w:rPr>
        <w:t>Gợi ý hình ảnh:</w:t>
      </w:r>
      <w:r>
        <w:t xml:space="preserve"> Diagram 3 trụ cột (3 pillars) với icon cho mỗi trụ. Hoặc infographic dạng “3 circles” kết nối</w:t>
      </w:r>
    </w:p>
    <w:p>
      <w:r>
        <w:rPr>
          <w:b/>
        </w:rPr>
        <w:t>Speaker Notes:</w:t>
      </w:r>
      <w:r>
        <w:t xml:space="preserve"> NĐ 357 không đơn giản là thêm một thủ tục hành chính. Đây là bước chuyển từ “hồ sơ giấy phân mảnh” sang “hệ sinh thái tài sản số tập trung”. Mỗi căn hộ sẽ có “chứng minh thư” riêng, mỗi môi giới phải có “passport số”, và toàn bộ giao dịch được liên thông từ công an đến thuế đến ngân hàng.</w:t>
      </w:r>
    </w:p>
    <w:p>
      <w:r>
        <w:rPr>
          <w:b/>
        </w:rPr>
        <w:t>Transition:</w:t>
      </w:r>
      <w:r>
        <w:t xml:space="preserve"> → “Vậy Chính phủ muốn đạt được gì khi ban hành nghị định này?”</w:t>
      </w:r>
    </w:p>
    <w:p>
      <w:pPr>
        <w:spacing w:before="120" w:after="120"/>
        <w:pBdr>
          <w:bottom w:val="single" w:sz="12" w:space="1" w:color="CCCCCC"/>
        </w:pBdr>
      </w:pPr>
    </w:p>
    <w:p>
      <w:pPr>
        <w:pStyle w:val="Heading3"/>
        <w:spacing w:before="240" w:after="160"/>
      </w:pPr>
      <w:r>
        <w:rPr>
          <w:rFonts w:ascii="Calibri" w:hAnsi="Calibri" w:eastAsia="Calibri"/>
          <w:color w:val="1A1A2E"/>
          <w:sz w:val="32"/>
        </w:rPr>
        <w:t>Slide 4: Bức tranh toàn cảnh — Từ “hồ sơ giấy” đến “hệ sinh thái số”</w:t>
      </w:r>
    </w:p>
    <w:p>
      <w:r>
        <w:rPr>
          <w:b/>
        </w:rPr>
        <w:t>Loại:</w:t>
      </w:r>
      <w:r>
        <w:t xml:space="preserve"> Context</w:t>
        <w:br/>
      </w:r>
      <w:r>
        <w:rPr>
          <w:b/>
        </w:rPr>
        <w:t>Thời gian:</w:t>
      </w:r>
      <w:r>
        <w:t xml:space="preserve"> 2 phút</w:t>
      </w:r>
    </w:p>
    <w:p>
      <w:r>
        <w:rPr>
          <w:b/>
        </w:rPr>
        <w:t>Key Message:</w:t>
      </w:r>
      <w:r>
        <w:t xml:space="preserve"> NĐ 357 nằm trong ma trận pháp lý đồng bộ nhằm xây dựng hạ tầng quản trị số quốc gia — mục tiêu cuối cùng là thu thuế BĐS, chống rửa tiền, và thanh lọc thị trường.</w:t>
      </w:r>
    </w:p>
    <w:p>
      <w:r>
        <w:rPr>
          <w:b/>
        </w:rPr>
        <w:t>Nội dung:</w:t>
      </w:r>
      <w:r>
        <w:br/>
        <w:t xml:space="preserve">- </w:t>
      </w:r>
      <w:r>
        <w:rPr>
          <w:b/>
        </w:rPr>
        <w:t>Ý đồ 1:</w:t>
      </w:r>
      <w:r>
        <w:t xml:space="preserve"> Xây CSDL lõi → dọn đường Luật Thuế BĐS (biết ai sở hữu gì, ở đâu, bao nhiêu)</w:t>
        <w:br/>
        <w:t xml:space="preserve">- </w:t>
      </w:r>
      <w:r>
        <w:rPr>
          <w:b/>
        </w:rPr>
        <w:t>Ý đồ 2:</w:t>
      </w:r>
      <w:r>
        <w:t xml:space="preserve"> Triệt tiêu giao dịch “hai giá” — mọi hợp đồng gắn mã + liên thông thuế</w:t>
        <w:br/>
        <w:t xml:space="preserve">- </w:t>
      </w:r>
      <w:r>
        <w:rPr>
          <w:b/>
        </w:rPr>
        <w:t>Ý đồ 3:</w:t>
      </w:r>
      <w:r>
        <w:t xml:space="preserve"> Chống rửa tiền (AML) — lưu vết toàn bộ, chữ ký số, dấu thời gian</w:t>
        <w:br/>
        <w:t xml:space="preserve">- </w:t>
      </w:r>
      <w:r>
        <w:rPr>
          <w:b/>
        </w:rPr>
        <w:t>Ý đồ 4:</w:t>
      </w:r>
      <w:r>
        <w:t xml:space="preserve"> Thanh lọc thị trường — loại chủ đầu tư yếu pháp lý, môi giới “tay ngang”, sàn không đạt chuẩn</w:t>
        <w:br/>
        <w:t xml:space="preserve">- </w:t>
      </w:r>
      <w:r>
        <w:rPr>
          <w:b/>
        </w:rPr>
        <w:t>Ma trận pháp lý:</w:t>
      </w:r>
      <w:r>
        <w:t xml:space="preserve"> Luật Dữ liệu số 60/2024, Luật BVDLCN 91/2025, Đề án 06</w:t>
      </w:r>
    </w:p>
    <w:p>
      <w:r>
        <w:rPr>
          <w:b/>
        </w:rPr>
        <w:t>Gợi ý hình ảnh:</w:t>
      </w:r>
      <w:r>
        <w:t xml:space="preserve"> Sơ đồ ma trận pháp lý (4 luật/nghị định liên kết), hoặc timeline “As-Is → To-Be”</w:t>
      </w:r>
    </w:p>
    <w:p>
      <w:r>
        <w:rPr>
          <w:b/>
        </w:rPr>
        <w:t>Speaker Notes:</w:t>
      </w:r>
      <w:r>
        <w:t xml:space="preserve"> Đây không phải một nghị định đơn lẻ. NĐ 357 là mảnh ghép cuối trong chiến lược số hóa toàn diện thị trường BĐS. 4 ý đồ ngầm định: thu thuế, chống hai giá, chống rửa tiền, thanh lọc. Với Sun Group, câu hỏi không phải “có tuân thủ không” mà là “tuân thủ sớm nhất để biến thành lợi thế cạnh tranh.”</w:t>
      </w:r>
    </w:p>
    <w:p>
      <w:r>
        <w:rPr>
          <w:b/>
        </w:rPr>
        <w:t>Transition:</w:t>
      </w:r>
      <w:r>
        <w:t xml:space="preserve"> → “Bây giờ nhìn vào tác động cụ thể đến từng mắt xích hoạt động của Tập đoàn.”</w:t>
      </w:r>
    </w:p>
    <w:p>
      <w:pPr>
        <w:spacing w:before="120" w:after="120"/>
        <w:pBdr>
          <w:bottom w:val="single" w:sz="12" w:space="1" w:color="CCCCCC"/>
        </w:pBdr>
      </w:pPr>
    </w:p>
    <w:p>
      <w:pPr>
        <w:pStyle w:val="Heading3"/>
        <w:spacing w:before="240" w:after="160"/>
      </w:pPr>
      <w:r>
        <w:rPr>
          <w:rFonts w:ascii="Calibri" w:hAnsi="Calibri" w:eastAsia="Calibri"/>
          <w:color w:val="1A1A2E"/>
          <w:sz w:val="32"/>
        </w:rPr>
        <w:t>Slide 5: Impact Matrix — Tác động theo chuỗi giá trị</w:t>
      </w:r>
    </w:p>
    <w:p>
      <w:r>
        <w:rPr>
          <w:b/>
        </w:rPr>
        <w:t>Loại:</w:t>
      </w:r>
      <w:r>
        <w:t xml:space="preserve"> Summary</w:t>
        <w:br/>
      </w:r>
      <w:r>
        <w:rPr>
          <w:b/>
        </w:rPr>
        <w:t>Thời gian:</w:t>
      </w:r>
      <w:r>
        <w:t xml:space="preserve"> 2 phút</w:t>
      </w:r>
    </w:p>
    <w:p>
      <w:r>
        <w:rPr>
          <w:b/>
        </w:rPr>
        <w:t>Key Message:</w:t>
      </w:r>
      <w:r>
        <w:t xml:space="preserve"> Mắt xích phân phối &amp; marketing chịu tác động nặng nhất. Blockchain là cơ hội lớn nhất.</w:t>
      </w:r>
    </w:p>
    <w:p>
      <w:r>
        <w:rPr>
          <w:b/>
        </w:rPr>
        <w:t>Nội dung:</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Calibri" w:hAnsi="Calibri"/>
                <w:b/>
                <w:sz w:val="20"/>
              </w:rPr>
              <w:t>Mắt xích</w:t>
            </w:r>
          </w:p>
        </w:tc>
        <w:tc>
          <w:tcPr>
            <w:tcW w:type="dxa" w:w="1872"/>
            <w:shd w:fill="E2E8F0" w:val="clear"/>
          </w:tcPr>
          <w:p>
            <w:pPr>
              <w:spacing w:before="60" w:after="60"/>
            </w:pPr>
            <w:r>
              <w:rPr>
                <w:rFonts w:ascii="Calibri" w:hAnsi="Calibri"/>
                <w:b/>
                <w:sz w:val="20"/>
              </w:rPr>
              <w:t>Mức độ</w:t>
            </w:r>
          </w:p>
        </w:tc>
        <w:tc>
          <w:tcPr>
            <w:tcW w:type="dxa" w:w="1872"/>
            <w:shd w:fill="E2E8F0" w:val="clear"/>
          </w:tcPr>
          <w:p>
            <w:pPr>
              <w:spacing w:before="60" w:after="60"/>
            </w:pPr>
            <w:r>
              <w:rPr>
                <w:rFonts w:ascii="Calibri" w:hAnsi="Calibri"/>
                <w:b/>
                <w:sz w:val="20"/>
              </w:rPr>
              <w:t>Rủi ro chính</w:t>
            </w:r>
          </w:p>
        </w:tc>
        <w:tc>
          <w:tcPr>
            <w:tcW w:type="dxa" w:w="1872"/>
            <w:shd w:fill="E2E8F0" w:val="clear"/>
          </w:tcPr>
          <w:p>
            <w:pPr>
              <w:spacing w:before="60" w:after="60"/>
            </w:pPr>
            <w:r>
              <w:rPr>
                <w:rFonts w:ascii="Calibri" w:hAnsi="Calibri"/>
                <w:b/>
                <w:sz w:val="20"/>
              </w:rPr>
              <w:t>Hành động ưu tiên</w:t>
            </w:r>
          </w:p>
        </w:tc>
        <w:tc>
          <w:tcPr>
            <w:tcW w:type="dxa" w:w="1872"/>
            <w:shd w:fill="E2E8F0" w:val="clear"/>
          </w:tcPr>
          <w:p>
            <w:pPr>
              <w:spacing w:before="60" w:after="60"/>
            </w:pPr>
            <w:r>
              <w:rPr>
                <w:rFonts w:ascii="Calibri" w:hAnsi="Calibri"/>
                <w:b/>
                <w:sz w:val="20"/>
              </w:rPr>
              <w:t>Lead</w:t>
            </w:r>
          </w:p>
        </w:tc>
      </w:tr>
      <w:tr>
        <w:tc>
          <w:tcPr>
            <w:tcW w:type="dxa" w:w="1872"/>
          </w:tcPr>
          <w:p>
            <w:pPr>
              <w:spacing w:before="60" w:after="60"/>
            </w:pPr>
            <w:r>
              <w:rPr>
                <w:rFonts w:ascii="Calibri" w:hAnsi="Calibri"/>
                <w:sz w:val="20"/>
              </w:rPr>
              <w:t>Khởi tạo dự án &amp; pháp lý</w:t>
            </w:r>
          </w:p>
        </w:tc>
        <w:tc>
          <w:tcPr>
            <w:tcW w:type="dxa" w:w="1872"/>
          </w:tcPr>
          <w:p>
            <w:pPr>
              <w:spacing w:before="60" w:after="60"/>
            </w:pPr>
            <w:r>
              <w:rPr>
                <w:rFonts w:ascii="Calibri" w:hAnsi="Calibri"/>
                <w:sz w:val="20"/>
              </w:rPr>
              <w:t>🟡</w:t>
            </w:r>
          </w:p>
        </w:tc>
        <w:tc>
          <w:tcPr>
            <w:tcW w:type="dxa" w:w="1872"/>
          </w:tcPr>
          <w:p>
            <w:pPr>
              <w:spacing w:before="60" w:after="60"/>
            </w:pPr>
            <w:r>
              <w:rPr>
                <w:rFonts w:ascii="Calibri" w:hAnsi="Calibri"/>
                <w:sz w:val="20"/>
              </w:rPr>
              <w:t>Tăng lead-time, sản phẩm đặc thù</w:t>
            </w:r>
          </w:p>
        </w:tc>
        <w:tc>
          <w:tcPr>
            <w:tcW w:type="dxa" w:w="1872"/>
          </w:tcPr>
          <w:p>
            <w:pPr>
              <w:spacing w:before="60" w:after="60"/>
            </w:pPr>
            <w:r>
              <w:rPr>
                <w:rFonts w:ascii="Calibri" w:hAnsi="Calibri"/>
                <w:sz w:val="20"/>
              </w:rPr>
              <w:t>Xin cấp mã hồi tố</w:t>
            </w:r>
          </w:p>
        </w:tc>
        <w:tc>
          <w:tcPr>
            <w:tcW w:type="dxa" w:w="1872"/>
          </w:tcPr>
          <w:p>
            <w:pPr>
              <w:spacing w:before="60" w:after="60"/>
            </w:pPr>
            <w:r>
              <w:rPr>
                <w:rFonts w:ascii="Calibri" w:hAnsi="Calibri"/>
                <w:sz w:val="20"/>
              </w:rPr>
              <w:t>Ban Pháp chế</w:t>
            </w:r>
          </w:p>
        </w:tc>
      </w:tr>
      <w:tr>
        <w:tc>
          <w:tcPr>
            <w:tcW w:type="dxa" w:w="1872"/>
          </w:tcPr>
          <w:p>
            <w:pPr>
              <w:spacing w:before="60" w:after="60"/>
            </w:pPr>
            <w:r>
              <w:rPr>
                <w:rFonts w:ascii="Calibri" w:hAnsi="Calibri"/>
                <w:sz w:val="20"/>
              </w:rPr>
              <w:t>Phân phối &amp; marketing</w:t>
            </w:r>
          </w:p>
        </w:tc>
        <w:tc>
          <w:tcPr>
            <w:tcW w:type="dxa" w:w="1872"/>
          </w:tcPr>
          <w:p>
            <w:pPr>
              <w:spacing w:before="60" w:after="60"/>
            </w:pPr>
            <w:r>
              <w:rPr>
                <w:rFonts w:ascii="Calibri" w:hAnsi="Calibri"/>
                <w:sz w:val="20"/>
              </w:rPr>
              <w:t>🔴</w:t>
            </w:r>
          </w:p>
        </w:tc>
        <w:tc>
          <w:tcPr>
            <w:tcW w:type="dxa" w:w="1872"/>
          </w:tcPr>
          <w:p>
            <w:pPr>
              <w:spacing w:before="60" w:after="60"/>
            </w:pPr>
            <w:r>
              <w:rPr>
                <w:rFonts w:ascii="Calibri" w:hAnsi="Calibri"/>
                <w:sz w:val="20"/>
              </w:rPr>
              <w:t>Sụt thanh khoản VIP, đứt gãy đại lý</w:t>
            </w:r>
          </w:p>
        </w:tc>
        <w:tc>
          <w:tcPr>
            <w:tcW w:type="dxa" w:w="1872"/>
          </w:tcPr>
          <w:p>
            <w:pPr>
              <w:spacing w:before="60" w:after="60"/>
            </w:pPr>
            <w:r>
              <w:rPr>
                <w:rFonts w:ascii="Calibri" w:hAnsi="Calibri"/>
                <w:sz w:val="20"/>
              </w:rPr>
              <w:t>Tối hậu thư đại lý</w:t>
            </w:r>
          </w:p>
        </w:tc>
        <w:tc>
          <w:tcPr>
            <w:tcW w:type="dxa" w:w="1872"/>
          </w:tcPr>
          <w:p>
            <w:pPr>
              <w:spacing w:before="60" w:after="60"/>
            </w:pPr>
            <w:r>
              <w:rPr>
                <w:rFonts w:ascii="Calibri" w:hAnsi="Calibri"/>
                <w:sz w:val="20"/>
              </w:rPr>
              <w:t>SPG</w:t>
            </w:r>
          </w:p>
        </w:tc>
      </w:tr>
      <w:tr>
        <w:tc>
          <w:tcPr>
            <w:tcW w:type="dxa" w:w="1872"/>
          </w:tcPr>
          <w:p>
            <w:pPr>
              <w:spacing w:before="60" w:after="60"/>
            </w:pPr>
            <w:r>
              <w:rPr>
                <w:rFonts w:ascii="Calibri" w:hAnsi="Calibri"/>
                <w:sz w:val="20"/>
              </w:rPr>
              <w:t>Bàn giao &amp; vận hành</w:t>
            </w:r>
          </w:p>
        </w:tc>
        <w:tc>
          <w:tcPr>
            <w:tcW w:type="dxa" w:w="1872"/>
          </w:tcPr>
          <w:p>
            <w:pPr>
              <w:spacing w:before="60" w:after="60"/>
            </w:pPr>
            <w:r>
              <w:rPr>
                <w:rFonts w:ascii="Calibri" w:hAnsi="Calibri"/>
                <w:sz w:val="20"/>
              </w:rPr>
              <w:t>🟡</w:t>
            </w:r>
          </w:p>
        </w:tc>
        <w:tc>
          <w:tcPr>
            <w:tcW w:type="dxa" w:w="1872"/>
          </w:tcPr>
          <w:p>
            <w:pPr>
              <w:spacing w:before="60" w:after="60"/>
            </w:pPr>
            <w:r>
              <w:rPr>
                <w:rFonts w:ascii="Calibri" w:hAnsi="Calibri"/>
                <w:sz w:val="20"/>
              </w:rPr>
              <w:t>Rủi ro thuế rental pool</w:t>
            </w:r>
          </w:p>
        </w:tc>
        <w:tc>
          <w:tcPr>
            <w:tcW w:type="dxa" w:w="1872"/>
          </w:tcPr>
          <w:p>
            <w:pPr>
              <w:spacing w:before="60" w:after="60"/>
            </w:pPr>
            <w:r>
              <w:rPr>
                <w:rFonts w:ascii="Calibri" w:hAnsi="Calibri"/>
                <w:sz w:val="20"/>
              </w:rPr>
              <w:t>Tích hợp mã vào Sun Smart</w:t>
            </w:r>
          </w:p>
        </w:tc>
        <w:tc>
          <w:tcPr>
            <w:tcW w:type="dxa" w:w="1872"/>
          </w:tcPr>
          <w:p>
            <w:pPr>
              <w:spacing w:before="60" w:after="60"/>
            </w:pPr>
            <w:r>
              <w:rPr>
                <w:rFonts w:ascii="Calibri" w:hAnsi="Calibri"/>
                <w:sz w:val="20"/>
              </w:rPr>
              <w:t>SPM/SPL</w:t>
            </w:r>
          </w:p>
        </w:tc>
      </w:tr>
      <w:tr>
        <w:tc>
          <w:tcPr>
            <w:tcW w:type="dxa" w:w="1872"/>
          </w:tcPr>
          <w:p>
            <w:pPr>
              <w:spacing w:before="60" w:after="60"/>
            </w:pPr>
            <w:r>
              <w:rPr>
                <w:rFonts w:ascii="Calibri" w:hAnsi="Calibri"/>
                <w:sz w:val="20"/>
              </w:rPr>
              <w:t>Hạ tầng CNTT &amp; Tài chính</w:t>
            </w:r>
          </w:p>
        </w:tc>
        <w:tc>
          <w:tcPr>
            <w:tcW w:type="dxa" w:w="1872"/>
          </w:tcPr>
          <w:p>
            <w:pPr>
              <w:spacing w:before="60" w:after="60"/>
            </w:pPr>
            <w:r>
              <w:rPr>
                <w:rFonts w:ascii="Calibri" w:hAnsi="Calibri"/>
                <w:sz w:val="20"/>
              </w:rPr>
              <w:t>🟠</w:t>
            </w:r>
          </w:p>
        </w:tc>
        <w:tc>
          <w:tcPr>
            <w:tcW w:type="dxa" w:w="1872"/>
          </w:tcPr>
          <w:p>
            <w:pPr>
              <w:spacing w:before="60" w:after="60"/>
            </w:pPr>
            <w:r>
              <w:rPr>
                <w:rFonts w:ascii="Calibri" w:hAnsi="Calibri"/>
                <w:sz w:val="20"/>
              </w:rPr>
              <w:t>Chưa có API, database chưa sẵn sàng</w:t>
            </w:r>
          </w:p>
        </w:tc>
        <w:tc>
          <w:tcPr>
            <w:tcW w:type="dxa" w:w="1872"/>
          </w:tcPr>
          <w:p>
            <w:pPr>
              <w:spacing w:before="60" w:after="60"/>
            </w:pPr>
            <w:r>
              <w:rPr>
                <w:rFonts w:ascii="Calibri" w:hAnsi="Calibri"/>
                <w:sz w:val="20"/>
              </w:rPr>
              <w:t>Tái cấu trúc CRM/ERP</w:t>
            </w:r>
          </w:p>
        </w:tc>
        <w:tc>
          <w:tcPr>
            <w:tcW w:type="dxa" w:w="1872"/>
          </w:tcPr>
          <w:p>
            <w:pPr>
              <w:spacing w:before="60" w:after="60"/>
            </w:pPr>
            <w:r>
              <w:rPr>
                <w:rFonts w:ascii="Calibri" w:hAnsi="Calibri"/>
                <w:sz w:val="20"/>
              </w:rPr>
              <w:t>Khối CNTT</w:t>
            </w:r>
          </w:p>
        </w:tc>
      </w:tr>
      <w:tr>
        <w:tc>
          <w:tcPr>
            <w:tcW w:type="dxa" w:w="1872"/>
          </w:tcPr>
          <w:p>
            <w:pPr>
              <w:spacing w:before="60" w:after="60"/>
            </w:pPr>
            <w:r>
              <w:rPr>
                <w:rFonts w:ascii="Calibri" w:hAnsi="Calibri"/>
                <w:sz w:val="20"/>
              </w:rPr>
              <w:t>Blockchain &amp; VNDA</w:t>
            </w:r>
          </w:p>
        </w:tc>
        <w:tc>
          <w:tcPr>
            <w:tcW w:type="dxa" w:w="1872"/>
          </w:tcPr>
          <w:p>
            <w:pPr>
              <w:spacing w:before="60" w:after="60"/>
            </w:pPr>
            <w:r>
              <w:rPr>
                <w:rFonts w:ascii="Calibri" w:hAnsi="Calibri"/>
                <w:sz w:val="20"/>
              </w:rPr>
              <w:t>🟢</w:t>
            </w:r>
          </w:p>
        </w:tc>
        <w:tc>
          <w:tcPr>
            <w:tcW w:type="dxa" w:w="1872"/>
          </w:tcPr>
          <w:p>
            <w:pPr>
              <w:spacing w:before="60" w:after="60"/>
            </w:pPr>
            <w:r>
              <w:rPr>
                <w:rFonts w:ascii="Calibri" w:hAnsi="Calibri"/>
                <w:sz w:val="20"/>
              </w:rPr>
              <w:t>Đối thủ chưa có năng lực</w:t>
            </w:r>
          </w:p>
        </w:tc>
        <w:tc>
          <w:tcPr>
            <w:tcW w:type="dxa" w:w="1872"/>
          </w:tcPr>
          <w:p>
            <w:pPr>
              <w:spacing w:before="60" w:after="60"/>
            </w:pPr>
            <w:r>
              <w:rPr>
                <w:rFonts w:ascii="Calibri" w:hAnsi="Calibri"/>
                <w:sz w:val="20"/>
              </w:rPr>
              <w:t>Nghiên cứu khả thi, PoC</w:t>
            </w:r>
          </w:p>
        </w:tc>
        <w:tc>
          <w:tcPr>
            <w:tcW w:type="dxa" w:w="1872"/>
          </w:tcPr>
          <w:p>
            <w:pPr>
              <w:spacing w:before="60" w:after="60"/>
            </w:pPr>
            <w:r>
              <w:rPr>
                <w:rFonts w:ascii="Calibri" w:hAnsi="Calibri"/>
                <w:sz w:val="20"/>
              </w:rPr>
              <w:t>VNDA</w:t>
            </w:r>
          </w:p>
        </w:tc>
      </w:tr>
    </w:tbl>
    <w:p>
      <w:pPr>
        <w:spacing w:before="0" w:after="80"/>
      </w:pPr>
    </w:p>
    <w:p>
      <w:r>
        <w:rPr>
          <w:b/>
        </w:rPr>
        <w:t>Gợi ý hình ảnh:</w:t>
      </w:r>
      <w:r>
        <w:t xml:space="preserve"> Bảng 5x5 với traffic-light color coding (đỏ/cam/vàng/xanh). Hoặc value chain diagram với màu sắc tương ứng</w:t>
      </w:r>
    </w:p>
    <w:p>
      <w:r>
        <w:rPr>
          <w:b/>
        </w:rPr>
        <w:t>Speaker Notes:</w:t>
      </w:r>
      <w:r>
        <w:t xml:space="preserve"> Đây là bản đồ tác động. Ô đỏ — phân phối — là khẩn cấp nhất: nếu không xử lý, hệ thống bán hàng có thể tê liệt. Ô xanh — blockchain — là cơ hội mà đối thủ chưa ai có. Tiếp theo tôi sẽ đi vào từng mắt xích.</w:t>
      </w:r>
    </w:p>
    <w:p>
      <w:r>
        <w:rPr>
          <w:b/>
        </w:rPr>
        <w:t>Transition:</w:t>
      </w:r>
      <w:r>
        <w:t xml:space="preserve"> → “Bắt đầu với mắt xích đầu tiên: khởi tạo dự án.”</w:t>
      </w:r>
    </w:p>
    <w:p>
      <w:pPr>
        <w:spacing w:before="120" w:after="120"/>
        <w:pBdr>
          <w:bottom w:val="single" w:sz="12" w:space="1" w:color="CCCCCC"/>
        </w:pBdr>
      </w:pPr>
    </w:p>
    <w:p>
      <w:pPr>
        <w:pStyle w:val="Heading3"/>
        <w:spacing w:before="240" w:after="160"/>
      </w:pPr>
      <w:r>
        <w:rPr>
          <w:rFonts w:ascii="Calibri" w:hAnsi="Calibri" w:eastAsia="Calibri"/>
          <w:color w:val="1A1A2E"/>
          <w:sz w:val="32"/>
        </w:rPr>
        <w:t>Slide 6: Mắt xích 1 — Khởi tạo dự án &amp; pháp lý</w:t>
      </w:r>
    </w:p>
    <w:p>
      <w:r>
        <w:rPr>
          <w:b/>
        </w:rPr>
        <w:t>Loại:</w:t>
      </w:r>
      <w:r>
        <w:t xml:space="preserve"> Value Chain Detail</w:t>
        <w:br/>
      </w:r>
      <w:r>
        <w:rPr>
          <w:b/>
        </w:rPr>
        <w:t>Thời gian:</w:t>
      </w:r>
      <w:r>
        <w:t xml:space="preserve"> 2 phút</w:t>
      </w:r>
    </w:p>
    <w:p>
      <w:r>
        <w:rPr>
          <w:b/>
        </w:rPr>
        <w:t>Key Message:</w:t>
      </w:r>
      <w:r>
        <w:t xml:space="preserve"> NĐ 357 thêm bước bắt buộc “gắn mã” trước khi bán — gây rủi ro lead-time nếu Sở XD xử lý chậm.</w:t>
      </w:r>
    </w:p>
    <w:p>
      <w:r>
        <w:rPr>
          <w:b/>
        </w:rPr>
        <w:t>Nội dung:</w:t>
      </w:r>
      <w:r>
        <w:br/>
        <w:t xml:space="preserve">- </w:t>
      </w:r>
      <w:r>
        <w:rPr>
          <w:b/>
        </w:rPr>
        <w:t>Quy trình mới:</w:t>
      </w:r>
      <w:r>
        <w:t xml:space="preserve"> Sở XD gắn mã định danh cùng lúc ban hành văn bản đủ điều kiện bán (Điều 8 khoản 2)</w:t>
        <w:br/>
        <w:t xml:space="preserve">- </w:t>
      </w:r>
      <w:r>
        <w:rPr>
          <w:b/>
        </w:rPr>
        <w:t>Rủi ro:</w:t>
      </w:r>
      <w:r>
        <w:t xml:space="preserve"> Phụ thuộc tốc độ Sở XD → “độ trễ” ảnh hưởng sales event</w:t>
        <w:br/>
        <w:t xml:space="preserve">- </w:t>
      </w:r>
      <w:r>
        <w:rPr>
          <w:b/>
        </w:rPr>
        <w:t>3 nhóm cần xin mã hồi tố:</w:t>
      </w:r>
      <w:r>
        <w:br/>
        <w:t xml:space="preserve">  1. Giỏ hàng tồn kho (đủ điều kiện bán, chưa giao dịch) — </w:t>
      </w:r>
      <w:r>
        <w:rPr>
          <w:b/>
        </w:rPr>
        <w:t>Ưu tiên cao</w:t>
      </w:r>
      <w:r>
        <w:br/>
        <w:t xml:space="preserve">  2. Hàng đã bán, chờ ra sổ</w:t>
        <w:br/>
        <w:t xml:space="preserve">  3. Tài sản đang thế chấp ngân hàng</w:t>
        <w:br/>
        <w:t xml:space="preserve">- </w:t>
      </w:r>
      <w:r>
        <w:rPr>
          <w:b/>
        </w:rPr>
        <w:t>Vướng mắc đặc thù:</w:t>
      </w:r>
      <w:r>
        <w:t xml:space="preserve"> Condotel, shophouse khối đế, timeshare — chưa rõ thuật toán cấp mã</w:t>
        <w:br/>
        <w:t xml:space="preserve">- </w:t>
      </w:r>
      <w:r>
        <w:rPr>
          <w:b/>
        </w:rPr>
        <w:t>Action:</w:t>
      </w:r>
      <w:r>
        <w:t xml:space="preserve"> Nộp hồ sơ xin cấp mã hàng loạt trước 15/04/2026; tham vấn Bộ XD về sản phẩm đặc thù</w:t>
      </w:r>
    </w:p>
    <w:p>
      <w:r>
        <w:rPr>
          <w:b/>
        </w:rPr>
        <w:t>Gợi ý hình ảnh:</w:t>
      </w:r>
      <w:r>
        <w:t xml:space="preserve"> Flowchart quy trình cấp mã (trước vs. sau NĐ 357). Bảng 3 nhóm tài sản cần hồi tố</w:t>
      </w:r>
    </w:p>
    <w:p>
      <w:r>
        <w:rPr>
          <w:b/>
        </w:rPr>
        <w:t>Speaker Notes:</w:t>
      </w:r>
      <w:r>
        <w:t xml:space="preserve"> Mắt xích này tác động trung bình nhưng cần hành động ngay. Nếu chậm nộp hồ sơ, giỏ hàng tồn kho không có mã sẽ không thể giao dịch hợp pháp. Đặc biệt các sản phẩm đặc thù như condotel, timeshare — chưa có hướng dẫn rõ từ Bộ XD.</w:t>
      </w:r>
    </w:p>
    <w:p>
      <w:r>
        <w:rPr>
          <w:b/>
        </w:rPr>
        <w:t>Transition:</w:t>
      </w:r>
      <w:r>
        <w:t xml:space="preserve"> → “Giờ đến mắt xích nghiêm trọng nhất — phân phối và marketing.”</w:t>
      </w:r>
    </w:p>
    <w:p>
      <w:pPr>
        <w:spacing w:before="120" w:after="120"/>
        <w:pBdr>
          <w:bottom w:val="single" w:sz="12" w:space="1" w:color="CCCCCC"/>
        </w:pBdr>
      </w:pPr>
    </w:p>
    <w:p>
      <w:pPr>
        <w:pStyle w:val="Heading3"/>
        <w:spacing w:before="240" w:after="160"/>
      </w:pPr>
      <w:r>
        <w:rPr>
          <w:rFonts w:ascii="Calibri" w:hAnsi="Calibri" w:eastAsia="Calibri"/>
          <w:color w:val="1A1A2E"/>
          <w:sz w:val="32"/>
        </w:rPr>
        <w:t>Slide 7: Mắt xích 2 — Phân phối &amp; Marketing — TRỌNG ĐIỂM</w:t>
      </w:r>
    </w:p>
    <w:p>
      <w:r>
        <w:rPr>
          <w:b/>
        </w:rPr>
        <w:t>Loại:</w:t>
      </w:r>
      <w:r>
        <w:t xml:space="preserve"> Value Chain Detail (Critical)</w:t>
        <w:br/>
      </w:r>
      <w:r>
        <w:rPr>
          <w:b/>
        </w:rPr>
        <w:t>Thời gian:</w:t>
      </w:r>
      <w:r>
        <w:t xml:space="preserve"> 3 phút</w:t>
      </w:r>
    </w:p>
    <w:p>
      <w:r>
        <w:rPr>
          <w:b/>
        </w:rPr>
        <w:t>Key Message:</w:t>
      </w:r>
      <w:r>
        <w:t xml:space="preserve"> Nếu không xử lý kịp, toàn bộ hệ thống bán hàng có thể tê liệt sau 01/03/2026.</w:t>
      </w:r>
    </w:p>
    <w:p>
      <w:r>
        <w:rPr>
          <w:b/>
        </w:rPr>
        <w:t>Nội dung:</w:t>
      </w:r>
      <w:r>
        <w:br/>
        <w:t xml:space="preserve">- </w:t>
      </w:r>
      <w:r>
        <w:rPr>
          <w:b/>
        </w:rPr>
        <w:t>Rủi ro 1 — Tâm lý khách VIP:</w:t>
      </w:r>
      <w:r>
        <w:t xml:space="preserve"> Liên thông dữ liệu với Thuế + lưu vết lịch sử giao dịch → nhóm VIP sở hữu nhiều BĐS e ngại mua thêm → sụt thanh khoản phân khúc cao cấp</w:t>
        <w:br/>
        <w:t xml:space="preserve">- </w:t>
      </w:r>
      <w:r>
        <w:rPr>
          <w:b/>
        </w:rPr>
        <w:t>Rủi ro 2 — Đứt gãy đại lý:</w:t>
      </w:r>
      <w:r>
        <w:t xml:space="preserve"> Mọi môi giới phải có mã 17 ký tự (Điều 11). Hàng nghìn nhân viên F1/F2 chưa có chứng chỉ → không thể giao dịch hợp pháp</w:t>
        <w:br/>
        <w:t xml:space="preserve">- </w:t>
      </w:r>
      <w:r>
        <w:rPr>
          <w:b/>
        </w:rPr>
        <w:t>Giải pháp:</w:t>
      </w:r>
      <w:r>
        <w:br/>
        <w:t xml:space="preserve">  - Xoay trục truyền thông: </w:t>
      </w:r>
      <w:r>
        <w:rPr>
          <w:i/>
        </w:rPr>
        <w:t>“BĐS Sun Group — tài sản có chứng minh thư quốc gia”</w:t>
      </w:r>
      <w:r>
        <w:br/>
        <w:t xml:space="preserve">  - Ban hành tối hậu thư chuẩn hóa đại lý (30 ngày)</w:t>
        <w:br/>
        <w:t xml:space="preserve">  - Thi chứng chỉ cấp tốc cho nhân viên hệ thống</w:t>
        <w:br/>
        <w:t xml:space="preserve">  - Bổ sung mã BĐS + mã môi giới vào HĐMB, thỏa thuận đặt cọc, phiếu booking</w:t>
      </w:r>
    </w:p>
    <w:p>
      <w:r>
        <w:rPr>
          <w:b/>
        </w:rPr>
        <w:t>Gợi ý hình ảnh:</w:t>
      </w:r>
      <w:r>
        <w:t xml:space="preserve"> Biểu đồ 2 rủi ro (VIP + đại lý) với icon cảnh báo đỏ. Timeline hành động</w:t>
      </w:r>
    </w:p>
    <w:p>
      <w:r>
        <w:rPr>
          <w:b/>
        </w:rPr>
        <w:t>Speaker Notes:</w:t>
      </w:r>
      <w:r>
        <w:t xml:space="preserve"> Đây là ô đỏ trên bản đồ. Hai rủi ro cùng lúc: khách VIP ngại mua do minh bạch hóa, và đại lý không đủ chứng chỉ để bán. Nhưng đây cũng là cơ hội: nếu Sun Group hoàn tất định danh trước đối thủ, thông điệp “tài sản có chứng minh thư quốc gia” sẽ là USP cực mạnh.</w:t>
      </w:r>
    </w:p>
    <w:p>
      <w:r>
        <w:rPr>
          <w:b/>
        </w:rPr>
        <w:t>Transition:</w:t>
      </w:r>
      <w:r>
        <w:t xml:space="preserve"> → “Tiếp theo là mắt xích bàn giao và vận hành.”</w:t>
      </w:r>
    </w:p>
    <w:p>
      <w:pPr>
        <w:spacing w:before="120" w:after="120"/>
        <w:pBdr>
          <w:bottom w:val="single" w:sz="12" w:space="1" w:color="CCCCCC"/>
        </w:pBdr>
      </w:pPr>
    </w:p>
    <w:p>
      <w:pPr>
        <w:pStyle w:val="Heading3"/>
        <w:spacing w:before="240" w:after="160"/>
      </w:pPr>
      <w:r>
        <w:rPr>
          <w:rFonts w:ascii="Calibri" w:hAnsi="Calibri" w:eastAsia="Calibri"/>
          <w:color w:val="1A1A2E"/>
          <w:sz w:val="32"/>
        </w:rPr>
        <w:t>Slide 8: Mắt xích 3 — Bàn giao &amp; Vận hành</w:t>
      </w:r>
    </w:p>
    <w:p>
      <w:r>
        <w:rPr>
          <w:b/>
        </w:rPr>
        <w:t>Loại:</w:t>
      </w:r>
      <w:r>
        <w:t xml:space="preserve"> Value Chain Detail</w:t>
        <w:br/>
      </w:r>
      <w:r>
        <w:rPr>
          <w:b/>
        </w:rPr>
        <w:t>Thời gian:</w:t>
      </w:r>
      <w:r>
        <w:t xml:space="preserve"> 2 phút</w:t>
      </w:r>
    </w:p>
    <w:p>
      <w:r>
        <w:rPr>
          <w:b/>
        </w:rPr>
        <w:t>Key Message:</w:t>
      </w:r>
      <w:r>
        <w:t xml:space="preserve"> Đơn vị QLVH cần mã định danh pháp nhân. Sun Smart có cơ hội nâng cấp thành “cổng tra cứu pháp lý BĐS.”</w:t>
      </w:r>
    </w:p>
    <w:p>
      <w:r>
        <w:rPr>
          <w:b/>
        </w:rPr>
        <w:t>Nội dung:</w:t>
      </w:r>
      <w:r>
        <w:br/>
        <w:t xml:space="preserve">- </w:t>
      </w:r>
      <w:r>
        <w:rPr>
          <w:b/>
        </w:rPr>
        <w:t>Tuân thủ:</w:t>
      </w:r>
      <w:r>
        <w:t xml:space="preserve"> SPM/SPL đăng ký mã pháp nhân QLVH (15 ký tự, Điều 10) + danh sách nhân viên kỹ thuật</w:t>
        <w:br/>
        <w:t xml:space="preserve">- </w:t>
      </w:r>
      <w:r>
        <w:rPr>
          <w:b/>
        </w:rPr>
        <w:t>Cơ hội Sun Smart:</w:t>
      </w:r>
      <w:r>
        <w:t xml:space="preserve"> Tích hợp mã BĐS 40 ký tự vào hồ sơ căn hộ → cư dân tra cứu pháp lý, lịch sử giao dịch tức thời → hỗ trợ chuyển nhượng thứ cấp</w:t>
        <w:br/>
        <w:t xml:space="preserve">- </w:t>
      </w:r>
      <w:r>
        <w:rPr>
          <w:b/>
        </w:rPr>
        <w:t>Rủi ro rental pool:</w:t>
      </w:r>
      <w:r>
        <w:t xml:space="preserve"> Doanh thu cho thuê được ghi nhận qua hệ thống quốc gia → nếu không kê khai đầy đủ → truy thu thuế TNCN</w:t>
        <w:br/>
        <w:t xml:space="preserve">- </w:t>
      </w:r>
      <w:r>
        <w:rPr>
          <w:b/>
        </w:rPr>
        <w:t>Action:</w:t>
      </w:r>
      <w:r>
        <w:t xml:space="preserve"> SPM lập hồ sơ mã pháp nhân; rà soát quy trình chia sẻ doanh thu → map cứng với mã BĐS</w:t>
      </w:r>
    </w:p>
    <w:p>
      <w:r>
        <w:rPr>
          <w:b/>
        </w:rPr>
        <w:t>Gợi ý hình ảnh:</w:t>
      </w:r>
      <w:r>
        <w:t xml:space="preserve"> Mockup Sun Smart App với mã BĐS tích hợp. Diagram rental pool data flow</w:t>
      </w:r>
    </w:p>
    <w:p>
      <w:r>
        <w:rPr>
          <w:b/>
        </w:rPr>
        <w:t>Speaker Notes:</w:t>
      </w:r>
      <w:r>
        <w:t xml:space="preserve"> Mắt xích này vừa có rủi ro vận hành (mã pháp nhân, rental pool) vừa có cơ hội sản phẩm. Sun Smart nếu tích hợp mã định danh sẽ trở thành “cổng thông tin BĐS” — giá trị gia tăng rất lớn cho cư dân.</w:t>
      </w:r>
    </w:p>
    <w:p>
      <w:r>
        <w:rPr>
          <w:b/>
        </w:rPr>
        <w:t>Transition:</w:t>
      </w:r>
      <w:r>
        <w:t xml:space="preserve"> → “Và nền tảng cho tất cả những điều trên — hạ tầng công nghệ.”</w:t>
      </w:r>
    </w:p>
    <w:p>
      <w:pPr>
        <w:spacing w:before="120" w:after="120"/>
        <w:pBdr>
          <w:bottom w:val="single" w:sz="12" w:space="1" w:color="CCCCCC"/>
        </w:pBdr>
      </w:pPr>
    </w:p>
    <w:p>
      <w:pPr>
        <w:pStyle w:val="Heading3"/>
        <w:spacing w:before="240" w:after="160"/>
      </w:pPr>
      <w:r>
        <w:rPr>
          <w:rFonts w:ascii="Calibri" w:hAnsi="Calibri" w:eastAsia="Calibri"/>
          <w:color w:val="1A1A2E"/>
          <w:sz w:val="32"/>
        </w:rPr>
        <w:t>Slide 9: Mắt xích 4 — Hạ tầng CNTT &amp; Tài chính</w:t>
      </w:r>
    </w:p>
    <w:p>
      <w:r>
        <w:rPr>
          <w:b/>
        </w:rPr>
        <w:t>Loại:</w:t>
      </w:r>
      <w:r>
        <w:t xml:space="preserve"> Value Chain Detail</w:t>
        <w:br/>
      </w:r>
      <w:r>
        <w:rPr>
          <w:b/>
        </w:rPr>
        <w:t>Thời gian:</w:t>
      </w:r>
      <w:r>
        <w:t xml:space="preserve"> 2 phút</w:t>
      </w:r>
    </w:p>
    <w:p>
      <w:r>
        <w:rPr>
          <w:b/>
        </w:rPr>
        <w:t>Key Message:</w:t>
      </w:r>
      <w:r>
        <w:t xml:space="preserve"> Sun CRM/ERP cần bổ sung trường mã định danh, xây API 2 chiều với Cổng quốc gia, và map hóa đơn với mã BĐS.</w:t>
      </w:r>
    </w:p>
    <w:p>
      <w:r>
        <w:rPr>
          <w:b/>
        </w:rPr>
        <w:t>Nội dung:</w:t>
      </w:r>
      <w:r>
        <w:br/>
        <w:t xml:space="preserve">- </w:t>
      </w:r>
      <w:r>
        <w:rPr>
          <w:b/>
        </w:rPr>
        <w:t>Tái cấu trúc database:</w:t>
      </w:r>
      <w:r>
        <w:br/>
        <w:t xml:space="preserve">  - Bổ sung trường </w:t>
      </w:r>
      <w:r>
        <w:rPr>
          <w:rFonts w:ascii="Consolas" w:hAnsi="Consolas"/>
          <w:sz w:val="18"/>
          <w:shd w:fill="F5F5F5"/>
        </w:rPr>
        <w:t>ma_dinh_danh_bds</w:t>
      </w:r>
      <w:r>
        <w:t xml:space="preserve"> (VARCHAR 50) vào bảng sản phẩm, giao dịch, hợp đồng, nhân viên</w:t>
        <w:br/>
        <w:t xml:space="preserve">  - Rule-block: Booking/Lock căn yêu cầu mã BĐS + mã môi giới hợp lệ → thiếu = tự động từ chối</w:t>
        <w:br/>
        <w:t xml:space="preserve">- </w:t>
      </w:r>
      <w:r>
        <w:rPr>
          <w:b/>
        </w:rPr>
        <w:t>API Integration:</w:t>
      </w:r>
      <w:r>
        <w:br/>
        <w:t xml:space="preserve">  - Push: đẩy dữ liệu giao dịch lên Cổng quốc gia</w:t>
        <w:br/>
        <w:t xml:space="preserve">  - Pull: kéo mã BĐS, trạng thái pháp lý về hệ thống nội bộ</w:t>
        <w:br/>
        <w:t xml:space="preserve">  - Metadata theo chuẩn Phụ lục II</w:t>
        <w:br/>
        <w:t xml:space="preserve">- </w:t>
      </w:r>
      <w:r>
        <w:rPr>
          <w:b/>
        </w:rPr>
        <w:t>Kế toán số:</w:t>
      </w:r>
      <w:r>
        <w:t xml:space="preserve"> Hóa đơn điện tử map cứng với mã BĐS → dòng doanh thu trên SAP gắn mã cụ thể</w:t>
        <w:br/>
        <w:t xml:space="preserve">- </w:t>
      </w:r>
      <w:r>
        <w:rPr>
          <w:b/>
        </w:rPr>
        <w:t>Tiến độ:</w:t>
      </w:r>
      <w:r>
        <w:t xml:space="preserve"> Phase 1 (thiết kế) → Phase 2 (code + UAT) → Phase 3 (go-live)</w:t>
      </w:r>
    </w:p>
    <w:p>
      <w:r>
        <w:rPr>
          <w:b/>
        </w:rPr>
        <w:t>Gợi ý hình ảnh:</w:t>
      </w:r>
      <w:r>
        <w:t xml:space="preserve"> Kiến trúc hệ thống (Sun CRM ↔ API Gateway ↔ Cổng quốc gia). Diagram Push/Pull</w:t>
      </w:r>
    </w:p>
    <w:p>
      <w:r>
        <w:rPr>
          <w:b/>
        </w:rPr>
        <w:t>Speaker Notes:</w:t>
      </w:r>
      <w:r>
        <w:t xml:space="preserve"> Đây là nền tảng kỹ thuật. Không có API 2 chiều, không thể tuân thủ. Tin tốt là Sun Group đã có Sun CRM, SAP — chỉ cần bổ sung trường dữ liệu và xây module API. Rule-block an toàn rất quan trọng: không có mã, không cho phép giao dịch.</w:t>
      </w:r>
    </w:p>
    <w:p>
      <w:r>
        <w:rPr>
          <w:b/>
        </w:rPr>
        <w:t>Transition:</w:t>
      </w:r>
      <w:r>
        <w:t xml:space="preserve"> → “Nhìn tổng thể hơn, hệ thống dữ liệu sẽ thay đổi như thế nào?”</w:t>
      </w:r>
    </w:p>
    <w:p>
      <w:pPr>
        <w:spacing w:before="120" w:after="120"/>
        <w:pBdr>
          <w:bottom w:val="single" w:sz="12" w:space="1" w:color="CCCCCC"/>
        </w:pBdr>
      </w:pPr>
    </w:p>
    <w:p>
      <w:pPr>
        <w:pStyle w:val="Heading3"/>
        <w:spacing w:before="240" w:after="160"/>
      </w:pPr>
      <w:r>
        <w:rPr>
          <w:rFonts w:ascii="Calibri" w:hAnsi="Calibri" w:eastAsia="Calibri"/>
          <w:color w:val="1A1A2E"/>
          <w:sz w:val="32"/>
        </w:rPr>
        <w:t>Slide 10: Chuyển đổi số — Dòng chảy dữ liệu As-Is → To-Be</w:t>
      </w:r>
    </w:p>
    <w:p>
      <w:r>
        <w:rPr>
          <w:b/>
        </w:rPr>
        <w:t>Loại:</w:t>
      </w:r>
      <w:r>
        <w:t xml:space="preserve"> Digital Transformation</w:t>
        <w:br/>
      </w:r>
      <w:r>
        <w:rPr>
          <w:b/>
        </w:rPr>
        <w:t>Thời gian:</w:t>
      </w:r>
      <w:r>
        <w:t xml:space="preserve"> 2 phút</w:t>
      </w:r>
    </w:p>
    <w:p>
      <w:r>
        <w:rPr>
          <w:b/>
        </w:rPr>
        <w:t>Key Message:</w:t>
      </w:r>
      <w:r>
        <w:t xml:space="preserve"> NĐ 357 buộc chuyển đổi từ dữ liệu phân tán (CRM + Excel + giấy) sang đồng bộ 2 chiều thời gian thực với hệ thống quốc gia.</w:t>
      </w:r>
    </w:p>
    <w:p>
      <w:r>
        <w:rPr>
          <w:b/>
        </w:rPr>
        <w:t>Nội dung:</w:t>
      </w:r>
      <w:r>
        <w:br/>
        <w:t xml:space="preserve">- </w:t>
      </w:r>
      <w:r>
        <w:rPr>
          <w:b/>
        </w:rPr>
        <w:t>Trước NĐ 357 (As-Is):</w:t>
      </w:r>
      <w:r>
        <w:br/>
        <w:t xml:space="preserve">  - Dữ liệu dự án: phân tán tại Sun CRM, Excel phòng KD, hồ sơ giấy Pháp chế</w:t>
        <w:br/>
        <w:t xml:space="preserve">  - Dữ liệu giao dịch: ghi nhận trên CRM, không liên thông cơ quan nhà nước</w:t>
        <w:br/>
        <w:t xml:space="preserve">  - Dữ liệu sở hữu: Sở TNMT quản lý, không chia sẻ ngược</w:t>
      </w:r>
    </w:p>
    <w:p>
      <w:pPr>
        <w:spacing w:after="40" w:before="20"/>
        <w:ind w:left="720" w:hanging="357"/>
      </w:pPr>
      <w:r>
        <w:rPr>
          <w:sz w:val="20"/>
        </w:rPr>
        <w:t xml:space="preserve">• </w:t>
      </w:r>
      <w:r>
        <w:rPr>
          <w:b/>
        </w:rPr>
        <w:t>Sau NĐ 357 (To-Be):</w:t>
      </w:r>
    </w:p>
    <w:p>
      <w:pPr>
        <w:spacing w:after="40" w:before="20"/>
        <w:ind w:left="720" w:hanging="357"/>
      </w:pPr>
      <w:r>
        <w:rPr>
          <w:sz w:val="20"/>
        </w:rPr>
        <w:t xml:space="preserve">• </w:t>
      </w:r>
      <w:r>
        <w:t>Mỗi sản phẩm BĐS = 1 mã duy nhất trên hệ thống quốc gia</w:t>
      </w:r>
    </w:p>
    <w:p>
      <w:pPr>
        <w:spacing w:after="40" w:before="20"/>
        <w:ind w:left="720" w:hanging="357"/>
      </w:pPr>
      <w:r>
        <w:rPr>
          <w:sz w:val="20"/>
        </w:rPr>
        <w:t xml:space="preserve">• </w:t>
      </w:r>
      <w:r>
        <w:t>Giao dịch đẩy lên Cổng quốc gia qua API thời gian thực</w:t>
      </w:r>
    </w:p>
    <w:p>
      <w:pPr>
        <w:spacing w:after="40" w:before="20"/>
        <w:ind w:left="720" w:hanging="357"/>
      </w:pPr>
      <w:r>
        <w:rPr>
          <w:sz w:val="20"/>
        </w:rPr>
        <w:t xml:space="preserve">• </w:t>
      </w:r>
      <w:r>
        <w:t>Cơ quan Thuế, Ngân hàng, Công chứng đều truy cập dữ liệu liên quan</w:t>
      </w:r>
    </w:p>
    <w:p>
      <w:pPr>
        <w:spacing w:after="40" w:before="20"/>
        <w:ind w:left="720" w:hanging="357"/>
      </w:pPr>
      <w:r>
        <w:rPr>
          <w:sz w:val="20"/>
        </w:rPr>
        <w:t xml:space="preserve">• </w:t>
      </w:r>
      <w:r>
        <w:t>Sun CRM/ERP đồng bộ 2 chiều</w:t>
      </w:r>
    </w:p>
    <w:p>
      <w:pPr>
        <w:spacing w:after="40" w:before="20"/>
        <w:ind w:left="720" w:hanging="357"/>
      </w:pPr>
      <w:r>
        <w:rPr>
          <w:sz w:val="20"/>
        </w:rPr>
        <w:t xml:space="preserve">• </w:t>
      </w:r>
      <w:r>
        <w:rPr>
          <w:b/>
        </w:rPr>
        <w:t>Dự phòng (BCP):</w:t>
      </w:r>
      <w:r>
        <w:t xml:space="preserve"> Offline Queue khi Cổng quốc gia sập → sync khi phục hồi (SLA 24h)</w:t>
      </w:r>
    </w:p>
    <w:p>
      <w:r>
        <w:rPr>
          <w:b/>
        </w:rPr>
        <w:t>Gợi ý hình ảnh:</w:t>
      </w:r>
      <w:r>
        <w:t xml:space="preserve"> Sơ đồ 2 cột (As-Is | To-Be) với mũi tên chuyển đổi. Hoặc architecture diagram</w:t>
      </w:r>
    </w:p>
    <w:p>
      <w:r>
        <w:rPr>
          <w:b/>
        </w:rPr>
        <w:t>Speaker Notes:</w:t>
      </w:r>
      <w:r>
        <w:t xml:space="preserve"> Đây là bản chất chuyển đổi số. Trước NĐ 357, dữ liệu nằm rải rác khắp nơi. Sau NĐ 357, tất cả hội tụ về một hệ thống quốc gia, đồng bộ thời gian thực. Sun Group cũng cần chuẩn bị kịch bản khi Cổng quốc gia sập — cơ chế offline queue đảm bảo bán hàng không gián đoạn.</w:t>
      </w:r>
    </w:p>
    <w:p>
      <w:r>
        <w:rPr>
          <w:b/>
        </w:rPr>
        <w:t>Transition:</w:t>
      </w:r>
      <w:r>
        <w:t xml:space="preserve"> → “Trong bối cảnh chuyển đổi số này, Sun Group có một lợi thế mà không đối thủ nào có.”</w:t>
      </w:r>
    </w:p>
    <w:p>
      <w:pPr>
        <w:spacing w:before="120" w:after="120"/>
        <w:pBdr>
          <w:bottom w:val="single" w:sz="12" w:space="1" w:color="CCCCCC"/>
        </w:pBdr>
      </w:pPr>
    </w:p>
    <w:p>
      <w:pPr>
        <w:pStyle w:val="Heading3"/>
        <w:spacing w:before="240" w:after="160"/>
      </w:pPr>
      <w:r>
        <w:rPr>
          <w:rFonts w:ascii="Calibri" w:hAnsi="Calibri" w:eastAsia="Calibri"/>
          <w:color w:val="1A1A2E"/>
          <w:sz w:val="32"/>
        </w:rPr>
        <w:t>Slide 11: Blockchain &amp; VNDA — Cơ hội chiến lược</w:t>
      </w:r>
    </w:p>
    <w:p>
      <w:r>
        <w:rPr>
          <w:b/>
        </w:rPr>
        <w:t>Loại:</w:t>
      </w:r>
      <w:r>
        <w:t xml:space="preserve"> Technology / Opportunity</w:t>
        <w:br/>
      </w:r>
      <w:r>
        <w:rPr>
          <w:b/>
        </w:rPr>
        <w:t>Thời gian:</w:t>
      </w:r>
      <w:r>
        <w:t xml:space="preserve"> 3 phút</w:t>
      </w:r>
    </w:p>
    <w:p>
      <w:r>
        <w:rPr>
          <w:b/>
        </w:rPr>
        <w:t>Key Message:</w:t>
      </w:r>
      <w:r>
        <w:t xml:space="preserve"> Yêu cầu kỹ thuật của NĐ 357 tương thích tự nhiên với blockchain. Sun Group có VNDA — lợi thế 2-3 năm so với đối thủ.</w:t>
      </w:r>
    </w:p>
    <w:p>
      <w:r>
        <w:rPr>
          <w:b/>
        </w:rPr>
        <w:t>Nội dung:</w:t>
      </w:r>
      <w:r>
        <w:br/>
        <w:t xml:space="preserve">- </w:t>
      </w:r>
      <w:r>
        <w:rPr>
          <w:b/>
        </w:rPr>
        <w:t>Tính tương thích:</w:t>
      </w:r>
      <w:r>
        <w:t xml:space="preserve"> Bất biến dữ liệu ↔ mã không thể tẩy xóa | Truy xuất nguồn gốc ↔ lịch sử giao dịch | Chữ ký số ↔ cryptographic signing</w:t>
        <w:br/>
        <w:t xml:space="preserve">- </w:t>
      </w:r>
      <w:r>
        <w:rPr>
          <w:b/>
        </w:rPr>
        <w:t>Bảng so sánh nhanh:</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Calibri" w:hAnsi="Calibri"/>
                <w:b/>
                <w:sz w:val="20"/>
              </w:rPr>
              <w:t>Yêu cầu NĐ 357</w:t>
            </w:r>
          </w:p>
        </w:tc>
        <w:tc>
          <w:tcPr>
            <w:tcW w:type="dxa" w:w="3120"/>
            <w:shd w:fill="E2E8F0" w:val="clear"/>
          </w:tcPr>
          <w:p>
            <w:pPr>
              <w:spacing w:before="60" w:after="60"/>
            </w:pPr>
            <w:r>
              <w:rPr>
                <w:rFonts w:ascii="Calibri" w:hAnsi="Calibri"/>
                <w:b/>
                <w:sz w:val="20"/>
              </w:rPr>
              <w:t>Blockchain giải quyết</w:t>
            </w:r>
          </w:p>
        </w:tc>
        <w:tc>
          <w:tcPr>
            <w:tcW w:type="dxa" w:w="3120"/>
            <w:shd w:fill="E2E8F0" w:val="clear"/>
          </w:tcPr>
          <w:p>
            <w:pPr>
              <w:spacing w:before="60" w:after="60"/>
            </w:pPr>
            <w:r>
              <w:rPr>
                <w:rFonts w:ascii="Calibri" w:hAnsi="Calibri"/>
                <w:b/>
                <w:sz w:val="20"/>
              </w:rPr>
              <w:t>Mức độ</w:t>
            </w:r>
          </w:p>
        </w:tc>
      </w:tr>
      <w:tr>
        <w:tc>
          <w:tcPr>
            <w:tcW w:type="dxa" w:w="3120"/>
          </w:tcPr>
          <w:p>
            <w:pPr>
              <w:spacing w:before="60" w:after="60"/>
            </w:pPr>
            <w:r>
              <w:rPr>
                <w:rFonts w:ascii="Calibri" w:hAnsi="Calibri"/>
                <w:sz w:val="20"/>
              </w:rPr>
              <w:t>Mã bất biến 40 ký tự</w:t>
            </w:r>
          </w:p>
        </w:tc>
        <w:tc>
          <w:tcPr>
            <w:tcW w:type="dxa" w:w="3120"/>
          </w:tcPr>
          <w:p>
            <w:pPr>
              <w:spacing w:before="60" w:after="60"/>
            </w:pPr>
            <w:r>
              <w:rPr>
                <w:rFonts w:ascii="Calibri" w:hAnsi="Calibri"/>
                <w:sz w:val="20"/>
              </w:rPr>
              <w:t>On-chain identity (NFT/SBT)</w:t>
            </w:r>
          </w:p>
        </w:tc>
        <w:tc>
          <w:tcPr>
            <w:tcW w:type="dxa" w:w="3120"/>
          </w:tcPr>
          <w:p>
            <w:pPr>
              <w:spacing w:before="60" w:after="60"/>
            </w:pPr>
            <w:r>
              <w:rPr>
                <w:rFonts w:ascii="Calibri" w:hAnsi="Calibri"/>
                <w:sz w:val="20"/>
              </w:rPr>
              <w:t>🟢 Cao</w:t>
            </w:r>
          </w:p>
        </w:tc>
      </w:tr>
      <w:tr>
        <w:tc>
          <w:tcPr>
            <w:tcW w:type="dxa" w:w="3120"/>
          </w:tcPr>
          <w:p>
            <w:pPr>
              <w:spacing w:before="60" w:after="60"/>
            </w:pPr>
            <w:r>
              <w:rPr>
                <w:rFonts w:ascii="Calibri" w:hAnsi="Calibri"/>
                <w:sz w:val="20"/>
              </w:rPr>
              <w:t>Lịch sử giao dịch truy xuất</w:t>
            </w:r>
          </w:p>
        </w:tc>
        <w:tc>
          <w:tcPr>
            <w:tcW w:type="dxa" w:w="3120"/>
          </w:tcPr>
          <w:p>
            <w:pPr>
              <w:spacing w:before="60" w:after="60"/>
            </w:pPr>
            <w:r>
              <w:rPr>
                <w:rFonts w:ascii="Calibri" w:hAnsi="Calibri"/>
                <w:sz w:val="20"/>
              </w:rPr>
              <w:t>Transaction hash on ledger</w:t>
            </w:r>
          </w:p>
        </w:tc>
        <w:tc>
          <w:tcPr>
            <w:tcW w:type="dxa" w:w="3120"/>
          </w:tcPr>
          <w:p>
            <w:pPr>
              <w:spacing w:before="60" w:after="60"/>
            </w:pPr>
            <w:r>
              <w:rPr>
                <w:rFonts w:ascii="Calibri" w:hAnsi="Calibri"/>
                <w:sz w:val="20"/>
              </w:rPr>
              <w:t>🟢 Cao</w:t>
            </w:r>
          </w:p>
        </w:tc>
      </w:tr>
      <w:tr>
        <w:tc>
          <w:tcPr>
            <w:tcW w:type="dxa" w:w="3120"/>
          </w:tcPr>
          <w:p>
            <w:pPr>
              <w:spacing w:before="60" w:after="60"/>
            </w:pPr>
            <w:r>
              <w:rPr>
                <w:rFonts w:ascii="Calibri" w:hAnsi="Calibri"/>
                <w:sz w:val="20"/>
              </w:rPr>
              <w:t>Chữ ký số + dấu thời gian</w:t>
            </w:r>
          </w:p>
        </w:tc>
        <w:tc>
          <w:tcPr>
            <w:tcW w:type="dxa" w:w="3120"/>
          </w:tcPr>
          <w:p>
            <w:pPr>
              <w:spacing w:before="60" w:after="60"/>
            </w:pPr>
            <w:r>
              <w:rPr>
                <w:rFonts w:ascii="Calibri" w:hAnsi="Calibri"/>
                <w:sz w:val="20"/>
              </w:rPr>
              <w:t>Cryptographic signing</w:t>
            </w:r>
          </w:p>
        </w:tc>
        <w:tc>
          <w:tcPr>
            <w:tcW w:type="dxa" w:w="3120"/>
          </w:tcPr>
          <w:p>
            <w:pPr>
              <w:spacing w:before="60" w:after="60"/>
            </w:pPr>
            <w:r>
              <w:rPr>
                <w:rFonts w:ascii="Calibri" w:hAnsi="Calibri"/>
                <w:sz w:val="20"/>
              </w:rPr>
              <w:t>🟢 Cao</w:t>
            </w:r>
          </w:p>
        </w:tc>
      </w:tr>
      <w:tr>
        <w:tc>
          <w:tcPr>
            <w:tcW w:type="dxa" w:w="3120"/>
          </w:tcPr>
          <w:p>
            <w:pPr>
              <w:spacing w:before="60" w:after="60"/>
            </w:pPr>
            <w:r>
              <w:rPr>
                <w:rFonts w:ascii="Calibri" w:hAnsi="Calibri"/>
                <w:sz w:val="20"/>
              </w:rPr>
              <w:t>API liên thông</w:t>
            </w:r>
          </w:p>
        </w:tc>
        <w:tc>
          <w:tcPr>
            <w:tcW w:type="dxa" w:w="3120"/>
          </w:tcPr>
          <w:p>
            <w:pPr>
              <w:spacing w:before="60" w:after="60"/>
            </w:pPr>
            <w:r>
              <w:rPr>
                <w:rFonts w:ascii="Calibri" w:hAnsi="Calibri"/>
                <w:sz w:val="20"/>
              </w:rPr>
              <w:t>Oracle/Bridge</w:t>
            </w:r>
          </w:p>
        </w:tc>
        <w:tc>
          <w:tcPr>
            <w:tcW w:type="dxa" w:w="3120"/>
          </w:tcPr>
          <w:p>
            <w:pPr>
              <w:spacing w:before="60" w:after="60"/>
            </w:pPr>
            <w:r>
              <w:rPr>
                <w:rFonts w:ascii="Calibri" w:hAnsi="Calibri"/>
                <w:sz w:val="20"/>
              </w:rPr>
              <w:t>🟡 TB</w:t>
            </w:r>
          </w:p>
        </w:tc>
      </w:tr>
    </w:tbl>
    <w:p>
      <w:pPr>
        <w:spacing w:before="0" w:after="80"/>
      </w:pPr>
    </w:p>
    <w:p>
      <w:pPr>
        <w:spacing w:after="40" w:before="20"/>
        <w:ind w:left="720" w:hanging="357"/>
      </w:pPr>
      <w:r>
        <w:rPr>
          <w:sz w:val="20"/>
        </w:rPr>
        <w:t xml:space="preserve">• </w:t>
      </w:r>
      <w:r>
        <w:rPr>
          <w:b/>
        </w:rPr>
        <w:t>3 kịch bản triển khai:</w:t>
      </w:r>
      <w:r>
        <w:br/>
        <w:t xml:space="preserve">  1. </w:t>
      </w:r>
      <w:r>
        <w:rPr>
          <w:b/>
        </w:rPr>
        <w:t>Đối tác thí điểm:</w:t>
      </w:r>
      <w:r>
        <w:t xml:space="preserve"> Đề xuất Bộ XD thí điểm 1-2 dự án</w:t>
        <w:br/>
        <w:t xml:space="preserve">  2. </w:t>
      </w:r>
      <w:r>
        <w:rPr>
          <w:b/>
        </w:rPr>
        <w:t>Nhà cung cấp hạ tầng:</w:t>
      </w:r>
      <w:r>
        <w:t xml:space="preserve"> VNDA phát triển SaaS cho thị trường</w:t>
        <w:br/>
        <w:t xml:space="preserve">  3. </w:t>
      </w:r>
      <w:r>
        <w:rPr>
          <w:b/>
        </w:rPr>
        <w:t>Tiên phong nội bộ:</w:t>
      </w:r>
      <w:r>
        <w:t xml:space="preserve"> “Chứng nhận blockchain” song song với mã quốc gia</w:t>
      </w:r>
    </w:p>
    <w:p>
      <w:pPr>
        <w:spacing w:after="40" w:before="20"/>
        <w:ind w:left="720" w:hanging="357"/>
      </w:pPr>
      <w:r>
        <w:rPr>
          <w:sz w:val="20"/>
        </w:rPr>
        <w:t xml:space="preserve">• </w:t>
      </w:r>
      <w:r>
        <w:rPr>
          <w:b/>
        </w:rPr>
        <w:t>Lợi thế VNDA:</w:t>
      </w:r>
      <w:r>
        <w:t xml:space="preserve"> Rút ngắn R&amp;D 12-18 tháng, tận dụng hạ tầng CRM/SAP, kinh nghiệm tokenization/KYC</w:t>
      </w:r>
    </w:p>
    <w:p>
      <w:r>
        <w:rPr>
          <w:b/>
        </w:rPr>
        <w:t>Gợi ý hình ảnh:</w:t>
      </w:r>
      <w:r>
        <w:t xml:space="preserve"> Bảng so sánh NĐ357 ↔ Blockchain (2 cột). Icons cho 3 kịch bản</w:t>
      </w:r>
    </w:p>
    <w:p>
      <w:r>
        <w:rPr>
          <w:b/>
        </w:rPr>
        <w:t>Speaker Notes:</w:t>
      </w:r>
      <w:r>
        <w:t xml:space="preserve"> Đây là phần cơ hội. 4 trong 6 yêu cầu kỹ thuật của NĐ 357 tương thích cao với blockchain. Sun Group có VNDA — đối thủ như Vinhomes, Novaland cần 2-3 năm mới bắt kịp. 3 kịch bản không loại trừ nhau: có thể chạy song song, bắt đầu từ tiên phong nội bộ rồi mở rộng.</w:t>
      </w:r>
    </w:p>
    <w:p>
      <w:r>
        <w:rPr>
          <w:b/>
        </w:rPr>
        <w:t>Transition:</w:t>
      </w:r>
      <w:r>
        <w:t xml:space="preserve"> → “Để triển khai tất cả những điều trên, đây là lộ trình cụ thể.”</w:t>
      </w:r>
    </w:p>
    <w:p>
      <w:pPr>
        <w:spacing w:before="120" w:after="120"/>
        <w:pBdr>
          <w:bottom w:val="single" w:sz="12" w:space="1" w:color="CCCCCC"/>
        </w:pBdr>
      </w:pPr>
    </w:p>
    <w:p>
      <w:pPr>
        <w:pStyle w:val="Heading3"/>
        <w:spacing w:before="240" w:after="160"/>
      </w:pPr>
      <w:r>
        <w:rPr>
          <w:rFonts w:ascii="Calibri" w:hAnsi="Calibri" w:eastAsia="Calibri"/>
          <w:color w:val="1A1A2E"/>
          <w:sz w:val="32"/>
        </w:rPr>
        <w:t>Slide 12: Lộ trình “chiến dịch thần tốc” 30-60-90 ngày</w:t>
      </w:r>
    </w:p>
    <w:p>
      <w:r>
        <w:rPr>
          <w:b/>
        </w:rPr>
        <w:t>Loại:</w:t>
      </w:r>
      <w:r>
        <w:t xml:space="preserve"> Timeline</w:t>
        <w:br/>
      </w:r>
      <w:r>
        <w:rPr>
          <w:b/>
        </w:rPr>
        <w:t>Thời gian:</w:t>
      </w:r>
      <w:r>
        <w:t xml:space="preserve"> 2 phút</w:t>
      </w:r>
    </w:p>
    <w:p>
      <w:r>
        <w:rPr>
          <w:b/>
        </w:rPr>
        <w:t>Key Message:</w:t>
      </w:r>
      <w:r>
        <w:t xml:space="preserve"> 90 ngày chia 3 giai đoạn: Quick-wins → Chuyển đổi → Go-live. Mỗi phase có kết quả đầu ra cụ thể.</w:t>
      </w:r>
    </w:p>
    <w:p>
      <w:r>
        <w:rPr>
          <w:b/>
        </w:rPr>
        <w:t>Nội dung:</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Calibri" w:hAnsi="Calibri"/>
                <w:b/>
                <w:sz w:val="20"/>
              </w:rPr>
              <w:t>Phase</w:t>
            </w:r>
          </w:p>
        </w:tc>
        <w:tc>
          <w:tcPr>
            <w:tcW w:type="dxa" w:w="2340"/>
            <w:shd w:fill="E2E8F0" w:val="clear"/>
          </w:tcPr>
          <w:p>
            <w:pPr>
              <w:spacing w:before="60" w:after="60"/>
            </w:pPr>
            <w:r>
              <w:rPr>
                <w:rFonts w:ascii="Calibri" w:hAnsi="Calibri"/>
                <w:b/>
                <w:sz w:val="20"/>
              </w:rPr>
              <w:t>Ngày</w:t>
            </w:r>
          </w:p>
        </w:tc>
        <w:tc>
          <w:tcPr>
            <w:tcW w:type="dxa" w:w="2340"/>
            <w:shd w:fill="E2E8F0" w:val="clear"/>
          </w:tcPr>
          <w:p>
            <w:pPr>
              <w:spacing w:before="60" w:after="60"/>
            </w:pPr>
            <w:r>
              <w:rPr>
                <w:rFonts w:ascii="Calibri" w:hAnsi="Calibri"/>
                <w:b/>
                <w:sz w:val="20"/>
              </w:rPr>
              <w:t>Nội dung</w:t>
            </w:r>
          </w:p>
        </w:tc>
        <w:tc>
          <w:tcPr>
            <w:tcW w:type="dxa" w:w="2340"/>
            <w:shd w:fill="E2E8F0" w:val="clear"/>
          </w:tcPr>
          <w:p>
            <w:pPr>
              <w:spacing w:before="60" w:after="60"/>
            </w:pPr>
            <w:r>
              <w:rPr>
                <w:rFonts w:ascii="Calibri" w:hAnsi="Calibri"/>
                <w:b/>
                <w:sz w:val="20"/>
              </w:rPr>
              <w:t>Kết quả</w:t>
            </w:r>
          </w:p>
        </w:tc>
      </w:tr>
      <w:tr>
        <w:tc>
          <w:tcPr>
            <w:tcW w:type="dxa" w:w="2340"/>
          </w:tcPr>
          <w:p>
            <w:pPr>
              <w:spacing w:before="60" w:after="60"/>
            </w:pPr>
            <w:r>
              <w:rPr>
                <w:rFonts w:ascii="Calibri" w:hAnsi="Calibri"/>
                <w:sz w:val="20"/>
              </w:rPr>
              <w:t>Phase 1Quick-wins</w:t>
            </w:r>
          </w:p>
        </w:tc>
        <w:tc>
          <w:tcPr>
            <w:tcW w:type="dxa" w:w="2340"/>
          </w:tcPr>
          <w:p>
            <w:pPr>
              <w:spacing w:before="60" w:after="60"/>
            </w:pPr>
            <w:r>
              <w:rPr>
                <w:rFonts w:ascii="Calibri" w:hAnsi="Calibri"/>
                <w:sz w:val="20"/>
              </w:rPr>
              <w:t>1-30 (01/03 → 31/03)</w:t>
            </w:r>
          </w:p>
        </w:tc>
        <w:tc>
          <w:tcPr>
            <w:tcW w:type="dxa" w:w="2340"/>
          </w:tcPr>
          <w:p>
            <w:pPr>
              <w:spacing w:before="60" w:after="60"/>
            </w:pPr>
            <w:r>
              <w:rPr>
                <w:rFonts w:ascii="Calibri" w:hAnsi="Calibri"/>
                <w:sz w:val="20"/>
              </w:rPr>
              <w:t>Tối hậu thư đại lý; chốt biểu mẫu HĐMB mới; thiết kế kiến trúc IT; VNDA khởi động nghiên cứu khả thi</w:t>
            </w:r>
          </w:p>
        </w:tc>
        <w:tc>
          <w:tcPr>
            <w:tcW w:type="dxa" w:w="2340"/>
          </w:tcPr>
          <w:p>
            <w:pPr>
              <w:spacing w:before="60" w:after="60"/>
            </w:pPr>
            <w:r>
              <w:rPr>
                <w:rFonts w:ascii="Calibri" w:hAnsi="Calibri"/>
                <w:sz w:val="20"/>
              </w:rPr>
              <w:t>Tối hậu thư ban hành; biểu mẫu sử dụng; tài liệu kiến trúc API</w:t>
            </w:r>
          </w:p>
        </w:tc>
      </w:tr>
      <w:tr>
        <w:tc>
          <w:tcPr>
            <w:tcW w:type="dxa" w:w="2340"/>
          </w:tcPr>
          <w:p>
            <w:pPr>
              <w:spacing w:before="60" w:after="60"/>
            </w:pPr>
            <w:r>
              <w:rPr>
                <w:rFonts w:ascii="Calibri" w:hAnsi="Calibri"/>
                <w:sz w:val="20"/>
              </w:rPr>
              <w:t>Phase 2Chuyển đổi</w:t>
            </w:r>
          </w:p>
        </w:tc>
        <w:tc>
          <w:tcPr>
            <w:tcW w:type="dxa" w:w="2340"/>
          </w:tcPr>
          <w:p>
            <w:pPr>
              <w:spacing w:before="60" w:after="60"/>
            </w:pPr>
            <w:r>
              <w:rPr>
                <w:rFonts w:ascii="Calibri" w:hAnsi="Calibri"/>
                <w:sz w:val="20"/>
              </w:rPr>
              <w:t>31-60 (01/04 → 30/04)</w:t>
            </w:r>
          </w:p>
        </w:tc>
        <w:tc>
          <w:tcPr>
            <w:tcW w:type="dxa" w:w="2340"/>
          </w:tcPr>
          <w:p>
            <w:pPr>
              <w:spacing w:before="60" w:after="60"/>
            </w:pPr>
            <w:r>
              <w:rPr>
                <w:rFonts w:ascii="Calibri" w:hAnsi="Calibri"/>
                <w:sz w:val="20"/>
              </w:rPr>
              <w:t>Code API + UAT; xin mã hồi tố giỏ hàng; đào tạo Sales; VNDA phát triển PoC blockchain</w:t>
            </w:r>
          </w:p>
        </w:tc>
        <w:tc>
          <w:tcPr>
            <w:tcW w:type="dxa" w:w="2340"/>
          </w:tcPr>
          <w:p>
            <w:pPr>
              <w:spacing w:before="60" w:after="60"/>
            </w:pPr>
            <w:r>
              <w:rPr>
                <w:rFonts w:ascii="Calibri" w:hAnsi="Calibri"/>
                <w:sz w:val="20"/>
              </w:rPr>
              <w:t>API hoàn thành UAT; ≥80% giỏ hàng có mã; PoC vận hành</w:t>
            </w:r>
          </w:p>
        </w:tc>
      </w:tr>
      <w:tr>
        <w:tc>
          <w:tcPr>
            <w:tcW w:type="dxa" w:w="2340"/>
          </w:tcPr>
          <w:p>
            <w:pPr>
              <w:spacing w:before="60" w:after="60"/>
            </w:pPr>
            <w:r>
              <w:rPr>
                <w:rFonts w:ascii="Calibri" w:hAnsi="Calibri"/>
                <w:sz w:val="20"/>
              </w:rPr>
              <w:t>Phase 3Go-live</w:t>
            </w:r>
          </w:p>
        </w:tc>
        <w:tc>
          <w:tcPr>
            <w:tcW w:type="dxa" w:w="2340"/>
          </w:tcPr>
          <w:p>
            <w:pPr>
              <w:spacing w:before="60" w:after="60"/>
            </w:pPr>
            <w:r>
              <w:rPr>
                <w:rFonts w:ascii="Calibri" w:hAnsi="Calibri"/>
                <w:sz w:val="20"/>
              </w:rPr>
              <w:t>61-90 (01/05 → 31/05)</w:t>
            </w:r>
          </w:p>
        </w:tc>
        <w:tc>
          <w:tcPr>
            <w:tcW w:type="dxa" w:w="2340"/>
          </w:tcPr>
          <w:p>
            <w:pPr>
              <w:spacing w:before="60" w:after="60"/>
            </w:pPr>
            <w:r>
              <w:rPr>
                <w:rFonts w:ascii="Calibri" w:hAnsi="Calibri"/>
                <w:sz w:val="20"/>
              </w:rPr>
              <w:t>Vận hành chính thức; Helpdesk 24/7; đối soát dữ liệu; đánh giá PoC blockchain</w:t>
            </w:r>
          </w:p>
        </w:tc>
        <w:tc>
          <w:tcPr>
            <w:tcW w:type="dxa" w:w="2340"/>
          </w:tcPr>
          <w:p>
            <w:pPr>
              <w:spacing w:before="60" w:after="60"/>
            </w:pPr>
            <w:r>
              <w:rPr>
                <w:rFonts w:ascii="Calibri" w:hAnsi="Calibri"/>
                <w:sz w:val="20"/>
              </w:rPr>
              <w:t>Hệ thống go-live; báo cáo PoC blockchain</w:t>
            </w:r>
          </w:p>
        </w:tc>
      </w:tr>
    </w:tbl>
    <w:p>
      <w:pPr>
        <w:spacing w:before="0" w:after="80"/>
      </w:pPr>
    </w:p>
    <w:p>
      <w:r>
        <w:rPr>
          <w:b/>
        </w:rPr>
        <w:t>Gợi ý hình ảnh:</w:t>
      </w:r>
      <w:r>
        <w:t xml:space="preserve"> Gantt chart hoặc timeline 3 giai đoạn với milestones</w:t>
      </w:r>
    </w:p>
    <w:p>
      <w:r>
        <w:rPr>
          <w:b/>
        </w:rPr>
        <w:t>Speaker Notes:</w:t>
      </w:r>
      <w:r>
        <w:t xml:space="preserve"> 90 ngày, 3 giai đoạn. Phase 1 là “dập lửa”: xử lý đại lý, chốt biểu mẫu, thiết kế hệ thống. Phase 2 là “xây dựng”: code API, xin mã, đào tạo. Phase 3 là “chạy thật”: go-live, helpdesk, đối soát. Song song, VNDA chạy nghiên cứu blockchain từ Phase 1 đến báo cáo PoC ở Phase 3.</w:t>
      </w:r>
    </w:p>
    <w:p>
      <w:r>
        <w:rPr>
          <w:b/>
        </w:rPr>
        <w:t>Transition:</w:t>
      </w:r>
      <w:r>
        <w:t xml:space="preserve"> → “Ai chịu trách nhiệm cho từng hạng mục?”</w:t>
      </w:r>
    </w:p>
    <w:p>
      <w:pPr>
        <w:spacing w:before="120" w:after="120"/>
        <w:pBdr>
          <w:bottom w:val="single" w:sz="12" w:space="1" w:color="CCCCCC"/>
        </w:pBdr>
      </w:pPr>
    </w:p>
    <w:p>
      <w:pPr>
        <w:pStyle w:val="Heading3"/>
        <w:spacing w:before="240" w:after="160"/>
      </w:pPr>
      <w:r>
        <w:rPr>
          <w:rFonts w:ascii="Calibri" w:hAnsi="Calibri" w:eastAsia="Calibri"/>
          <w:color w:val="1A1A2E"/>
          <w:sz w:val="32"/>
        </w:rPr>
        <w:t>Slide 13: Task Force 357 &amp; RACI Matrix</w:t>
      </w:r>
    </w:p>
    <w:p>
      <w:r>
        <w:rPr>
          <w:b/>
        </w:rPr>
        <w:t>Loại:</w:t>
      </w:r>
      <w:r>
        <w:t xml:space="preserve"> Organization</w:t>
        <w:br/>
      </w:r>
      <w:r>
        <w:rPr>
          <w:b/>
        </w:rPr>
        <w:t>Thời gian:</w:t>
      </w:r>
      <w:r>
        <w:t xml:space="preserve"> 1.5 phút</w:t>
      </w:r>
    </w:p>
    <w:p>
      <w:r>
        <w:rPr>
          <w:b/>
        </w:rPr>
        <w:t>Key Message:</w:t>
      </w:r>
      <w:r>
        <w:t xml:space="preserve"> Thành lập Tổ công tác đặc biệt do Phó TGĐ chỉ huy, có cơ chế “vượt tuyến” xử lý khẩn cấp.</w:t>
      </w:r>
    </w:p>
    <w:p>
      <w:r>
        <w:rPr>
          <w:b/>
        </w:rPr>
        <w:t>Nội dung:</w:t>
      </w:r>
      <w:r>
        <w:br/>
        <w:t xml:space="preserve">- </w:t>
      </w:r>
      <w:r>
        <w:rPr>
          <w:b/>
        </w:rPr>
        <w:t>Cơ cấu Task Force 357:</w:t>
      </w:r>
      <w:r>
        <w:br/>
        <w:t xml:space="preserve">  - Trưởng tổ: Phó TGĐ phụ trách pháp chế</w:t>
        <w:br/>
        <w:t xml:space="preserve">  - Phó tổ Pháp lý: Trưởng Ban Pháp chế</w:t>
        <w:br/>
        <w:t xml:space="preserve">  - Phó tổ Kinh doanh: TGĐ SPG</w:t>
        <w:br/>
        <w:t xml:space="preserve">  - TV: Khối CNTT, VNDA, SPM, Kế toán trưởng</w:t>
      </w:r>
    </w:p>
    <w:p>
      <w:pPr>
        <w:spacing w:after="40" w:before="20"/>
        <w:ind w:left="720" w:hanging="357"/>
      </w:pPr>
      <w:r>
        <w:rPr>
          <w:sz w:val="20"/>
        </w:rPr>
        <w:t xml:space="preserve">• </w:t>
      </w:r>
      <w:r>
        <w:rPr>
          <w:b/>
        </w:rPr>
        <w:t>RACI highlights:</w:t>
      </w:r>
    </w:p>
    <w:p>
      <w:pPr>
        <w:spacing w:after="40" w:before="20"/>
        <w:ind w:left="720" w:hanging="357"/>
      </w:pPr>
      <w:r>
        <w:rPr>
          <w:sz w:val="20"/>
        </w:rPr>
        <w:t xml:space="preserve">• </w:t>
      </w:r>
      <w:r>
        <w:t>Xin mã hồi tố: R-Ban Pháp chế, A-Phó TGĐ</w:t>
      </w:r>
    </w:p>
    <w:p>
      <w:pPr>
        <w:spacing w:after="40" w:before="20"/>
        <w:ind w:left="720" w:hanging="357"/>
      </w:pPr>
      <w:r>
        <w:rPr>
          <w:sz w:val="20"/>
        </w:rPr>
        <w:t xml:space="preserve">• </w:t>
      </w:r>
      <w:r>
        <w:t>Tối hậu thư đại lý: R-SPG, A-Phó TGĐ</w:t>
      </w:r>
    </w:p>
    <w:p>
      <w:pPr>
        <w:spacing w:after="40" w:before="20"/>
        <w:ind w:left="720" w:hanging="357"/>
      </w:pPr>
      <w:r>
        <w:rPr>
          <w:sz w:val="20"/>
        </w:rPr>
        <w:t xml:space="preserve">• </w:t>
      </w:r>
      <w:r>
        <w:t>Tái cấu trúc CRM/API: R-Khối CNTT, A-GĐ CNTT</w:t>
      </w:r>
    </w:p>
    <w:p>
      <w:pPr>
        <w:spacing w:after="40" w:before="20"/>
        <w:ind w:left="720" w:hanging="357"/>
      </w:pPr>
      <w:r>
        <w:rPr>
          <w:sz w:val="20"/>
        </w:rPr>
        <w:t xml:space="preserve">• </w:t>
      </w:r>
      <w:r>
        <w:t>PoC blockchain: R-VNDA, A-GĐ CNTT</w:t>
      </w:r>
    </w:p>
    <w:p>
      <w:pPr>
        <w:spacing w:after="40" w:before="20"/>
        <w:ind w:left="720" w:hanging="357"/>
      </w:pPr>
      <w:r>
        <w:rPr>
          <w:sz w:val="20"/>
        </w:rPr>
        <w:t xml:space="preserve">• </w:t>
      </w:r>
      <w:r>
        <w:rPr>
          <w:b/>
        </w:rPr>
        <w:t>Cơ chế:</w:t>
      </w:r>
      <w:r>
        <w:t xml:space="preserve"> Trình trực tiếp TGĐ khi vướng mắc vượt thẩm quyền</w:t>
      </w:r>
    </w:p>
    <w:p>
      <w:r>
        <w:rPr>
          <w:b/>
        </w:rPr>
        <w:t>Gợi ý hình ảnh:</w:t>
      </w:r>
      <w:r>
        <w:t xml:space="preserve"> Org chart Task Force hoặc RACI matrix đơn giản hóa (4-5 hạng mục chính)</w:t>
      </w:r>
    </w:p>
    <w:p>
      <w:r>
        <w:rPr>
          <w:b/>
        </w:rPr>
        <w:t>Speaker Notes:</w:t>
      </w:r>
      <w:r>
        <w:t xml:space="preserve"> Task Force 357 là tổ chức liên phòng ban với quyền “vượt tuyến” — không phải chờ quy trình duyệt thông thường. Mỗi hạng mục có người chịu trách nhiệm rõ ràng. Tần suất báo cáo: hằng tuần ở Phase 1, 2 tuần/lần ở Phase 2-3.</w:t>
      </w:r>
    </w:p>
    <w:p>
      <w:r>
        <w:rPr>
          <w:b/>
        </w:rPr>
        <w:t>Transition:</w:t>
      </w:r>
      <w:r>
        <w:t xml:space="preserve"> → “Và cuối cùng, 5 nội dung cần BOM phê duyệt ngay hôm nay.”</w:t>
      </w:r>
    </w:p>
    <w:p>
      <w:pPr>
        <w:spacing w:before="120" w:after="120"/>
        <w:pBdr>
          <w:bottom w:val="single" w:sz="12" w:space="1" w:color="CCCCCC"/>
        </w:pBdr>
      </w:pPr>
    </w:p>
    <w:p>
      <w:pPr>
        <w:pStyle w:val="Heading3"/>
        <w:spacing w:before="240" w:after="160"/>
      </w:pPr>
      <w:r>
        <w:rPr>
          <w:rFonts w:ascii="Calibri" w:hAnsi="Calibri" w:eastAsia="Calibri"/>
          <w:color w:val="1A1A2E"/>
          <w:sz w:val="32"/>
        </w:rPr>
        <w:t>Slide 14: Kiến nghị phê duyệt</w:t>
      </w:r>
    </w:p>
    <w:p>
      <w:r>
        <w:rPr>
          <w:b/>
        </w:rPr>
        <w:t>Loại:</w:t>
      </w:r>
      <w:r>
        <w:t xml:space="preserve"> Call to Action</w:t>
        <w:br/>
      </w:r>
      <w:r>
        <w:rPr>
          <w:b/>
        </w:rPr>
        <w:t>Thời gian:</w:t>
      </w:r>
      <w:r>
        <w:t xml:space="preserve"> 1.5 phút</w:t>
      </w:r>
    </w:p>
    <w:p>
      <w:r>
        <w:rPr>
          <w:b/>
        </w:rPr>
        <w:t>Key Message:</w:t>
      </w:r>
      <w:r>
        <w:t xml:space="preserve"> 5 quyết định BOM cần ký ngay để đảm bảo Sun Group không bị động trước thời hạn 01/03/2026.</w:t>
      </w:r>
    </w:p>
    <w:p>
      <w:r>
        <w:rPr>
          <w:b/>
        </w:rPr>
        <w:t>Nội dung:</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Calibri" w:hAnsi="Calibri"/>
                <w:b/>
                <w:sz w:val="20"/>
              </w:rPr>
              <w:t>#</w:t>
            </w:r>
          </w:p>
        </w:tc>
        <w:tc>
          <w:tcPr>
            <w:tcW w:type="dxa" w:w="3120"/>
            <w:shd w:fill="E2E8F0" w:val="clear"/>
          </w:tcPr>
          <w:p>
            <w:pPr>
              <w:spacing w:before="60" w:after="60"/>
            </w:pPr>
            <w:r>
              <w:rPr>
                <w:rFonts w:ascii="Calibri" w:hAnsi="Calibri"/>
                <w:b/>
                <w:sz w:val="20"/>
              </w:rPr>
              <w:t>Nội dung cần phê duyệt</w:t>
            </w:r>
          </w:p>
        </w:tc>
        <w:tc>
          <w:tcPr>
            <w:tcW w:type="dxa" w:w="3120"/>
            <w:shd w:fill="E2E8F0" w:val="clear"/>
          </w:tcPr>
          <w:p>
            <w:pPr>
              <w:spacing w:before="60" w:after="60"/>
            </w:pPr>
            <w:r>
              <w:rPr>
                <w:rFonts w:ascii="Calibri" w:hAnsi="Calibri"/>
                <w:b/>
                <w:sz w:val="20"/>
              </w:rPr>
              <w:t>Hạn chót</w:t>
            </w:r>
          </w:p>
        </w:tc>
      </w:tr>
      <w:tr>
        <w:tc>
          <w:tcPr>
            <w:tcW w:type="dxa" w:w="3120"/>
          </w:tcPr>
          <w:p>
            <w:pPr>
              <w:spacing w:before="60" w:after="60"/>
            </w:pPr>
            <w:r>
              <w:rPr>
                <w:rFonts w:ascii="Calibri" w:hAnsi="Calibri"/>
                <w:sz w:val="20"/>
              </w:rPr>
              <w:t>1</w:t>
            </w:r>
          </w:p>
        </w:tc>
        <w:tc>
          <w:tcPr>
            <w:tcW w:type="dxa" w:w="3120"/>
          </w:tcPr>
          <w:p>
            <w:pPr>
              <w:spacing w:before="60" w:after="60"/>
            </w:pPr>
            <w:r>
              <w:rPr>
                <w:rFonts w:ascii="Calibri" w:hAnsi="Calibri"/>
                <w:sz w:val="20"/>
              </w:rPr>
              <w:t>Ký quyết định thành lập Task Force 357</w:t>
            </w:r>
          </w:p>
        </w:tc>
        <w:tc>
          <w:tcPr>
            <w:tcW w:type="dxa" w:w="3120"/>
          </w:tcPr>
          <w:p>
            <w:pPr>
              <w:spacing w:before="60" w:after="60"/>
            </w:pPr>
            <w:r>
              <w:rPr>
                <w:rFonts w:ascii="Calibri" w:hAnsi="Calibri"/>
                <w:sz w:val="20"/>
              </w:rPr>
              <w:t>Tuần này</w:t>
            </w:r>
          </w:p>
        </w:tc>
      </w:tr>
      <w:tr>
        <w:tc>
          <w:tcPr>
            <w:tcW w:type="dxa" w:w="3120"/>
          </w:tcPr>
          <w:p>
            <w:pPr>
              <w:spacing w:before="60" w:after="60"/>
            </w:pPr>
            <w:r>
              <w:rPr>
                <w:rFonts w:ascii="Calibri" w:hAnsi="Calibri"/>
                <w:sz w:val="20"/>
              </w:rPr>
              <w:t>2</w:t>
            </w:r>
          </w:p>
        </w:tc>
        <w:tc>
          <w:tcPr>
            <w:tcW w:type="dxa" w:w="3120"/>
          </w:tcPr>
          <w:p>
            <w:pPr>
              <w:spacing w:before="60" w:after="60"/>
            </w:pPr>
            <w:r>
              <w:rPr>
                <w:rFonts w:ascii="Calibri" w:hAnsi="Calibri"/>
                <w:sz w:val="20"/>
              </w:rPr>
              <w:t>Ban hành tối hậu thư chuẩn hóa đại lý F1/F2</w:t>
            </w:r>
          </w:p>
        </w:tc>
        <w:tc>
          <w:tcPr>
            <w:tcW w:type="dxa" w:w="3120"/>
          </w:tcPr>
          <w:p>
            <w:pPr>
              <w:spacing w:before="60" w:after="60"/>
            </w:pPr>
            <w:r>
              <w:rPr>
                <w:rFonts w:ascii="Calibri" w:hAnsi="Calibri"/>
                <w:sz w:val="20"/>
              </w:rPr>
              <w:t>7 ngày</w:t>
            </w:r>
          </w:p>
        </w:tc>
      </w:tr>
      <w:tr>
        <w:tc>
          <w:tcPr>
            <w:tcW w:type="dxa" w:w="3120"/>
          </w:tcPr>
          <w:p>
            <w:pPr>
              <w:spacing w:before="60" w:after="60"/>
            </w:pPr>
            <w:r>
              <w:rPr>
                <w:rFonts w:ascii="Calibri" w:hAnsi="Calibri"/>
                <w:sz w:val="20"/>
              </w:rPr>
              <w:t>3</w:t>
            </w:r>
          </w:p>
        </w:tc>
        <w:tc>
          <w:tcPr>
            <w:tcW w:type="dxa" w:w="3120"/>
          </w:tcPr>
          <w:p>
            <w:pPr>
              <w:spacing w:before="60" w:after="60"/>
            </w:pPr>
            <w:r>
              <w:rPr>
                <w:rFonts w:ascii="Calibri" w:hAnsi="Calibri"/>
                <w:sz w:val="20"/>
              </w:rPr>
              <w:t>Phê duyệt ngân sách nâng cấp hạ tầng CNTT (API, CRM, ERP)</w:t>
            </w:r>
          </w:p>
        </w:tc>
        <w:tc>
          <w:tcPr>
            <w:tcW w:type="dxa" w:w="3120"/>
          </w:tcPr>
          <w:p>
            <w:pPr>
              <w:spacing w:before="60" w:after="60"/>
            </w:pPr>
            <w:r>
              <w:rPr>
                <w:rFonts w:ascii="Calibri" w:hAnsi="Calibri"/>
                <w:sz w:val="20"/>
              </w:rPr>
              <w:t>14 ngày</w:t>
            </w:r>
          </w:p>
        </w:tc>
      </w:tr>
      <w:tr>
        <w:tc>
          <w:tcPr>
            <w:tcW w:type="dxa" w:w="3120"/>
          </w:tcPr>
          <w:p>
            <w:pPr>
              <w:spacing w:before="60" w:after="60"/>
            </w:pPr>
            <w:r>
              <w:rPr>
                <w:rFonts w:ascii="Calibri" w:hAnsi="Calibri"/>
                <w:sz w:val="20"/>
              </w:rPr>
              <w:t>4</w:t>
            </w:r>
          </w:p>
        </w:tc>
        <w:tc>
          <w:tcPr>
            <w:tcW w:type="dxa" w:w="3120"/>
          </w:tcPr>
          <w:p>
            <w:pPr>
              <w:spacing w:before="60" w:after="60"/>
            </w:pPr>
            <w:r>
              <w:rPr>
                <w:rFonts w:ascii="Calibri" w:hAnsi="Calibri"/>
                <w:sz w:val="20"/>
              </w:rPr>
              <w:t>Giao VNDA nghiên cứu khả thi blockchain cho định danh BĐS</w:t>
            </w:r>
          </w:p>
        </w:tc>
        <w:tc>
          <w:tcPr>
            <w:tcW w:type="dxa" w:w="3120"/>
          </w:tcPr>
          <w:p>
            <w:pPr>
              <w:spacing w:before="60" w:after="60"/>
            </w:pPr>
            <w:r>
              <w:rPr>
                <w:rFonts w:ascii="Calibri" w:hAnsi="Calibri"/>
                <w:sz w:val="20"/>
              </w:rPr>
              <w:t>14 ngày</w:t>
            </w:r>
          </w:p>
        </w:tc>
      </w:tr>
      <w:tr>
        <w:tc>
          <w:tcPr>
            <w:tcW w:type="dxa" w:w="3120"/>
          </w:tcPr>
          <w:p>
            <w:pPr>
              <w:spacing w:before="60" w:after="60"/>
            </w:pPr>
            <w:r>
              <w:rPr>
                <w:rFonts w:ascii="Calibri" w:hAnsi="Calibri"/>
                <w:sz w:val="20"/>
              </w:rPr>
              <w:t>5</w:t>
            </w:r>
          </w:p>
        </w:tc>
        <w:tc>
          <w:tcPr>
            <w:tcW w:type="dxa" w:w="3120"/>
          </w:tcPr>
          <w:p>
            <w:pPr>
              <w:spacing w:before="60" w:after="60"/>
            </w:pPr>
            <w:r>
              <w:rPr>
                <w:rFonts w:ascii="Calibri" w:hAnsi="Calibri"/>
                <w:sz w:val="20"/>
              </w:rPr>
              <w:t>Thông qua lộ trình 90 ngày + 3 kịch bản BCP</w:t>
            </w:r>
          </w:p>
        </w:tc>
        <w:tc>
          <w:tcPr>
            <w:tcW w:type="dxa" w:w="3120"/>
          </w:tcPr>
          <w:p>
            <w:pPr>
              <w:spacing w:before="60" w:after="60"/>
            </w:pPr>
            <w:r>
              <w:rPr>
                <w:rFonts w:ascii="Calibri" w:hAnsi="Calibri"/>
                <w:sz w:val="20"/>
              </w:rPr>
              <w:t>14 ngày</w:t>
            </w:r>
          </w:p>
        </w:tc>
      </w:tr>
    </w:tbl>
    <w:p>
      <w:pPr>
        <w:spacing w:before="0" w:after="80"/>
      </w:pPr>
    </w:p>
    <w:p>
      <w:r>
        <w:rPr>
          <w:b/>
        </w:rPr>
        <w:t>Gợi ý hình ảnh:</w:t>
      </w:r>
      <w:r>
        <w:t xml:space="preserve"> Bảng 5 hàng nổi bật, có icon “checkbox” hoặc “stamp” → urgent feel. Nền đỏ/đậm cho hàng 1 và 2</w:t>
      </w:r>
    </w:p>
    <w:p>
      <w:r>
        <w:rPr>
          <w:b/>
        </w:rPr>
        <w:t>Speaker Notes:</w:t>
      </w:r>
      <w:r>
        <w:t xml:space="preserve"> 5 quyết định. 2 việc đầu cần làm ngay tuần này. 3 việc còn lại trong 14 ngày. Không có các quyết định này, chúng ta sẽ bị động khi nghị định có hiệu lực đúng 01/03/2026.</w:t>
      </w:r>
    </w:p>
    <w:p>
      <w:r>
        <w:rPr>
          <w:b/>
        </w:rPr>
        <w:t>Transition:</w:t>
      </w:r>
      <w:r>
        <w:t xml:space="preserve"> → “Xin mời BOM đặt câu hỏi.”</w:t>
      </w:r>
    </w:p>
    <w:p>
      <w:pPr>
        <w:spacing w:before="120" w:after="120"/>
        <w:pBdr>
          <w:bottom w:val="single" w:sz="12" w:space="1" w:color="CCCCCC"/>
        </w:pBdr>
      </w:pPr>
    </w:p>
    <w:p>
      <w:pPr>
        <w:pStyle w:val="Heading3"/>
        <w:spacing w:before="240" w:after="160"/>
      </w:pPr>
      <w:r>
        <w:rPr>
          <w:rFonts w:ascii="Calibri" w:hAnsi="Calibri" w:eastAsia="Calibri"/>
          <w:color w:val="1A1A2E"/>
          <w:sz w:val="32"/>
        </w:rPr>
        <w:t>Slide 15: Hỏi đáp</w:t>
      </w:r>
    </w:p>
    <w:p>
      <w:r>
        <w:rPr>
          <w:b/>
        </w:rPr>
        <w:t>Loại:</w:t>
      </w:r>
      <w:r>
        <w:t xml:space="preserve"> Q&amp;A</w:t>
        <w:br/>
      </w:r>
      <w:r>
        <w:rPr>
          <w:b/>
        </w:rPr>
        <w:t>Thời gian:</w:t>
      </w:r>
      <w:r>
        <w:t xml:space="preserve"> Mở</w:t>
      </w:r>
    </w:p>
    <w:p>
      <w:r>
        <w:rPr>
          <w:b/>
        </w:rPr>
        <w:t>Key Message:</w:t>
      </w:r>
      <w:r>
        <w:t xml:space="preserve"> Sẵn sàng giải đáp chi tiết theo từng mắt xích hoặc theo phụ lục kỹ thuật.</w:t>
      </w:r>
    </w:p>
    <w:p>
      <w:r>
        <w:rPr>
          <w:b/>
        </w:rPr>
        <w:t>Nội dung:</w:t>
      </w:r>
      <w:r>
        <w:br/>
        <w:t xml:space="preserve">- </w:t>
      </w:r>
      <w:r>
        <w:rPr>
          <w:b/>
        </w:rPr>
        <w:t>Q&amp;A</w:t>
      </w:r>
      <w:r>
        <w:br/>
        <w:t>- Liên hệ: Ban Pháp chế &amp; Chiến lược</w:t>
        <w:br/>
        <w:t>- Tài liệu chi tiết: Báo cáo SG-BC-2026/NĐ357 (bao gồm 5 phụ lục kỹ thuật)</w:t>
      </w:r>
    </w:p>
    <w:p>
      <w:r>
        <w:rPr>
          <w:b/>
        </w:rPr>
        <w:t>Gợi ý hình ảnh:</w:t>
      </w:r>
      <w:r>
        <w:t xml:space="preserve"> Slide clean, chữ “Q&amp;A” lớn, thông tin liên hệ nhỏ phía dưới</w:t>
      </w:r>
    </w:p>
    <w:p>
      <w:r>
        <w:rPr>
          <w:b/>
        </w:rPr>
        <w:t>Speaker Notes:</w:t>
      </w:r>
      <w:r>
        <w:t xml:space="preserve"> Cảm ơn BOM đã lắng nghe. Báo cáo chi tiết đã được gửi kèm với 5 phụ lục: pháp lý, phương pháp luận, đặc tả kỹ thuật, mẫu văn bản, và cơ sở blockchain. Sẵn sàng giải đáp bất kỳ câu hỏi nào.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