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D06D2" w14:textId="77777777" w:rsidR="000E1B7A" w:rsidRPr="00417886" w:rsidRDefault="00000000" w:rsidP="00417886">
      <w:pPr>
        <w:pStyle w:val="Heading1"/>
        <w:spacing w:before="360" w:after="160"/>
        <w:jc w:val="center"/>
        <w:rPr>
          <w:sz w:val="22"/>
          <w:szCs w:val="22"/>
        </w:rPr>
      </w:pPr>
      <w:r w:rsidRPr="00417886">
        <w:rPr>
          <w:rFonts w:ascii="Times New Roman" w:eastAsia="Times New Roman" w:hAnsi="Times New Roman"/>
          <w:color w:val="1A1A2E"/>
          <w:sz w:val="32"/>
          <w:szCs w:val="22"/>
        </w:rPr>
        <w:t>Ý kiến của Thành viên HĐQT kiêm Người đại diện phần vốn</w:t>
      </w:r>
    </w:p>
    <w:p w14:paraId="3CFB69A6" w14:textId="77777777" w:rsidR="000E1B7A" w:rsidRDefault="00000000" w:rsidP="00417886">
      <w:pPr>
        <w:jc w:val="center"/>
      </w:pPr>
      <w:r>
        <w:t>(Phát biểu tại cuộc họp HĐQT Công ty CP Cao su Đà Nẵng ngày 23.3.2026)</w:t>
      </w:r>
    </w:p>
    <w:p w14:paraId="1410EA76" w14:textId="77777777" w:rsidR="000E1B7A" w:rsidRDefault="00000000" w:rsidP="00417886">
      <w:pPr>
        <w:jc w:val="center"/>
      </w:pPr>
      <w:r>
        <w:t>Về việc thu hồi công nợ xuất khẩu quá hạn</w:t>
      </w:r>
    </w:p>
    <w:p w14:paraId="3890BFD0" w14:textId="77777777" w:rsidR="007339D0" w:rsidRDefault="00000000">
      <w:r>
        <w:t>Kính thưa Chủ tịch HĐQT,</w:t>
      </w:r>
    </w:p>
    <w:p w14:paraId="67FF6C95" w14:textId="241B6DCC" w:rsidR="000E1B7A" w:rsidRDefault="00000000">
      <w:r>
        <w:t>Kính thưa Tổng Giám đốc cùng toàn thể các thành viên HĐQT,</w:t>
      </w:r>
    </w:p>
    <w:p w14:paraId="4CF5876A" w14:textId="77777777" w:rsidR="000E1B7A" w:rsidRDefault="00000000">
      <w:r>
        <w:t>Trên cơ sở rà soát Nghị quyết 01/NQ-DRC-HĐQT (14/01/2026), Thông báo kết luận 07/TBKL-DRC-HĐQT (17/01/2026), email ngày 04/02/2026, Báo cáo số 171/BC-DRC (26/02/2026), Báo cáo số 260/BC-DRC (20/03/2026) và Thư tư vấn pháp lý Dentons LuatViet (16/03/2026), tôi xin trình bày nhận định và đề xuất theo bốn nhóm vấn đề:</w:t>
      </w:r>
    </w:p>
    <w:p w14:paraId="0258CDF2" w14:textId="77777777" w:rsidR="000E1B7A" w:rsidRDefault="00000000">
      <w:pPr>
        <w:pStyle w:val="Heading2"/>
        <w:spacing w:before="360" w:after="160"/>
      </w:pPr>
      <w:r>
        <w:rPr>
          <w:rFonts w:ascii="Times New Roman" w:eastAsia="Times New Roman" w:hAnsi="Times New Roman"/>
          <w:color w:val="1A1A2E"/>
          <w:sz w:val="36"/>
        </w:rPr>
        <w:t>I. Về việc Tổng Giám đốc tuân thủ chỉ đạo của HĐQT trong hoạt động thu hồi công nợ</w:t>
      </w:r>
    </w:p>
    <w:p w14:paraId="23E167A0" w14:textId="77777777" w:rsidR="000E1B7A" w:rsidRDefault="00000000">
      <w:pPr>
        <w:pStyle w:val="Heading3"/>
        <w:spacing w:before="240" w:after="160"/>
      </w:pPr>
      <w:r>
        <w:rPr>
          <w:rFonts w:ascii="Times New Roman" w:eastAsia="Times New Roman" w:hAnsi="Times New Roman"/>
          <w:color w:val="1A1A2E"/>
          <w:sz w:val="32"/>
        </w:rPr>
        <w:t>1. Về thời hạn thực hiện</w:t>
      </w:r>
    </w:p>
    <w:p w14:paraId="19512D23" w14:textId="77777777" w:rsidR="000E1B7A" w:rsidRDefault="00000000">
      <w:r>
        <w:t>HĐQT đã ban hành chuỗi chỉ đạo rõ ràng từ cuối năm 2025 (TBKL 56/TBKL-HĐQT ngày 31/12/2025, NQ 01 ngày 14/01/2026, TBKL 07 ngày 17/01/2026). Đối chiếu với kết quả thực hiện đến nay, tôi nhận thấy:</w:t>
      </w:r>
    </w:p>
    <w:p w14:paraId="5A3D512F" w14:textId="77777777" w:rsidR="000E1B7A" w:rsidRDefault="00000000">
      <w:pPr>
        <w:spacing w:before="20" w:after="40"/>
        <w:ind w:left="720" w:hanging="357"/>
      </w:pPr>
      <w:r>
        <w:rPr>
          <w:sz w:val="20"/>
        </w:rPr>
        <w:t xml:space="preserve">• </w:t>
      </w:r>
      <w:r>
        <w:t>TBKL 07 yêu cầu đến hết ngày 01/02/2026 khách hàng phải trả nợ, nếu không thì kích hoạt SBLC. Đến thời điểm này, Oceanside chỉ thanh toán 70.925,38 USD (theo mục I.1, BC 260), Dforce không thanh toán bất kỳ khoản nào. Tuy nhiên theo BC 260, Ban Điều hành không triển khai kích hoạt SBLC mà thay bằng đàm phán gia hạn.</w:t>
      </w:r>
    </w:p>
    <w:p w14:paraId="7D605E20" w14:textId="77777777" w:rsidR="000E1B7A" w:rsidRDefault="00000000">
      <w:pPr>
        <w:spacing w:before="20" w:after="40"/>
        <w:ind w:left="720" w:hanging="357"/>
      </w:pPr>
      <w:r>
        <w:rPr>
          <w:sz w:val="20"/>
        </w:rPr>
        <w:t xml:space="preserve">• </w:t>
      </w:r>
      <w:r>
        <w:t>Chế độ báo cáo định kỳ theo NQ 01 và email ngày 04/02/2026 không được tuân thủ đầy đủ. BC 171 ra ngày 26/02/2026 và BC 260 ra ngày 20/03/2026 cho thấy tần suất và tính kịp thời của báo cáo chưa đáp ứng yêu cầu HĐQT.</w:t>
      </w:r>
    </w:p>
    <w:p w14:paraId="7507DA99" w14:textId="77777777" w:rsidR="000E1B7A" w:rsidRDefault="00000000">
      <w:pPr>
        <w:pStyle w:val="Heading3"/>
        <w:spacing w:before="240" w:after="160"/>
      </w:pPr>
      <w:r>
        <w:rPr>
          <w:rFonts w:ascii="Times New Roman" w:eastAsia="Times New Roman" w:hAnsi="Times New Roman"/>
          <w:color w:val="1A1A2E"/>
          <w:sz w:val="32"/>
        </w:rPr>
        <w:t>2. Về chất lượng phương án xử lý</w:t>
      </w:r>
    </w:p>
    <w:p w14:paraId="495A0BDA" w14:textId="77777777" w:rsidR="000E1B7A" w:rsidRDefault="00000000">
      <w:r>
        <w:t>Phương án thu hồi nợ tại BC 260 (mục II) chủ yếu dựa vào tiếp tục kinh doanh với Oceanside và mua nguyên vật liệu qua giới thiệu của Oceanside. Phương án này mang tính định hướng chung, thiếu yếu tố cụ thể để HĐQT và cấp có thẩm quyền đánh giá: doanh thu dự kiến bao nhiêu, tỷ lệ khấu trừ nợ ra sao, cần bao lâu, giới hạn rủi ro tối đa là gì.</w:t>
      </w:r>
    </w:p>
    <w:p w14:paraId="1E85962B" w14:textId="77777777" w:rsidR="000E1B7A" w:rsidRDefault="00000000">
      <w:r>
        <w:lastRenderedPageBreak/>
        <w:t>Tôi đề nghị Tổng Giám đốc trong vòng 15 ngày trình kế hoạch chi tiết bao gồm: (a) doanh thu dự kiến theo quý và tổng nợ dự kiến thu hồi; (b) lộ trình với mốc đánh giá; (c) giới hạn rủi ro tối đa cho mỗi giao dịch mới; (d) đánh giá rủi ro pháp lý cho chuyến công tác Trung Quốc trong bối cảnh thông tin FBI liên quan đến Dforce (theo mục I.4.i, BC 260).</w:t>
      </w:r>
    </w:p>
    <w:p w14:paraId="05DEBFA6" w14:textId="77777777" w:rsidR="000E1B7A" w:rsidRDefault="00000000">
      <w:pPr>
        <w:pStyle w:val="Heading3"/>
        <w:spacing w:before="240" w:after="160"/>
      </w:pPr>
      <w:r>
        <w:rPr>
          <w:rFonts w:ascii="Times New Roman" w:eastAsia="Times New Roman" w:hAnsi="Times New Roman"/>
          <w:color w:val="1A1A2E"/>
          <w:sz w:val="32"/>
        </w:rPr>
        <w:t>3. Về phương án thu hồi nợ độc lập</w:t>
      </w:r>
    </w:p>
    <w:p w14:paraId="4D6AF67B" w14:textId="77777777" w:rsidR="000E1B7A" w:rsidRDefault="00000000">
      <w:r>
        <w:t>Các phương án hiện tại đều phụ thuộc vào thiện chí và năng lực của bên nợ. Tôi đề nghị bổ sung phương án thu hồi nợ không phụ thuộc Oceanside/Dforce, bao gồm: thuê đơn vị thu hồi nợ quốc tế, khởi kiện theo hợp đồng, hoặc bán nợ cho bên thứ ba nếu cần thiết. Kế hoạch cần được trình HĐQT và báo cáo Tập đoàn Hóa chất Việt Nam trước khi triển khai.</w:t>
      </w:r>
    </w:p>
    <w:p w14:paraId="1B7EA8D9" w14:textId="77777777" w:rsidR="000E1B7A" w:rsidRDefault="00000000">
      <w:pPr>
        <w:pStyle w:val="Heading2"/>
        <w:spacing w:before="360" w:after="160"/>
      </w:pPr>
      <w:r>
        <w:rPr>
          <w:rFonts w:ascii="Times New Roman" w:eastAsia="Times New Roman" w:hAnsi="Times New Roman"/>
          <w:color w:val="1A1A2E"/>
          <w:sz w:val="36"/>
        </w:rPr>
        <w:t>II. Về việc Tổng Giám đốc chậm cung cấp báo cáo tư vấn pháp lý liên quan đến SBLC</w:t>
      </w:r>
    </w:p>
    <w:p w14:paraId="65205057" w14:textId="77777777" w:rsidR="000E1B7A" w:rsidRDefault="00000000">
      <w:r>
        <w:t>Báo cáo tư vấn của Dentons được phát hành ngày 26/01/2026. Trong đó nêu rõ điều kiện, thời hạn và yêu cầu hồ sơ để kích hoạt SBLC, bao gồm cảnh báo cần nộp hồ sơ trước ít nhất 15 ngày so với ngày hết hạn LC.</w:t>
      </w:r>
    </w:p>
    <w:p w14:paraId="23B70CB3" w14:textId="77777777" w:rsidR="000E1B7A" w:rsidRDefault="00000000">
      <w:r>
        <w:t>Tuy nhiên, HĐQT chỉ nhận được báo cáo này vào ngày 26/02/2026, tức sau 01 tháng. Trong khoảng thời gian đó, LC 3 triệu USD của Oceanside đã hết hạn vào ngày 25/02/2026 mà không có bất kỳ báo cáo hoặc đề xuất nào từ Ban Điều hành gửi HĐQT về phương án xử lý.</w:t>
      </w:r>
    </w:p>
    <w:p w14:paraId="406EE281" w14:textId="77777777" w:rsidR="000E1B7A" w:rsidRDefault="00000000">
      <w:r>
        <w:t>Diễn biến thời gian cho thấy: HĐQT đã chốt hạn 01/02/2026 tại TBKL 07. Dentons cảnh báo cần hành động trước 15 ngày. Báo cáo Dentons ra ngày 26/01 đã cung cấp đủ thông tin. Nhưng Ban Điều hành giữ báo cáo đến 26/02, sau khi LC đã hết hạn.</w:t>
      </w:r>
    </w:p>
    <w:p w14:paraId="78F44088" w14:textId="77777777" w:rsidR="000E1B7A" w:rsidRDefault="00000000">
      <w:r>
        <w:t>Tôi đề nghị Tổng Giám đốc giải trình: (a) lý do cụ thể của việc chậm trình báo cáo Dentons cho HĐQT; (b) trong giai đoạn từ 26/01 đến 25/02, Ban Điều hành đã xem xét phương án kích hoạt LC 3 triệu USD hay chưa, và nếu có thì kết quả ra sao; (c) ai chịu trách nhiệm về quyết định không kích hoạt LC trước thời hạn.</w:t>
      </w:r>
    </w:p>
    <w:p w14:paraId="4D5CA129" w14:textId="77777777" w:rsidR="000E1B7A" w:rsidRDefault="00000000">
      <w:pPr>
        <w:pStyle w:val="Heading2"/>
        <w:spacing w:before="360" w:after="160"/>
      </w:pPr>
      <w:r>
        <w:rPr>
          <w:rFonts w:ascii="Times New Roman" w:eastAsia="Times New Roman" w:hAnsi="Times New Roman"/>
          <w:color w:val="1A1A2E"/>
          <w:sz w:val="36"/>
        </w:rPr>
        <w:lastRenderedPageBreak/>
        <w:t>III. Về tình hình thu hồi công nợ, tài sản bảo đảm và các SBLC</w:t>
      </w:r>
    </w:p>
    <w:p w14:paraId="759F7031" w14:textId="77777777" w:rsidR="000E1B7A" w:rsidRDefault="00000000">
      <w:pPr>
        <w:pStyle w:val="Heading3"/>
        <w:spacing w:before="240" w:after="160"/>
      </w:pPr>
      <w:r>
        <w:rPr>
          <w:rFonts w:ascii="Times New Roman" w:eastAsia="Times New Roman" w:hAnsi="Times New Roman"/>
          <w:color w:val="1A1A2E"/>
          <w:sz w:val="32"/>
        </w:rPr>
        <w:t>1. Tình hình công nợ</w:t>
      </w:r>
    </w:p>
    <w:p w14:paraId="00A000E4" w14:textId="77777777" w:rsidR="000E1B7A" w:rsidRDefault="00000000">
      <w:r>
        <w:t>Theo BC 260 (mục I.1), tổng dư nợ tại 28/02/2026 là 22.494.669,64 USD. Oceanside cam kết trả 1,5 đến 3 triệu USD trước 31/01/2026 nhưng chỉ thanh toán 70.925,38 USD. Dforce cam kết trả từ tháng 04/2026 nhưng số dư không thay đổi.</w:t>
      </w:r>
    </w:p>
    <w:p w14:paraId="154ECC53" w14:textId="77777777" w:rsidR="000E1B7A" w:rsidRDefault="00000000">
      <w:r>
        <w:t>Khoản bù trừ khoảng 1,97 triệu USD cho Oceanside (mục I.1, BC 260) là nghiệp vụ kế toán, không phải thu tiền thực tế. Cam kết thanh toán của cả hai khách hàng hiện đã bị vi phạm nghiêm trọng.</w:t>
      </w:r>
    </w:p>
    <w:p w14:paraId="0B01470D" w14:textId="77777777" w:rsidR="000E1B7A" w:rsidRDefault="00000000">
      <w:pPr>
        <w:pStyle w:val="Heading3"/>
        <w:spacing w:before="240" w:after="160"/>
      </w:pPr>
      <w:r>
        <w:rPr>
          <w:rFonts w:ascii="Times New Roman" w:eastAsia="Times New Roman" w:hAnsi="Times New Roman"/>
          <w:color w:val="1A1A2E"/>
          <w:sz w:val="32"/>
        </w:rPr>
        <w:t>2. Thực trạng hoạt động hai khách hàng</w:t>
      </w:r>
    </w:p>
    <w:p w14:paraId="4B0F73DC" w14:textId="77777777" w:rsidR="000E1B7A" w:rsidRDefault="00000000">
      <w:r>
        <w:t>Theo BC 260 (mục I.4), chuyến công tác Mỹ cho thấy: Dforce đã trả văn phòng đăng ký, chuyển về một gara sửa chữa ô tô, không có nhân viên. Oceanside cũng rời địa chỉ đăng ký từ tháng 01/2025. Ông Wilson (đại diện Dforce) cho biết cần thêm 02 tháng mới quay lại kinh doanh. Ngoài ra, theo cùng mục, Dforce đã bị FBI và cơ quan thuế Mỹ điều tra về nghi vấn trốn thuế và gian lận thương mại, thông tin được tiết lộ từ tháng 9/2025 nhưng HĐQT chưa được báo cáo.</w:t>
      </w:r>
    </w:p>
    <w:p w14:paraId="2ADC8E9C" w14:textId="77777777" w:rsidR="000E1B7A" w:rsidRDefault="00000000">
      <w:r>
        <w:t>Thực trạng này cho thấy năng lực kinh doanh và tài chính của cả hai công ty rất đáng lo ngại.</w:t>
      </w:r>
    </w:p>
    <w:p w14:paraId="6A57C3FF" w14:textId="77777777" w:rsidR="000E1B7A" w:rsidRDefault="00000000">
      <w:pPr>
        <w:pStyle w:val="Heading3"/>
        <w:spacing w:before="240" w:after="160"/>
      </w:pPr>
      <w:r>
        <w:rPr>
          <w:rFonts w:ascii="Times New Roman" w:eastAsia="Times New Roman" w:hAnsi="Times New Roman"/>
          <w:color w:val="1A1A2E"/>
          <w:sz w:val="32"/>
        </w:rPr>
        <w:t>3. Về SBLC</w:t>
      </w:r>
    </w:p>
    <w:p w14:paraId="4406F8DC" w14:textId="77777777" w:rsidR="000E1B7A" w:rsidRDefault="00000000">
      <w:r>
        <w:t>Theo BC 260 (mục I.3), ngân hàng từ chối gia hạn SBLC với lý do không có hoạt động thương mại. Tôi đề nghị: (a) Ban Điều hành cung cấp bằng chứng bằng văn bản từ ngân hàng; (b) làm rõ 02 SBLC còn lại (hết hạn tháng 4 và tháng 6/2026) có còn giá trị kích hoạt không; (c) nếu có, chuẩn bị hồ sơ kích hoạt trước ít nhất 20 ngày so với ngày hết hạn.</w:t>
      </w:r>
    </w:p>
    <w:p w14:paraId="5A85E6FD" w14:textId="77777777" w:rsidR="000E1B7A" w:rsidRDefault="00000000">
      <w:pPr>
        <w:pStyle w:val="Heading3"/>
        <w:spacing w:before="240" w:after="160"/>
      </w:pPr>
      <w:r>
        <w:rPr>
          <w:rFonts w:ascii="Times New Roman" w:eastAsia="Times New Roman" w:hAnsi="Times New Roman"/>
          <w:color w:val="1A1A2E"/>
          <w:sz w:val="32"/>
        </w:rPr>
        <w:t>4. Về nông trại tại Brazil</w:t>
      </w:r>
    </w:p>
    <w:p w14:paraId="5DFB544C" w14:textId="77777777" w:rsidR="000E1B7A" w:rsidRDefault="00000000">
      <w:r>
        <w:t>Theo Thư tư vấn Dentons (16/03/2026), phương án này hợp pháp về lý thuyết nhưng tiềm ẩn rủi ro nghiêm trọng: quyền sở hữu chưa xác minh, pháp luật Brazil điều chỉnh toàn bộ giao dịch, nông trại có thể đang bị thế chấp hoặc tranh chấp, chi phí luật sư Brazil do DRC chịu, và ông Roger vừa đại diện bên nợ vừa đề xuất tài sản cá nhân (xung đột lợi ích).</w:t>
      </w:r>
    </w:p>
    <w:p w14:paraId="0DDDC007" w14:textId="77777777" w:rsidR="000E1B7A" w:rsidRDefault="00000000">
      <w:r>
        <w:lastRenderedPageBreak/>
        <w:t>Phương án này chỉ có thể là biện pháp bổ sung nếu đáp ứng điều kiện: thẩm định pháp lý bởi luật sư độc lập tại Brazil, chi phí do Oceanside/Dforce chịu.</w:t>
      </w:r>
    </w:p>
    <w:p w14:paraId="0F1C8CE9" w14:textId="77777777" w:rsidR="000E1B7A" w:rsidRDefault="00000000">
      <w:pPr>
        <w:pStyle w:val="Heading3"/>
        <w:spacing w:before="240" w:after="160"/>
      </w:pPr>
      <w:r>
        <w:rPr>
          <w:rFonts w:ascii="Times New Roman" w:eastAsia="Times New Roman" w:hAnsi="Times New Roman"/>
          <w:color w:val="1A1A2E"/>
          <w:sz w:val="32"/>
        </w:rPr>
        <w:t>5. Yêu cầu tăng cường tài sản bảo đảm</w:t>
      </w:r>
    </w:p>
    <w:p w14:paraId="55567B3E" w14:textId="77777777" w:rsidR="000E1B7A" w:rsidRDefault="00000000">
      <w:r>
        <w:t>Trong bối cảnh SBLC bị từ chối gia hạn, nông trại Brazil chưa khả thi và cam kết thanh toán bị vi phạm, tôi đề nghị HĐQT chỉ đạo Tổng Giám đốc yêu cầu Oceanside và Dforce thực hiện các biện pháp tăng cường bảo đảm nghĩa vụ thanh toán, bao gồm:</w:t>
      </w:r>
    </w:p>
    <w:p w14:paraId="71C2E6FE" w14:textId="77777777" w:rsidR="000E1B7A" w:rsidRDefault="00000000">
      <w:pPr>
        <w:spacing w:before="20" w:after="40"/>
        <w:ind w:left="720" w:hanging="357"/>
      </w:pPr>
      <w:r>
        <w:rPr>
          <w:sz w:val="20"/>
        </w:rPr>
        <w:t xml:space="preserve">• </w:t>
      </w:r>
      <w:r>
        <w:t>Mở LC mới (Letter of Credit) tại ngân hàng có uy tín, tương ứng với số dư nợ quá hạn hoặc ít nhất cho các lô hàng giao dịch tiếp theo (nếu có).</w:t>
      </w:r>
    </w:p>
    <w:p w14:paraId="5D248692" w14:textId="77777777" w:rsidR="000E1B7A" w:rsidRDefault="00000000">
      <w:pPr>
        <w:spacing w:before="20" w:after="40"/>
        <w:ind w:left="720" w:hanging="357"/>
      </w:pPr>
      <w:r>
        <w:rPr>
          <w:sz w:val="20"/>
        </w:rPr>
        <w:t xml:space="preserve">• </w:t>
      </w:r>
      <w:r>
        <w:t>Cung cấp tài sản bảo đảm bổ sung có tính pháp lý rõ ràng, tránh các phương án phức tạp xuyên biên giới như nông trại Brazil.</w:t>
      </w:r>
    </w:p>
    <w:p w14:paraId="5D4B893F" w14:textId="77777777" w:rsidR="000E1B7A" w:rsidRDefault="00000000">
      <w:pPr>
        <w:spacing w:before="20" w:after="40"/>
        <w:ind w:left="720" w:hanging="357"/>
      </w:pPr>
      <w:r>
        <w:rPr>
          <w:sz w:val="20"/>
        </w:rPr>
        <w:t xml:space="preserve">• </w:t>
      </w:r>
      <w:r>
        <w:t>Bảo lãnh thanh toán bởi bên thứ ba có năng lực tài chính độc lập với Oceanside/Dforce và ông Roger.</w:t>
      </w:r>
    </w:p>
    <w:p w14:paraId="35DD198B" w14:textId="77777777" w:rsidR="000E1B7A" w:rsidRDefault="00000000">
      <w:r>
        <w:t>Nếu các khách hàng không đáp ứng được yêu cầu tăng cường tài sản bảo đảm trong vòng 30 ngày, đề nghị HĐQT xem xét đây là căn cứ bổ sung để chuyển sang các biện pháp pháp lý cưỡng chế.</w:t>
      </w:r>
    </w:p>
    <w:p w14:paraId="7E29B34C" w14:textId="77777777" w:rsidR="000E1B7A" w:rsidRDefault="00000000">
      <w:pPr>
        <w:pStyle w:val="Heading3"/>
        <w:spacing w:before="240" w:after="160"/>
      </w:pPr>
      <w:r>
        <w:rPr>
          <w:rFonts w:ascii="Times New Roman" w:eastAsia="Times New Roman" w:hAnsi="Times New Roman"/>
          <w:color w:val="1A1A2E"/>
          <w:sz w:val="32"/>
        </w:rPr>
        <w:t>6. Đánh giá rủi ro toàn diện</w:t>
      </w:r>
    </w:p>
    <w:p w14:paraId="20D06798" w14:textId="77777777" w:rsidR="000E1B7A" w:rsidRDefault="00000000">
      <w:r>
        <w:t>Tôi đề nghị HĐQT yêu cầu Ban Điều hành và đề nghị Ban Kiểm soát đánh giá rủi ro mất vốn đối với toàn bộ khoản công nợ dựa trên bằng chứng thực tế, đồng thời báo cáo chính thức lên Tập đoàn Hóa chất Việt Nam.</w:t>
      </w:r>
    </w:p>
    <w:p w14:paraId="7622E4CB" w14:textId="77777777" w:rsidR="000E1B7A" w:rsidRDefault="00000000">
      <w:pPr>
        <w:pStyle w:val="Heading2"/>
        <w:spacing w:before="360" w:after="160"/>
      </w:pPr>
      <w:r>
        <w:rPr>
          <w:rFonts w:ascii="Times New Roman" w:eastAsia="Times New Roman" w:hAnsi="Times New Roman"/>
          <w:color w:val="1A1A2E"/>
          <w:sz w:val="36"/>
        </w:rPr>
        <w:t>IV. Về trách nhiệm cá nhân của Tổng Giám đốc và các cá nhân liên quan</w:t>
      </w:r>
    </w:p>
    <w:p w14:paraId="33B030E4" w14:textId="77777777" w:rsidR="000E1B7A" w:rsidRDefault="00000000">
      <w:r>
        <w:t>Căn cứ Điều 3 NQ 01/NQ-DRC-HĐQT, Điều lệ Công ty và các chỉ đạo của HĐQT, tôi đề nghị ghi nhận vào Biên bản và Nghị quyết cuộc họp các nội dung sau:</w:t>
      </w:r>
    </w:p>
    <w:p w14:paraId="09505919" w14:textId="77777777" w:rsidR="000E1B7A" w:rsidRDefault="00000000">
      <w:pPr>
        <w:pStyle w:val="Heading3"/>
        <w:spacing w:before="240" w:after="160"/>
      </w:pPr>
      <w:r>
        <w:rPr>
          <w:rFonts w:ascii="Times New Roman" w:eastAsia="Times New Roman" w:hAnsi="Times New Roman"/>
          <w:color w:val="1A1A2E"/>
          <w:sz w:val="32"/>
        </w:rPr>
        <w:t>1. Về việc chấp nhận các điều khoản SBLC bất lợi</w:t>
      </w:r>
    </w:p>
    <w:p w14:paraId="6A76C562" w14:textId="77777777" w:rsidR="000E1B7A" w:rsidRDefault="00000000">
      <w:r>
        <w:t>Tổng Giám đốc và các cá nhân tham gia đàm phán, phê duyệt điều khoản SBLC ban đầu chịu trách nhiệm về các hạn chế trong điều khoản đã đặt DRC vào thế bất lợi khi cần kích hoạt. Đề nghị làm rõ: ai đã tham gia đàm phán điều khoản SBLC, ai phê duyệt việc chấp nhận, và quy trình nội bộ nào đã được áp dụng (hoặc không được áp dụng) khi đánh giá rủi ro của các điều khoản đó.</w:t>
      </w:r>
    </w:p>
    <w:p w14:paraId="697F2E5F" w14:textId="77777777" w:rsidR="000E1B7A" w:rsidRDefault="00000000">
      <w:pPr>
        <w:pStyle w:val="Heading3"/>
        <w:spacing w:before="240" w:after="160"/>
      </w:pPr>
      <w:r>
        <w:rPr>
          <w:rFonts w:ascii="Times New Roman" w:eastAsia="Times New Roman" w:hAnsi="Times New Roman"/>
          <w:color w:val="1A1A2E"/>
          <w:sz w:val="32"/>
        </w:rPr>
        <w:lastRenderedPageBreak/>
        <w:t>2. Về hệ quả phát sinh từ việc chấp nhận điều khoản bất lợi</w:t>
      </w:r>
    </w:p>
    <w:p w14:paraId="4F22D052" w14:textId="77777777" w:rsidR="000E1B7A" w:rsidRDefault="00000000">
      <w:r>
        <w:t>Hệ quả trực tiếp bao gồm: (a) ngân hàng từ chối gia hạn SBLC do điều kiện thương mại không đáp ứng (theo mục I.3, BC 260); (b) LC 3 triệu USD hết hạn không kích hoạt được (theo mục II.2, ý kiến trước); (c) DRC mất công cụ pháp lý chính để bảo vệ quyền lợi đối với khoản nợ 22,5 triệu USD. Tổng Giám đốc và các cá nhân liên quan chịu trách nhiệm về chuỗi hệ quả này.</w:t>
      </w:r>
    </w:p>
    <w:p w14:paraId="059EC384" w14:textId="77777777" w:rsidR="000E1B7A" w:rsidRDefault="00000000">
      <w:pPr>
        <w:pStyle w:val="Heading3"/>
        <w:spacing w:before="240" w:after="160"/>
      </w:pPr>
      <w:r>
        <w:rPr>
          <w:rFonts w:ascii="Times New Roman" w:eastAsia="Times New Roman" w:hAnsi="Times New Roman"/>
          <w:color w:val="1A1A2E"/>
          <w:sz w:val="32"/>
        </w:rPr>
        <w:t>3. Về quyết định không kích hoạt SBLC</w:t>
      </w:r>
    </w:p>
    <w:p w14:paraId="36BF5DBE" w14:textId="77777777" w:rsidR="000E1B7A" w:rsidRDefault="00000000">
      <w:r>
        <w:t>HĐQT đã chỉ đạo tại TBKL 07 (17/01/2026) rằng nếu đến 01/02/2026 khách hàng không trả nợ thì kích hoạt SBLC. Thực tế, đến hết 01/02/2026 khách hàng không trả nợ đáng kể nhưng Ban Điều hành không triển khai kích hoạt. Đồng thời, báo cáo tư vấn Dentons (có từ 26/01) cũng không được trình HĐQT kịp thời để có cơ sở chỉ đạo. Tổng Giám đốc chịu trách nhiệm cá nhân về quyết định này và hệ quả mất hiệu lực LC 3 triệu USD.</w:t>
      </w:r>
    </w:p>
    <w:p w14:paraId="667C241A" w14:textId="77777777" w:rsidR="000E1B7A" w:rsidRDefault="00000000">
      <w:pPr>
        <w:pStyle w:val="Heading3"/>
        <w:spacing w:before="240" w:after="160"/>
      </w:pPr>
      <w:r>
        <w:rPr>
          <w:rFonts w:ascii="Times New Roman" w:eastAsia="Times New Roman" w:hAnsi="Times New Roman"/>
          <w:color w:val="1A1A2E"/>
          <w:sz w:val="32"/>
        </w:rPr>
        <w:t>4. Về hoạt động cấn trừ nguyên vật liệu</w:t>
      </w:r>
    </w:p>
    <w:p w14:paraId="4381F0BB" w14:textId="77777777" w:rsidR="000E1B7A" w:rsidRDefault="00000000">
      <w:r>
        <w:t>Hoạt động cấn trừ nguyên vật liệu giữa DRC và Oceanside/Dforce đã, đang và có khả năng tiếp tục diễn ra (theo BC 260, mục I.1 và mục II). Tôi đề nghị: (a) Tổng Giám đốc báo cáo chi tiết tất cả giao dịch cấn trừ đã thực hiện (thời điểm, đối tượng, giá trị, cơ sở pháp lý, đối chiếu giá thị trường); (b) giải trình cơ sở pháp lý và phê duyệt của HĐQT cho khoản bù trừ Cam Lộ và ITAU đang thực hiện; (c) mọi giao dịch cấn trừ trong tương lai phải được HĐQT phê duyệt trước. Tổng Giám đốc chịu trách nhiệm cá nhân nếu phát sinh giao dịch cấn trừ ngoài phạm vi được phê duyệt.</w:t>
      </w:r>
    </w:p>
    <w:p w14:paraId="6AFD165D" w14:textId="77777777" w:rsidR="000E1B7A" w:rsidRDefault="00000000">
      <w:pPr>
        <w:pStyle w:val="Heading3"/>
        <w:spacing w:before="240" w:after="160"/>
      </w:pPr>
      <w:r>
        <w:rPr>
          <w:rFonts w:ascii="Times New Roman" w:eastAsia="Times New Roman" w:hAnsi="Times New Roman"/>
          <w:color w:val="1A1A2E"/>
          <w:sz w:val="32"/>
        </w:rPr>
        <w:t>5. Về phạm vi trách nhiệm HĐQT</w:t>
      </w:r>
    </w:p>
    <w:p w14:paraId="0A4FE539" w14:textId="77777777" w:rsidR="000E1B7A" w:rsidRDefault="00000000">
      <w:r>
        <w:t>HĐQT đã ban hành đầy đủ Nghị quyết, Thông báo kết luận và nhắc nhở bằng văn bản. Phạm vi trách nhiệm của HĐQT giới hạn ở chức năng giám sát và chỉ đạo. Trách nhiệm tổ chức thực hiện thuộc về Ban Điều hành theo phân công.</w:t>
      </w:r>
    </w:p>
    <w:p w14:paraId="361983DD" w14:textId="77777777" w:rsidR="000E1B7A" w:rsidRDefault="000E1B7A">
      <w:pPr>
        <w:pBdr>
          <w:bottom w:val="single" w:sz="12" w:space="1" w:color="CCCCCC"/>
        </w:pBdr>
        <w:spacing w:before="120"/>
      </w:pPr>
    </w:p>
    <w:p w14:paraId="0BE48C0E" w14:textId="77777777" w:rsidR="000E1B7A" w:rsidRDefault="00000000">
      <w:r>
        <w:t>Kính đề nghị Chủ tịch HĐQT xem xét và đưa các kiến nghị trên vào Nghị quyết cuộc họp ngày hôm nay.</w:t>
      </w:r>
    </w:p>
    <w:p w14:paraId="59DDB599" w14:textId="77777777" w:rsidR="000E1B7A" w:rsidRDefault="00000000">
      <w:r>
        <w:t>Hà Nội, ngày 23 tháng 3 năm 2026</w:t>
      </w:r>
      <w:r>
        <w:br/>
        <w:t>Thành viên HĐQT</w:t>
      </w:r>
    </w:p>
    <w:p w14:paraId="298C977C" w14:textId="77777777" w:rsidR="000E1B7A" w:rsidRDefault="00000000">
      <w:r>
        <w:t>Nguyễn Thị Bích Thủy</w:t>
      </w:r>
    </w:p>
    <w:sectPr w:rsidR="000E1B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708391">
    <w:abstractNumId w:val="8"/>
  </w:num>
  <w:num w:numId="2" w16cid:durableId="1955742831">
    <w:abstractNumId w:val="6"/>
  </w:num>
  <w:num w:numId="3" w16cid:durableId="1938639781">
    <w:abstractNumId w:val="5"/>
  </w:num>
  <w:num w:numId="4" w16cid:durableId="1544095787">
    <w:abstractNumId w:val="4"/>
  </w:num>
  <w:num w:numId="5" w16cid:durableId="1140996946">
    <w:abstractNumId w:val="7"/>
  </w:num>
  <w:num w:numId="6" w16cid:durableId="6176021">
    <w:abstractNumId w:val="3"/>
  </w:num>
  <w:num w:numId="7" w16cid:durableId="1836844944">
    <w:abstractNumId w:val="2"/>
  </w:num>
  <w:num w:numId="8" w16cid:durableId="524292373">
    <w:abstractNumId w:val="1"/>
  </w:num>
  <w:num w:numId="9" w16cid:durableId="75991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F54"/>
    <w:rsid w:val="000E1B7A"/>
    <w:rsid w:val="0015074B"/>
    <w:rsid w:val="0029639D"/>
    <w:rsid w:val="00326F90"/>
    <w:rsid w:val="00417886"/>
    <w:rsid w:val="007339D0"/>
    <w:rsid w:val="00AA1D8D"/>
    <w:rsid w:val="00B47730"/>
    <w:rsid w:val="00B73D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F3E78"/>
  <w14:defaultImageDpi w14:val="300"/>
  <w15:docId w15:val="{742A9C0B-B120-4EFE-9666-999CD804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F54"/>
    <w:pPr>
      <w:spacing w:after="120"/>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NHN</dc:creator>
  <cp:keywords/>
  <dc:description>generated by python-docx</dc:description>
  <cp:lastModifiedBy>Nguyen Hoai Nam (VPBDH)</cp:lastModifiedBy>
  <cp:revision>4</cp:revision>
  <dcterms:created xsi:type="dcterms:W3CDTF">2013-12-23T23:15:00Z</dcterms:created>
  <dcterms:modified xsi:type="dcterms:W3CDTF">2026-03-22T14:03:00Z</dcterms:modified>
  <cp:category/>
</cp:coreProperties>
</file>