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BÁO CÁO CHIẾN LƯỢC</w:t>
      </w:r>
    </w:p>
    <w:p>
      <w:pPr>
        <w:pStyle w:val="Heading1"/>
        <w:spacing w:before="360" w:after="160"/>
      </w:pPr>
      <w:r>
        <w:rPr>
          <w:rFonts w:ascii="Times New Roman" w:hAnsi="Times New Roman" w:eastAsia="Times New Roman"/>
          <w:color w:val="1A1A2E"/>
          <w:sz w:val="40"/>
        </w:rPr>
        <w:t>Đảm bảo an ninh năng lượng cho danh mục đầu tư Sun Group tại Phú Quốc</w:t>
      </w:r>
    </w:p>
    <w:p>
      <w:r>
        <w:rPr>
          <w:b/>
        </w:rPr>
        <w:t>Kính trình:</w:t>
      </w:r>
      <w:r>
        <w:t xml:space="preserve"> Ban Tổng giám đốc Tập đoàn Sun Group</w:t>
        <w:br/>
      </w:r>
      <w:r>
        <w:rPr>
          <w:b/>
        </w:rPr>
        <w:t>Soạn thảo:</w:t>
      </w:r>
      <w:r>
        <w:t xml:space="preserve"> Văn phòng Chủ tịch — Nhóm Chiến lược Hạ tầng</w:t>
        <w:br/>
      </w:r>
      <w:r>
        <w:rPr>
          <w:b/>
        </w:rPr>
        <w:t>Ngày:</w:t>
      </w:r>
      <w:r>
        <w:t xml:space="preserve"> 25 tháng 2, 2026</w:t>
        <w:br/>
      </w:r>
      <w:r>
        <w:rPr>
          <w:b/>
        </w:rPr>
        <w:t>Phân loại:</w:t>
      </w:r>
      <w:r>
        <w:t xml:space="preserve"> MẬT — Chỉ lưu hành nội bộ</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ĐIỀU HÀNH</w:t>
      </w:r>
    </w:p>
    <w:p>
      <w:pPr>
        <w:pStyle w:val="Heading3"/>
        <w:spacing w:before="240" w:after="160"/>
      </w:pPr>
      <w:r>
        <w:rPr>
          <w:rFonts w:ascii="Times New Roman" w:hAnsi="Times New Roman" w:eastAsia="Times New Roman"/>
          <w:color w:val="1A1A2E"/>
          <w:sz w:val="32"/>
        </w:rPr>
        <w:t>Vấn đề cốt lõi</w:t>
      </w:r>
    </w:p>
    <w:p>
      <w:r>
        <w:t xml:space="preserve">Toàn bộ danh mục đầu tư gần </w:t>
      </w:r>
      <w:r>
        <w:rPr>
          <w:b/>
        </w:rPr>
        <w:t>100.000 tỷ VND</w:t>
      </w:r>
      <w:r>
        <w:t xml:space="preserve"> của Sun Group tại Phú Quốc giai đoạn 2025–2027 đang đối mặt với một rủi ro mang tính hệ thống mà không một kế hoạch kinh doanh nào có thể bỏ qua: </w:t>
      </w:r>
      <w:r>
        <w:rPr>
          <w:b/>
        </w:rPr>
        <w:t>sự phụ thuộc hoàn toàn vào một lưới điện duy nhất</w:t>
      </w:r>
      <w:r>
        <w:t xml:space="preserve"> — lưới điện mà sự cố cáp ngầm ngày 29/11/2025 đã phơi bày là không đủ tin cậy cho quy mô phát triển hiện tại, chưa nói đến tương lai[^1].</w:t>
      </w:r>
    </w:p>
    <w:p>
      <w:r>
        <w:t xml:space="preserve">Để đặt vấn đề trong bối cảnh đúng, cần nhìn nhận rằng Phú Quốc không phải một hòn đảo du lịch thông thường. Đây là nơi Sun Group đang triển khai đồng thời hàng loạt dự án trọng điểm — từ tổ hợp 15 tòa tháp 5 sao Bãi Đất Đỏ với 13 thương hiệu quốc tế, đến sân bay mở rộng mà Sun Airport vận hành từ 01/01/2026, Trung tâm Hội nghị APEC 6.500 chỗ phục vụ 21 nền kinh tế, hệ thống tàu điện LRT, và hạ tầng sạc cho hàng nghìn xe điện đang lưu hành trên đảo[^3]. Tổng vốn đầu tư đạt khoảng 100.000 tỷ VND (xấp xỉ 4 tỷ USD), nhưng toàn bộ hệ sinh thái này lại chia sẻ chung một điểm yếu chí mạng: </w:t>
      </w:r>
      <w:r>
        <w:rPr>
          <w:b/>
        </w:rPr>
        <w:t>phụ thuộc 100% vào nguồn điện từ đất liền</w:t>
      </w:r>
      <w:r>
        <w:t>.</w:t>
      </w:r>
    </w:p>
    <w:p>
      <w:r>
        <w:t xml:space="preserve">Đỉnh phụ tải đảo hiện đã đạt </w:t>
      </w:r>
      <w:r>
        <w:rPr>
          <w:b/>
        </w:rPr>
        <w:t>110 MW</w:t>
      </w:r>
      <w:r>
        <w:t xml:space="preserve">, tiêu thụ </w:t>
      </w:r>
      <w:r>
        <w:rPr>
          <w:b/>
        </w:rPr>
        <w:t>782 triệu kWh/năm</w:t>
      </w:r>
      <w:r>
        <w:t xml:space="preserve">, và tăng trưởng với tốc độ </w:t>
      </w:r>
      <w:r>
        <w:rPr>
          <w:b/>
        </w:rPr>
        <w:t>11%/năm</w:t>
      </w:r>
      <w:r>
        <w:t xml:space="preserve">[^3]. Khi toàn bộ các dự án nói trên đồng loạt vận hành, nhu cầu điện có thể </w:t>
      </w:r>
      <w:r>
        <w:rPr>
          <w:b/>
        </w:rPr>
        <w:t>tăng thêm 57–82 MW</w:t>
      </w:r>
      <w:r>
        <w:t xml:space="preserve"> — tức tăng 52–75% so với hiện tại (xem Phụ lục E cho chi tiết tính toán). Dù EVNSPC đang đầu tư 9.160 tỷ VND để nâng cấp hạ tầng lưới[^4], các dự án này chỉ giải quyết bài toán </w:t>
      </w:r>
      <w:r>
        <w:rPr>
          <w:b/>
        </w:rPr>
        <w:t>tăng dung lượng đường truyền</w:t>
      </w:r>
      <w:r>
        <w:t xml:space="preserve"> — không giải quyết được điểm yếu cấu trúc căn bản: khi cáp ngầm hoặc đường dây gặp sự cố, toàn đảo vẫn mất điện bất kể dung lượng lớn đến đâu.</w:t>
      </w:r>
    </w:p>
    <w:p>
      <w:r>
        <w:t>Câu hỏi đặt ra không phải “liệu sự cố có xảy ra lần nữa không” — mà là “khi sự cố xảy ra lần tới, hậu quả sẽ lớn đến đâu.” Sự cố tháng 11/2025 xảy ra khi đỉnh phụ tải mới chỉ 110 MW. Nếu sự cố tương tự lặp lại vào tháng 11/2027 — giữa thời điểm APEC diễn ra — với đỉnh phụ tải đã tăng lên 167–192 MW, hậu quả sẽ là thảm họa uy tín quốc gia.</w:t>
      </w:r>
    </w:p>
    <w:p>
      <w:pPr>
        <w:pStyle w:val="Heading3"/>
        <w:spacing w:before="240" w:after="160"/>
      </w:pPr>
      <w:r>
        <w:rPr>
          <w:rFonts w:ascii="Times New Roman" w:hAnsi="Times New Roman" w:eastAsia="Times New Roman"/>
          <w:color w:val="1A1A2E"/>
          <w:sz w:val="32"/>
        </w:rPr>
        <w:t>Giải pháp đề xuất</w:t>
      </w:r>
    </w:p>
    <w:p>
      <w:r>
        <w:t xml:space="preserve">Báo cáo này đề xuất xây dựng hệ thống </w:t>
      </w:r>
      <w:r>
        <w:rPr>
          <w:b/>
        </w:rPr>
        <w:t>phát điện và lưu trữ năng lượng tại chỗ</w:t>
      </w:r>
      <w:r>
        <w:t xml:space="preserve"> cho các cơ sở trọng yếu của Sun Group, dựa trên ba trụ cột công nghệ đã được chứng minh hiệu quả trên toàn cầu:</w:t>
      </w:r>
    </w:p>
    <w:p>
      <w:pPr>
        <w:spacing w:after="40" w:before="20"/>
        <w:ind w:left="720" w:hanging="357"/>
      </w:pPr>
      <w:r>
        <w:t xml:space="preserve">1. </w:t>
      </w:r>
      <w:r>
        <w:rPr>
          <w:b/>
        </w:rPr>
        <w:t>BESS (Pin lưu trữ năng lượng)</w:t>
      </w:r>
      <w:r>
        <w:t>— đóng vai trò “bảo hiểm điện,” chuyển mạch tức thì trong vòng 20 mili-giây khi lưới gián đoạn — nhanh hơn 6.000 lần so với máy phát diesel truyền thống. Tiền lệ tại Việt Nam đã có: Vinpearl Nha Trang khánh thành hệ thống BESS 1,8 MW / 3,7 MWh vào tháng 12/2024 theo mô hình Vinpearl không bỏ vốn[^20].</w:t>
      </w:r>
    </w:p>
    <w:p>
      <w:pPr>
        <w:spacing w:after="40" w:before="20"/>
        <w:ind w:left="720" w:hanging="357"/>
      </w:pPr>
      <w:r>
        <w:t xml:space="preserve">2. </w:t>
      </w:r>
      <w:r>
        <w:rPr>
          <w:b/>
        </w:rPr>
        <w:t>Điện mặt trời</w:t>
      </w:r>
      <w:r>
        <w:t>— tận dụng bức xạ mặt trời 4,5–5,5 kWh/m²/ngày tại Phú Quốc (nhóm tốt nhất Việt Nam)[^5], lắp đặt trên mái khách sạn, nhà ga sân bay, và khu thương mại — tổng diện tích tiềm năng khoảng 115.000 m², cho công suất 11,5–18,5 MWp.</w:t>
      </w:r>
    </w:p>
    <w:p>
      <w:pPr>
        <w:spacing w:after="40" w:before="20"/>
        <w:ind w:left="720" w:hanging="357"/>
      </w:pPr>
      <w:r>
        <w:t xml:space="preserve">3. </w:t>
      </w:r>
      <w:r>
        <w:rPr>
          <w:b/>
        </w:rPr>
        <w:t>Điện gió ven bờ</w:t>
      </w:r>
      <w:r>
        <w:t>— bổ sung nguồn phát ban đêm và mùa mưa khi mặt trời không hoạt động, khai thác tiềm năng gió tại vùng biển Phú Quốc/Kiên Giang đã được quy hoạch trong Quy hoạch Điện VIII[^25].</w:t>
      </w:r>
    </w:p>
    <w:p>
      <w:r>
        <w:t xml:space="preserve">Điểm mấu chốt của giải pháp nằm ở mô hình đầu tư. Thay vì Sun Group tự bỏ vốn, báo cáo khuyến nghị áp dụng mô hình </w:t>
      </w:r>
      <w:r>
        <w:rPr>
          <w:b/>
        </w:rPr>
        <w:t>PPA/DPPA</w:t>
      </w:r>
      <w:r>
        <w:t xml:space="preserve"> (Hợp đồng mua điện trực tiếp) — đối tác quốc tế bỏ vốn đầu tư, xây dựng và vận hành hệ thống; Sun Group ký hợp đồng mua điện dài hạn 20+ năm với giá cố định. Mô hình này đã được Vinpearl áp dụng thành công với Marubeni[^20], và hoàn toàn phù hợp với năng lực của CLP Holdings — tập đoàn điện lực với 125 năm lịch sử, ~23.000 MW công suất phát điện và lưu trữ, hiện đang tìm kiếm cơ hội hợp tác tại Việt Nam[^3].</w:t>
      </w:r>
    </w:p>
    <w:p>
      <w:pPr>
        <w:pStyle w:val="Heading3"/>
        <w:spacing w:before="240" w:after="160"/>
      </w:pPr>
      <w:r>
        <w:rPr>
          <w:rFonts w:ascii="Times New Roman" w:hAnsi="Times New Roman" w:eastAsia="Times New Roman"/>
          <w:color w:val="1A1A2E"/>
          <w:sz w:val="32"/>
        </w:rPr>
        <w:t>Quyết định yêu cầu phê duyệt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w:t>
            </w:r>
          </w:p>
        </w:tc>
        <w:tc>
          <w:tcPr>
            <w:tcW w:type="dxa" w:w="3120"/>
            <w:shd w:fill="E2E8F0" w:val="clear"/>
          </w:tcPr>
          <w:p>
            <w:pPr>
              <w:spacing w:before="60" w:after="60"/>
            </w:pPr>
            <w:r>
              <w:rPr>
                <w:rFonts w:ascii="Times New Roman" w:hAnsi="Times New Roman"/>
                <w:b/>
                <w:sz w:val="20"/>
              </w:rPr>
              <w:t>Nội dung</w:t>
            </w:r>
          </w:p>
        </w:tc>
        <w:tc>
          <w:tcPr>
            <w:tcW w:type="dxa" w:w="3120"/>
            <w:shd w:fill="E2E8F0" w:val="clear"/>
          </w:tcPr>
          <w:p>
            <w:pPr>
              <w:spacing w:before="60" w:after="60"/>
            </w:pPr>
            <w:r>
              <w:rPr>
                <w:rFonts w:ascii="Times New Roman" w:hAnsi="Times New Roman"/>
                <w:b/>
                <w:sz w:val="20"/>
              </w:rPr>
              <w:t>Ưu tiên</w:t>
            </w:r>
          </w:p>
        </w:tc>
      </w:tr>
      <w:tr>
        <w:tc>
          <w:tcPr>
            <w:tcW w:type="dxa" w:w="3120"/>
          </w:tcPr>
          <w:p>
            <w:pPr>
              <w:spacing w:before="60" w:after="60"/>
            </w:pPr>
            <w:r>
              <w:rPr>
                <w:rFonts w:ascii="Times New Roman" w:hAnsi="Times New Roman"/>
                <w:sz w:val="20"/>
              </w:rPr>
              <w:t>1</w:t>
            </w:r>
          </w:p>
        </w:tc>
        <w:tc>
          <w:tcPr>
            <w:tcW w:type="dxa" w:w="3120"/>
          </w:tcPr>
          <w:p>
            <w:pPr>
              <w:spacing w:before="60" w:after="60"/>
            </w:pPr>
            <w:r>
              <w:rPr>
                <w:rFonts w:ascii="Times New Roman" w:hAnsi="Times New Roman"/>
                <w:sz w:val="20"/>
              </w:rPr>
              <w:t>Phê duyệt chủ trương xây dựng chiến lược an ninh năng lượng riêng cho Phú Quốc</w:t>
            </w:r>
          </w:p>
        </w:tc>
        <w:tc>
          <w:tcPr>
            <w:tcW w:type="dxa" w:w="3120"/>
          </w:tcPr>
          <w:p>
            <w:pPr>
              <w:spacing w:before="60" w:after="60"/>
            </w:pPr>
            <w:r>
              <w:rPr>
                <w:rFonts w:ascii="Times New Roman" w:hAnsi="Times New Roman"/>
                <w:sz w:val="20"/>
              </w:rPr>
              <w:t>Khẩn cấp</w:t>
            </w:r>
          </w:p>
        </w:tc>
      </w:tr>
      <w:tr>
        <w:tc>
          <w:tcPr>
            <w:tcW w:type="dxa" w:w="3120"/>
          </w:tcPr>
          <w:p>
            <w:pPr>
              <w:spacing w:before="60" w:after="60"/>
            </w:pPr>
            <w:r>
              <w:rPr>
                <w:rFonts w:ascii="Times New Roman" w:hAnsi="Times New Roman"/>
                <w:sz w:val="20"/>
              </w:rPr>
              <w:t>2</w:t>
            </w:r>
          </w:p>
        </w:tc>
        <w:tc>
          <w:tcPr>
            <w:tcW w:type="dxa" w:w="3120"/>
          </w:tcPr>
          <w:p>
            <w:pPr>
              <w:spacing w:before="60" w:after="60"/>
            </w:pPr>
            <w:r>
              <w:rPr>
                <w:rFonts w:ascii="Times New Roman" w:hAnsi="Times New Roman"/>
                <w:sz w:val="20"/>
              </w:rPr>
              <w:t>Cho phép đàm phán thăm dò (non-binding) với CLP Holdings và các đối tác tiềm năng</w:t>
            </w:r>
          </w:p>
        </w:tc>
        <w:tc>
          <w:tcPr>
            <w:tcW w:type="dxa" w:w="3120"/>
          </w:tcPr>
          <w:p>
            <w:pPr>
              <w:spacing w:before="60" w:after="60"/>
            </w:pPr>
            <w:r>
              <w:rPr>
                <w:rFonts w:ascii="Times New Roman" w:hAnsi="Times New Roman"/>
                <w:sz w:val="20"/>
              </w:rPr>
              <w:t>Cao</w:t>
            </w:r>
          </w:p>
        </w:tc>
      </w:tr>
      <w:tr>
        <w:tc>
          <w:tcPr>
            <w:tcW w:type="dxa" w:w="3120"/>
          </w:tcPr>
          <w:p>
            <w:pPr>
              <w:spacing w:before="60" w:after="60"/>
            </w:pPr>
            <w:r>
              <w:rPr>
                <w:rFonts w:ascii="Times New Roman" w:hAnsi="Times New Roman"/>
                <w:sz w:val="20"/>
              </w:rPr>
              <w:t>3</w:t>
            </w:r>
          </w:p>
        </w:tc>
        <w:tc>
          <w:tcPr>
            <w:tcW w:type="dxa" w:w="3120"/>
          </w:tcPr>
          <w:p>
            <w:pPr>
              <w:spacing w:before="60" w:after="60"/>
            </w:pPr>
            <w:r>
              <w:rPr>
                <w:rFonts w:ascii="Times New Roman" w:hAnsi="Times New Roman"/>
                <w:sz w:val="20"/>
              </w:rPr>
              <w:t>Phê duyệt ngân sách khảo sát thực địa tại sân bay + Bãi Đất Đỏ (Phase 0)</w:t>
            </w:r>
          </w:p>
        </w:tc>
        <w:tc>
          <w:tcPr>
            <w:tcW w:type="dxa" w:w="3120"/>
          </w:tcPr>
          <w:p>
            <w:pPr>
              <w:spacing w:before="60" w:after="60"/>
            </w:pPr>
            <w:r>
              <w:rPr>
                <w:rFonts w:ascii="Times New Roman" w:hAnsi="Times New Roman"/>
                <w:sz w:val="20"/>
              </w:rPr>
              <w:t>Cao</w:t>
            </w:r>
          </w:p>
        </w:tc>
      </w:tr>
    </w:tbl>
    <w:p>
      <w:pPr>
        <w:spacing w:before="0" w:after="80"/>
      </w:pPr>
    </w:p>
    <w:p>
      <w:pPr>
        <w:pStyle w:val="Heading2"/>
        <w:spacing w:before="360" w:after="160"/>
      </w:pPr>
      <w:r>
        <w:rPr>
          <w:rFonts w:ascii="Times New Roman" w:hAnsi="Times New Roman" w:eastAsia="Times New Roman"/>
          <w:b/>
          <w:color w:val="1A1A2E"/>
          <w:sz w:val="36"/>
        </w:rPr>
        <w:t>Áp lực thời gian:</w:t>
      </w:r>
      <w:r>
        <w:rPr>
          <w:rFonts w:ascii="Times New Roman" w:hAnsi="Times New Roman" w:eastAsia="Times New Roman"/>
          <w:color w:val="1A1A2E"/>
          <w:sz w:val="36"/>
        </w:rPr>
        <w:t xml:space="preserve"> APEC Việt Nam dự kiến tháng 11/2027 — còn khoảng 20 tháng. Hệ thống BESS và điện mặt trời cần 6–12 tháng từ quyết định đến vận hành. Trạm biến áp 220 kV mới nhất của EVN cũng chỉ dự kiến hoàn thành Q4/2026, và đường dây 110 kV nội đảo vẫn đang chậm tiến độ[^3]. Nếu muốn nguồn điện đảm bảo sẵn sàng cho APEC, quyết định cần được đưa ra </w:t>
      </w:r>
      <w:r>
        <w:rPr>
          <w:rFonts w:ascii="Times New Roman" w:hAnsi="Times New Roman" w:eastAsia="Times New Roman"/>
          <w:b/>
          <w:color w:val="1A1A2E"/>
          <w:sz w:val="36"/>
        </w:rPr>
        <w:t>trong Q1/2026</w:t>
      </w:r>
      <w:r>
        <w:rPr>
          <w:rFonts w:ascii="Times New Roman" w:hAnsi="Times New Roman" w:eastAsia="Times New Roman"/>
          <w:color w:val="1A1A2E"/>
          <w:sz w:val="36"/>
        </w:rPr>
        <w:t>.</w:t>
      </w:r>
    </w:p>
    <w:p>
      <w:pPr>
        <w:pStyle w:val="Heading2"/>
        <w:spacing w:before="360" w:after="160"/>
      </w:pPr>
      <w:r>
        <w:rPr>
          <w:rFonts w:ascii="Times New Roman" w:hAnsi="Times New Roman" w:eastAsia="Times New Roman"/>
          <w:color w:val="1A1A2E"/>
          <w:sz w:val="36"/>
        </w:rPr>
        <w:t>Phần 1. Hiện trạng lưới điện Phú Quốc — Bức tranh thực tế</w:t>
      </w:r>
    </w:p>
    <w:p>
      <w:pPr>
        <w:pStyle w:val="Heading3"/>
        <w:spacing w:before="240" w:after="160"/>
      </w:pPr>
      <w:r>
        <w:rPr>
          <w:rFonts w:ascii="Times New Roman" w:hAnsi="Times New Roman" w:eastAsia="Times New Roman"/>
          <w:color w:val="1A1A2E"/>
          <w:sz w:val="32"/>
        </w:rPr>
        <w:t>1.1. Hạ tầng cấp điện hiện tại</w:t>
      </w:r>
    </w:p>
    <w:p>
      <w:r>
        <w:t>Phú Quốc hiện được cấp điện từ đất liền qua hai tuyến truyền tải chính. Để hiểu rõ mức độ rủi ro, cần nhìn nhận cả hai tuyến này trong mối quan hệ với nhau — không phải như hai nguồn dự phòng lẫn nhau, mà như hai “ống dẫn” cùng phục vụ một đảo nhưng không có cơ chế tự chuyển đổi.</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Tuyến</w:t>
            </w:r>
          </w:p>
        </w:tc>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Tình trạng</w:t>
            </w:r>
          </w:p>
        </w:tc>
      </w:tr>
      <w:tr>
        <w:tc>
          <w:tcPr>
            <w:tcW w:type="dxa" w:w="3120"/>
          </w:tcPr>
          <w:p>
            <w:pPr>
              <w:spacing w:before="60" w:after="60"/>
            </w:pPr>
            <w:r>
              <w:rPr>
                <w:rFonts w:ascii="Times New Roman" w:hAnsi="Times New Roman"/>
                <w:sz w:val="20"/>
              </w:rPr>
              <w:t>Cáp ngầm 110 kV Hà Tiên – Phú Quốc</w:t>
            </w:r>
          </w:p>
        </w:tc>
        <w:tc>
          <w:tcPr>
            <w:tcW w:type="dxa" w:w="3120"/>
          </w:tcPr>
          <w:p>
            <w:pPr>
              <w:spacing w:before="60" w:after="60"/>
            </w:pPr>
            <w:r>
              <w:rPr>
                <w:rFonts w:ascii="Times New Roman" w:hAnsi="Times New Roman"/>
                <w:sz w:val="20"/>
              </w:rPr>
              <w:t>Dài ~56 km đi qua biển, đưa vào vận hành từ những năm 2010</w:t>
            </w:r>
          </w:p>
        </w:tc>
        <w:tc>
          <w:tcPr>
            <w:tcW w:type="dxa" w:w="3120"/>
          </w:tcPr>
          <w:p>
            <w:pPr>
              <w:spacing w:before="60" w:after="60"/>
            </w:pPr>
            <w:r>
              <w:rPr>
                <w:rFonts w:ascii="Times New Roman" w:hAnsi="Times New Roman"/>
                <w:sz w:val="20"/>
              </w:rPr>
              <w:t>Đang vận hành; đã xảy ra sự cố ngày 29/11/2025[^1]</w:t>
            </w:r>
          </w:p>
        </w:tc>
      </w:tr>
      <w:tr>
        <w:tc>
          <w:tcPr>
            <w:tcW w:type="dxa" w:w="3120"/>
          </w:tcPr>
          <w:p>
            <w:pPr>
              <w:spacing w:before="60" w:after="60"/>
            </w:pPr>
            <w:r>
              <w:rPr>
                <w:rFonts w:ascii="Times New Roman" w:hAnsi="Times New Roman"/>
                <w:sz w:val="20"/>
              </w:rPr>
              <w:t>Đường dây 220 kV vượt biển</w:t>
            </w:r>
          </w:p>
        </w:tc>
        <w:tc>
          <w:tcPr>
            <w:tcW w:type="dxa" w:w="3120"/>
          </w:tcPr>
          <w:p>
            <w:pPr>
              <w:spacing w:before="60" w:after="60"/>
            </w:pPr>
            <w:r>
              <w:rPr>
                <w:rFonts w:ascii="Times New Roman" w:hAnsi="Times New Roman"/>
                <w:sz w:val="20"/>
              </w:rPr>
              <w:t>Tuyến mới, nâng công suất cấp điện lêngấp 5 lầnso với tuyến 110 kV cũ</w:t>
            </w:r>
          </w:p>
        </w:tc>
        <w:tc>
          <w:tcPr>
            <w:tcW w:type="dxa" w:w="3120"/>
          </w:tcPr>
          <w:p>
            <w:pPr>
              <w:spacing w:before="60" w:after="60"/>
            </w:pPr>
            <w:r>
              <w:rPr>
                <w:rFonts w:ascii="Times New Roman" w:hAnsi="Times New Roman"/>
                <w:sz w:val="20"/>
              </w:rPr>
              <w:t>Đã vận hành; dự kiến đáp ứng nhu cầu đến 2035[^6]</w:t>
            </w:r>
          </w:p>
        </w:tc>
      </w:tr>
    </w:tbl>
    <w:p>
      <w:pPr>
        <w:spacing w:before="0" w:after="80"/>
      </w:pPr>
    </w:p>
    <w:p>
      <w:r>
        <w:rPr>
          <w:b/>
        </w:rPr>
        <w:t>Điểm yếu cấu trúc cốt lõi:</w:t>
      </w:r>
      <w:r>
        <w:t xml:space="preserve"> Hai tuyến này </w:t>
      </w:r>
      <w:r>
        <w:rPr>
          <w:b/>
        </w:rPr>
        <w:t>không kết nối vòng kín</w:t>
      </w:r>
      <w:r>
        <w:t xml:space="preserve"> — nghĩa là không thể tự chuyển nguồn khi một tuyến gặp sự cố[^3]. Đây không phải hạn chế mang tính tạm thời mà là đặc điểm cấu trúc của hạ tầng truyền tải ra đảo: toàn bộ Phú Quốc phụ thuộc vào nguồn điện truyền tải từ đất liền qua cáp ngầm dưới biển — loại hạ tầng luôn tiềm ẩn rủi ro từ thiên tai (bão, triều cường), thi công (ép cọc, nạo vét), và sự cố kỹ thuật (già hóa vật liệu, quá tải).</w:t>
      </w:r>
    </w:p>
    <w:p>
      <w:r>
        <w:t xml:space="preserve">Nói cách khác, dù lưới điện được nâng cấp mạnh mẽ, </w:t>
      </w:r>
      <w:r>
        <w:rPr>
          <w:b/>
        </w:rPr>
        <w:t>bản chất phụ thuộc đường truyền vật lý dưới đáy biển</w:t>
      </w:r>
      <w:r>
        <w:t xml:space="preserve"> không thay đổi. Đây chính là “rủi ro sống còn” (existential risk) mà Phần 3 của báo cáo này sẽ đề xuất phương án loại bỏ.</w:t>
      </w:r>
    </w:p>
    <w:p>
      <w:pPr>
        <w:pStyle w:val="Heading3"/>
        <w:spacing w:before="240" w:after="160"/>
      </w:pPr>
      <w:r>
        <w:rPr>
          <w:rFonts w:ascii="Times New Roman" w:hAnsi="Times New Roman" w:eastAsia="Times New Roman"/>
          <w:color w:val="1A1A2E"/>
          <w:sz w:val="32"/>
        </w:rPr>
        <w:t>1.2. Phụ tải và tiêu thụ — Nhu cầu đã vượt xa thiết kế ban đầu</w:t>
      </w:r>
    </w:p>
    <w:p>
      <w:r>
        <w:t>Các chỉ số tiêu thụ điện dưới đây phản ánh thực trạng một hòn đảo đã vượt qua ngưỡng “đảo du lịch” để trở thành một đô thị đang phát triển nóng — với tốc độ tăng trưởng nhu cầu điện thuộc hàng cao nhất cả nước.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Chỉ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Đỉnh phụ tải (Peak demand)</w:t>
            </w:r>
          </w:p>
        </w:tc>
        <w:tc>
          <w:tcPr>
            <w:tcW w:type="dxa" w:w="3120"/>
          </w:tcPr>
          <w:p>
            <w:pPr>
              <w:spacing w:before="60" w:after="60"/>
            </w:pPr>
            <w:r>
              <w:rPr>
                <w:rFonts w:ascii="Times New Roman" w:hAnsi="Times New Roman"/>
                <w:sz w:val="20"/>
              </w:rPr>
              <w:t>110 MW</w:t>
            </w:r>
          </w:p>
        </w:tc>
        <w:tc>
          <w:tcPr>
            <w:tcW w:type="dxa" w:w="3120"/>
          </w:tcPr>
          <w:p>
            <w:pPr>
              <w:spacing w:before="60" w:after="60"/>
            </w:pPr>
            <w:r>
              <w:rPr>
                <w:rFonts w:ascii="Times New Roman" w:hAnsi="Times New Roman"/>
                <w:sz w:val="20"/>
              </w:rPr>
              <w:t>Bản ghi nhớ CLP 23/02/2026, mục “Phụ tải và tiêu thụ”[^3]</w:t>
            </w:r>
          </w:p>
        </w:tc>
      </w:tr>
      <w:tr>
        <w:tc>
          <w:tcPr>
            <w:tcW w:type="dxa" w:w="3120"/>
          </w:tcPr>
          <w:p>
            <w:pPr>
              <w:spacing w:before="60" w:after="60"/>
            </w:pPr>
            <w:r>
              <w:rPr>
                <w:rFonts w:ascii="Times New Roman" w:hAnsi="Times New Roman"/>
                <w:sz w:val="20"/>
              </w:rPr>
              <w:t>Sản lượng tiêu thụ/năm</w:t>
            </w:r>
          </w:p>
        </w:tc>
        <w:tc>
          <w:tcPr>
            <w:tcW w:type="dxa" w:w="3120"/>
          </w:tcPr>
          <w:p>
            <w:pPr>
              <w:spacing w:before="60" w:after="60"/>
            </w:pPr>
            <w:r>
              <w:rPr>
                <w:rFonts w:ascii="Times New Roman" w:hAnsi="Times New Roman"/>
                <w:sz w:val="20"/>
              </w:rPr>
              <w:t>782 triệu kWh</w:t>
            </w:r>
          </w:p>
        </w:tc>
        <w:tc>
          <w:tcPr>
            <w:tcW w:type="dxa" w:w="3120"/>
          </w:tcPr>
          <w:p>
            <w:pPr>
              <w:spacing w:before="60" w:after="60"/>
            </w:pPr>
            <w:r>
              <w:rPr>
                <w:rFonts w:ascii="Times New Roman" w:hAnsi="Times New Roman"/>
                <w:sz w:val="20"/>
              </w:rPr>
              <w:t>Bản ghi nhớ CLP 23/02/2026, mục “Phụ tải và tiêu thụ”[^3]</w:t>
            </w:r>
          </w:p>
        </w:tc>
      </w:tr>
      <w:tr>
        <w:tc>
          <w:tcPr>
            <w:tcW w:type="dxa" w:w="3120"/>
          </w:tcPr>
          <w:p>
            <w:pPr>
              <w:spacing w:before="60" w:after="60"/>
            </w:pPr>
            <w:r>
              <w:rPr>
                <w:rFonts w:ascii="Times New Roman" w:hAnsi="Times New Roman"/>
                <w:sz w:val="20"/>
              </w:rPr>
              <w:t>Tốc độ tăng trưởng nhu cầu</w:t>
            </w:r>
          </w:p>
        </w:tc>
        <w:tc>
          <w:tcPr>
            <w:tcW w:type="dxa" w:w="3120"/>
          </w:tcPr>
          <w:p>
            <w:pPr>
              <w:spacing w:before="60" w:after="60"/>
            </w:pPr>
            <w:r>
              <w:rPr>
                <w:rFonts w:ascii="Times New Roman" w:hAnsi="Times New Roman"/>
                <w:sz w:val="20"/>
              </w:rPr>
              <w:t>11%/năm</w:t>
            </w:r>
          </w:p>
        </w:tc>
        <w:tc>
          <w:tcPr>
            <w:tcW w:type="dxa" w:w="3120"/>
          </w:tcPr>
          <w:p>
            <w:pPr>
              <w:spacing w:before="60" w:after="60"/>
            </w:pPr>
            <w:r>
              <w:rPr>
                <w:rFonts w:ascii="Times New Roman" w:hAnsi="Times New Roman"/>
                <w:sz w:val="20"/>
              </w:rPr>
              <w:t>Bản ghi nhớ CLP 23/02/2026, đoạn mở đầu[^3]</w:t>
            </w:r>
          </w:p>
        </w:tc>
      </w:tr>
      <w:tr>
        <w:tc>
          <w:tcPr>
            <w:tcW w:type="dxa" w:w="3120"/>
          </w:tcPr>
          <w:p>
            <w:pPr>
              <w:spacing w:before="60" w:after="60"/>
            </w:pPr>
            <w:r>
              <w:rPr>
                <w:rFonts w:ascii="Times New Roman" w:hAnsi="Times New Roman"/>
                <w:sz w:val="20"/>
              </w:rPr>
              <w:t>Số hộ sử dụng điện toàn đảo</w:t>
            </w:r>
          </w:p>
        </w:tc>
        <w:tc>
          <w:tcPr>
            <w:tcW w:type="dxa" w:w="3120"/>
          </w:tcPr>
          <w:p>
            <w:pPr>
              <w:spacing w:before="60" w:after="60"/>
            </w:pPr>
            <w:r>
              <w:rPr>
                <w:rFonts w:ascii="Times New Roman" w:hAnsi="Times New Roman"/>
                <w:sz w:val="20"/>
              </w:rPr>
              <w:t>~30.000 hộ</w:t>
            </w:r>
          </w:p>
        </w:tc>
        <w:tc>
          <w:tcPr>
            <w:tcW w:type="dxa" w:w="3120"/>
          </w:tcPr>
          <w:p>
            <w:pPr>
              <w:spacing w:before="60" w:after="60"/>
            </w:pPr>
            <w:r>
              <w:rPr>
                <w:rFonts w:ascii="Times New Roman" w:hAnsi="Times New Roman"/>
                <w:sz w:val="20"/>
              </w:rPr>
              <w:t>VnExpress 29/11/2025[^1]</w:t>
            </w:r>
          </w:p>
        </w:tc>
      </w:tr>
    </w:tbl>
    <w:p>
      <w:pPr>
        <w:spacing w:before="0" w:after="80"/>
      </w:pPr>
    </w:p>
    <w:p>
      <w:r>
        <w:t xml:space="preserve">Để đặt con số 11%/năm trong bối cảnh: đây là tốc độ tăng trưởng cho phép nhu cầu điện </w:t>
      </w:r>
      <w:r>
        <w:rPr>
          <w:b/>
        </w:rPr>
        <w:t>nhân đôi sau mỗi 6–7 năm</w:t>
      </w:r>
      <w:r>
        <w:t xml:space="preserve">. Với đỉnh phụ tải hiện tại 110 MW, nhu cầu sẽ đạt khoảng </w:t>
      </w:r>
      <w:r>
        <w:rPr>
          <w:b/>
        </w:rPr>
        <w:t>135 MW</w:t>
      </w:r>
      <w:r>
        <w:t xml:space="preserve"> vào 2027 và </w:t>
      </w:r>
      <w:r>
        <w:rPr>
          <w:b/>
        </w:rPr>
        <w:t>165 MW</w:t>
      </w:r>
      <w:r>
        <w:t xml:space="preserve"> vào 2029 — chỉ tính tăng trưởng tự nhiên, chưa bao gồm phụ tải đột biến từ các dự án lớn của Sun Group (phân tích chi tiết tại Phần 2).</w:t>
      </w:r>
    </w:p>
    <w:p>
      <w:pPr>
        <w:spacing w:before="80" w:after="80"/>
        <w:ind w:left="850"/>
        <w:pBdr>
          <w:left w:val="single" w:sz="18" w:space="8" w:color="D0D7DE"/>
        </w:pBdr>
      </w:pPr>
      <w:r>
        <w:rPr>
          <w:b/>
          <w:color w:val="6A737D"/>
        </w:rPr>
        <w:t>Phép so sánh:</w:t>
      </w:r>
      <w:r>
        <w:rPr>
          <w:color w:val="6A737D"/>
        </w:rPr>
        <w:t xml:space="preserve"> Với 782 triệu kWh/năm, Phú Quốc tiêu thụ lượng điện tương đương một thành phố cấp tỉnh cỡ trung bình, nhưng lại phải nhận toàn bộ nguồn qua cáp ngầm thay vì lưới điện liên kết nhiều nguồn. Đây là nghịch lý cốt lõi.</w:t>
      </w:r>
    </w:p>
    <w:p>
      <w:pPr>
        <w:pStyle w:val="Heading3"/>
        <w:spacing w:before="240" w:after="160"/>
      </w:pPr>
      <w:r>
        <w:rPr>
          <w:rFonts w:ascii="Times New Roman" w:hAnsi="Times New Roman" w:eastAsia="Times New Roman"/>
          <w:color w:val="1A1A2E"/>
          <w:sz w:val="32"/>
        </w:rPr>
        <w:t>1.3. Các dự án nâng cấp lưới của EVNSPC — Cần nhưng chưa đủ</w:t>
      </w:r>
    </w:p>
    <w:p>
      <w:r>
        <w:t>EVNSPC đang triển khai đầu tư lớn để nâng cấp hạ tầng điện Phú Quốc. Đây là nỗ lực đáng ghi nhận và hoàn toàn cần thiết — nhưng cần phân biệt rõ giữa “tăng dung lượng” và “tăng độ tin cậy.”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Dự án</w:t>
            </w:r>
          </w:p>
        </w:tc>
        <w:tc>
          <w:tcPr>
            <w:tcW w:type="dxa" w:w="3120"/>
            <w:shd w:fill="E2E8F0" w:val="clear"/>
          </w:tcPr>
          <w:p>
            <w:pPr>
              <w:spacing w:before="60" w:after="60"/>
            </w:pPr>
            <w:r>
              <w:rPr>
                <w:rFonts w:ascii="Times New Roman" w:hAnsi="Times New Roman"/>
                <w:b/>
                <w:sz w:val="20"/>
              </w:rPr>
              <w:t>Vốn đầu tư</w:t>
            </w:r>
          </w:p>
        </w:tc>
        <w:tc>
          <w:tcPr>
            <w:tcW w:type="dxa" w:w="3120"/>
            <w:shd w:fill="E2E8F0" w:val="clear"/>
          </w:tcPr>
          <w:p>
            <w:pPr>
              <w:spacing w:before="60" w:after="60"/>
            </w:pPr>
            <w:r>
              <w:rPr>
                <w:rFonts w:ascii="Times New Roman" w:hAnsi="Times New Roman"/>
                <w:b/>
                <w:sz w:val="20"/>
              </w:rPr>
              <w:t>Tình trạng</w:t>
            </w:r>
          </w:p>
        </w:tc>
      </w:tr>
      <w:tr>
        <w:tc>
          <w:tcPr>
            <w:tcW w:type="dxa" w:w="3120"/>
          </w:tcPr>
          <w:p>
            <w:pPr>
              <w:spacing w:before="60" w:after="60"/>
            </w:pPr>
            <w:r>
              <w:rPr>
                <w:rFonts w:ascii="Times New Roman" w:hAnsi="Times New Roman"/>
                <w:sz w:val="20"/>
              </w:rPr>
              <w:t>Trạm biến áp 220 kV Phú Quốc</w:t>
            </w:r>
          </w:p>
        </w:tc>
        <w:tc>
          <w:tcPr>
            <w:tcW w:type="dxa" w:w="3120"/>
          </w:tcPr>
          <w:p>
            <w:pPr>
              <w:spacing w:before="60" w:after="60"/>
            </w:pPr>
            <w:r>
              <w:rPr>
                <w:rFonts w:ascii="Times New Roman" w:hAnsi="Times New Roman"/>
                <w:sz w:val="20"/>
              </w:rPr>
              <w:t>Nằm trong tổng vốn 9.160 tỷ VND</w:t>
            </w:r>
          </w:p>
        </w:tc>
        <w:tc>
          <w:tcPr>
            <w:tcW w:type="dxa" w:w="3120"/>
          </w:tcPr>
          <w:p>
            <w:pPr>
              <w:spacing w:before="60" w:after="60"/>
            </w:pPr>
            <w:r>
              <w:rPr>
                <w:rFonts w:ascii="Times New Roman" w:hAnsi="Times New Roman"/>
                <w:sz w:val="20"/>
              </w:rPr>
              <w:t>Khởi công 12/2025, dự kiến hoàn thành Q4/2026[^7]</w:t>
            </w:r>
          </w:p>
        </w:tc>
      </w:tr>
      <w:tr>
        <w:tc>
          <w:tcPr>
            <w:tcW w:type="dxa" w:w="3120"/>
          </w:tcPr>
          <w:p>
            <w:pPr>
              <w:spacing w:before="60" w:after="60"/>
            </w:pPr>
            <w:r>
              <w:rPr>
                <w:rFonts w:ascii="Times New Roman" w:hAnsi="Times New Roman"/>
                <w:sz w:val="20"/>
              </w:rPr>
              <w:t>Đường dây 110 kV Phú Quốc – Nam Phú Quốc</w:t>
            </w:r>
          </w:p>
        </w:tc>
        <w:tc>
          <w:tcPr>
            <w:tcW w:type="dxa" w:w="3120"/>
          </w:tcPr>
          <w:p>
            <w:pPr>
              <w:spacing w:before="60" w:after="60"/>
            </w:pPr>
            <w:r>
              <w:rPr>
                <w:rFonts w:ascii="Times New Roman" w:hAnsi="Times New Roman"/>
                <w:sz w:val="20"/>
              </w:rPr>
              <w:t>Nằm trong tổng vốn 9.160 tỷ VND</w:t>
            </w:r>
          </w:p>
        </w:tc>
        <w:tc>
          <w:tcPr>
            <w:tcW w:type="dxa" w:w="3120"/>
          </w:tcPr>
          <w:p>
            <w:pPr>
              <w:spacing w:before="60" w:after="60"/>
            </w:pPr>
            <w:r>
              <w:rPr>
                <w:rFonts w:ascii="Times New Roman" w:hAnsi="Times New Roman"/>
                <w:sz w:val="20"/>
              </w:rPr>
              <w:t>Đã ký hợp đồng 07/2023, thi công 210 ngày[^8]</w:t>
            </w:r>
          </w:p>
        </w:tc>
      </w:tr>
      <w:tr>
        <w:tc>
          <w:tcPr>
            <w:tcW w:type="dxa" w:w="3120"/>
          </w:tcPr>
          <w:p>
            <w:pPr>
              <w:spacing w:before="60" w:after="60"/>
            </w:pPr>
            <w:r>
              <w:rPr>
                <w:rFonts w:ascii="Times New Roman" w:hAnsi="Times New Roman"/>
                <w:sz w:val="20"/>
              </w:rPr>
              <w:t>Tổng đầu tư 3 công trình cấp điện Phú Quốc</w:t>
            </w:r>
          </w:p>
        </w:tc>
        <w:tc>
          <w:tcPr>
            <w:tcW w:type="dxa" w:w="3120"/>
          </w:tcPr>
          <w:p>
            <w:pPr>
              <w:spacing w:before="60" w:after="60"/>
            </w:pPr>
            <w:r>
              <w:rPr>
                <w:rFonts w:ascii="Times New Roman" w:hAnsi="Times New Roman"/>
                <w:sz w:val="20"/>
              </w:rPr>
              <w:t>9.160 tỷ VND(~436 triệu USD)</w:t>
            </w:r>
          </w:p>
        </w:tc>
        <w:tc>
          <w:tcPr>
            <w:tcW w:type="dxa" w:w="3120"/>
          </w:tcPr>
          <w:p>
            <w:pPr>
              <w:spacing w:before="60" w:after="60"/>
            </w:pPr>
            <w:r>
              <w:rPr>
                <w:rFonts w:ascii="Times New Roman" w:hAnsi="Times New Roman"/>
                <w:sz w:val="20"/>
              </w:rPr>
              <w:t>Đang triển khai[^4]</w:t>
            </w:r>
          </w:p>
        </w:tc>
      </w:tr>
    </w:tbl>
    <w:p>
      <w:pPr>
        <w:spacing w:before="0" w:after="80"/>
      </w:pPr>
    </w:p>
    <w:p>
      <w:r>
        <w:rPr>
          <w:b/>
        </w:rPr>
        <w:t>Phân tích:</w:t>
      </w:r>
      <w:r>
        <w:t xml:space="preserve"> Tổng đầu tư 436 triệu USD là con số ấn tượng, cho thấy EVNSPC nhận thức rõ tầm quan trọng của Phú Quốc. Tuy nhiên, bản chất của các dự án này là </w:t>
      </w:r>
      <w:r>
        <w:rPr>
          <w:b/>
        </w:rPr>
        <w:t>tăng dung lượng đường truyền</w:t>
      </w:r>
      <w:r>
        <w:t xml:space="preserve"> — tức nâng công suất nguồn cấp từ đất liền. Điều này cần thiết nhưng </w:t>
      </w:r>
      <w:r>
        <w:rPr>
          <w:b/>
        </w:rPr>
        <w:t>không giải quyết</w:t>
      </w:r>
      <w:r>
        <w:t xml:space="preserve"> điểm yếu cấu trúc căn bản: toàn bộ đảo vẫn phụ thuộc 100% vào nguồn điện truyền tải từ xa. Khi cáp ngầm hoặc đường dây gặp sự cố — dù vì bất kỳ lý do gì — toàn đảo vẫn mất điện, bất kể dung lượng lớn đến đâu.</w:t>
      </w:r>
    </w:p>
    <w:p>
      <w:r>
        <w:t xml:space="preserve">Một cách hình dung: EVNSPC đang mở rộng đường ống nước, nhưng vấn đề không phải ống nhỏ mà là </w:t>
      </w:r>
      <w:r>
        <w:rPr>
          <w:b/>
        </w:rPr>
        <w:t>không có bể chứa dự phòng khi ống bị vỡ</w:t>
      </w:r>
      <w:r>
        <w:t>. Giải pháp BESS + năng lượng tái tạo tại chỗ (Phần 3) chính là “bể chứa” mà hệ thống đang thiếu.</w:t>
      </w:r>
    </w:p>
    <w:p>
      <w:r>
        <w:t>Ngoài ra, cần lưu ý bản ghi nhớ CLP ngày 23/02/2026 nhận định rằng “hạ tầng lưới nâng cấp liên tục bị chậm tiến độ”[^3] — yếu tố mà Sun Group không kiểm soát được, càng khẳng định sự cần thiết của giải pháp tự chủ.</w:t>
      </w:r>
    </w:p>
    <w:p>
      <w:pPr>
        <w:pStyle w:val="Heading3"/>
        <w:spacing w:before="240" w:after="160"/>
      </w:pPr>
      <w:r>
        <w:rPr>
          <w:rFonts w:ascii="Times New Roman" w:hAnsi="Times New Roman" w:eastAsia="Times New Roman"/>
          <w:color w:val="1A1A2E"/>
          <w:sz w:val="32"/>
        </w:rPr>
        <w:t>1.4. Bài học từ sự cố ngày 29/11/2025 — “Stress test” ngoài kế hoạch</w:t>
      </w:r>
    </w:p>
    <w:p>
      <w:r>
        <w:t>Ngày 29 tháng 11 năm 2025, tuyến cáp ngầm 110 kV Hà Tiên – Phú Quốc bị gián đoạn do đơn vị thi công đường ven biển vi phạm hành lang an toàn lưới điện khi ép cọc[^9]. Sự cố này, dù không phải thiên tai mà chỉ do sơ suất thi công, đã phơi bày toàn bộ điểm yếu hệ thống.</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Tác động</w:t>
            </w:r>
          </w:p>
        </w:tc>
        <w:tc>
          <w:tcPr>
            <w:tcW w:type="dxa" w:w="4680"/>
            <w:shd w:fill="E2E8F0" w:val="clear"/>
          </w:tcPr>
          <w:p>
            <w:pPr>
              <w:spacing w:before="60" w:after="60"/>
            </w:pPr>
            <w:r>
              <w:rPr>
                <w:rFonts w:ascii="Times New Roman" w:hAnsi="Times New Roman"/>
                <w:b/>
                <w:sz w:val="20"/>
              </w:rPr>
              <w:t>Chi tiết</w:t>
            </w:r>
          </w:p>
        </w:tc>
      </w:tr>
      <w:tr>
        <w:tc>
          <w:tcPr>
            <w:tcW w:type="dxa" w:w="4680"/>
          </w:tcPr>
          <w:p>
            <w:pPr>
              <w:spacing w:before="60" w:after="60"/>
            </w:pPr>
            <w:r>
              <w:rPr>
                <w:rFonts w:ascii="Times New Roman" w:hAnsi="Times New Roman"/>
                <w:sz w:val="20"/>
              </w:rPr>
              <w:t>Quy mô mất điện</w:t>
            </w:r>
          </w:p>
        </w:tc>
        <w:tc>
          <w:tcPr>
            <w:tcW w:type="dxa" w:w="4680"/>
          </w:tcPr>
          <w:p>
            <w:pPr>
              <w:spacing w:before="60" w:after="60"/>
            </w:pPr>
            <w:r>
              <w:rPr>
                <w:rFonts w:ascii="Times New Roman" w:hAnsi="Times New Roman"/>
                <w:sz w:val="20"/>
              </w:rPr>
              <w:t>Gần30.000 hộ dântoàn đảo bị ảnh hưởng[^1]</w:t>
            </w:r>
          </w:p>
        </w:tc>
      </w:tr>
      <w:tr>
        <w:tc>
          <w:tcPr>
            <w:tcW w:type="dxa" w:w="4680"/>
          </w:tcPr>
          <w:p>
            <w:pPr>
              <w:spacing w:before="60" w:after="60"/>
            </w:pPr>
            <w:r>
              <w:rPr>
                <w:rFonts w:ascii="Times New Roman" w:hAnsi="Times New Roman"/>
                <w:sz w:val="20"/>
              </w:rPr>
              <w:t>Khu vực trọng điểm</w:t>
            </w:r>
          </w:p>
        </w:tc>
        <w:tc>
          <w:tcPr>
            <w:tcW w:type="dxa" w:w="4680"/>
          </w:tcPr>
          <w:p>
            <w:pPr>
              <w:spacing w:before="60" w:after="60"/>
            </w:pPr>
            <w:r>
              <w:rPr>
                <w:rFonts w:ascii="Times New Roman" w:hAnsi="Times New Roman"/>
                <w:sz w:val="20"/>
              </w:rPr>
              <w:t>Dương Đông, Cửa Cạn, Cửa Dương, Hàm Ninh, toàn bộ Bắc đảo[^10]</w:t>
            </w:r>
          </w:p>
        </w:tc>
      </w:tr>
      <w:tr>
        <w:tc>
          <w:tcPr>
            <w:tcW w:type="dxa" w:w="4680"/>
          </w:tcPr>
          <w:p>
            <w:pPr>
              <w:spacing w:before="60" w:after="60"/>
            </w:pPr>
            <w:r>
              <w:rPr>
                <w:rFonts w:ascii="Times New Roman" w:hAnsi="Times New Roman"/>
                <w:sz w:val="20"/>
              </w:rPr>
              <w:t>Thời gian gián đoạn</w:t>
            </w:r>
          </w:p>
        </w:tc>
        <w:tc>
          <w:tcPr>
            <w:tcW w:type="dxa" w:w="4680"/>
          </w:tcPr>
          <w:p>
            <w:pPr>
              <w:spacing w:before="60" w:after="60"/>
            </w:pPr>
            <w:r>
              <w:rPr>
                <w:rFonts w:ascii="Times New Roman" w:hAnsi="Times New Roman"/>
                <w:sz w:val="20"/>
              </w:rPr>
              <w:t>Nhiều khu vực mất điện liên tục30–40 giờ; toàn bộ Bắc đảo gián đoạn nước sạch[^11]</w:t>
            </w:r>
          </w:p>
        </w:tc>
      </w:tr>
      <w:tr>
        <w:tc>
          <w:tcPr>
            <w:tcW w:type="dxa" w:w="4680"/>
          </w:tcPr>
          <w:p>
            <w:pPr>
              <w:spacing w:before="60" w:after="60"/>
            </w:pPr>
            <w:r>
              <w:rPr>
                <w:rFonts w:ascii="Times New Roman" w:hAnsi="Times New Roman"/>
                <w:sz w:val="20"/>
              </w:rPr>
              <w:t>Ứng phó</w:t>
            </w:r>
          </w:p>
        </w:tc>
        <w:tc>
          <w:tcPr>
            <w:tcW w:type="dxa" w:w="4680"/>
          </w:tcPr>
          <w:p>
            <w:pPr>
              <w:spacing w:before="60" w:after="60"/>
            </w:pPr>
            <w:r>
              <w:rPr>
                <w:rFonts w:ascii="Times New Roman" w:hAnsi="Times New Roman"/>
                <w:sz w:val="20"/>
              </w:rPr>
              <w:t>EVNSPC huy động máy phát diesel từ đất liền vận chuyển về đảo[^12]</w:t>
            </w:r>
          </w:p>
        </w:tc>
      </w:tr>
      <w:tr>
        <w:tc>
          <w:tcPr>
            <w:tcW w:type="dxa" w:w="4680"/>
          </w:tcPr>
          <w:p>
            <w:pPr>
              <w:spacing w:before="60" w:after="60"/>
            </w:pPr>
            <w:r>
              <w:rPr>
                <w:rFonts w:ascii="Times New Roman" w:hAnsi="Times New Roman"/>
                <w:sz w:val="20"/>
              </w:rPr>
              <w:t>Chi phí ứng phó resort</w:t>
            </w:r>
          </w:p>
        </w:tc>
        <w:tc>
          <w:tcPr>
            <w:tcW w:type="dxa" w:w="4680"/>
          </w:tcPr>
          <w:p>
            <w:pPr>
              <w:spacing w:before="60" w:after="60"/>
            </w:pPr>
            <w:r>
              <w:rPr>
                <w:rFonts w:ascii="Times New Roman" w:hAnsi="Times New Roman"/>
                <w:sz w:val="20"/>
              </w:rPr>
              <w:t>Thuê máy phát diesel giá32 triệu VND/ngày/máy[^3]</w:t>
            </w:r>
          </w:p>
        </w:tc>
      </w:tr>
      <w:tr>
        <w:tc>
          <w:tcPr>
            <w:tcW w:type="dxa" w:w="4680"/>
          </w:tcPr>
          <w:p>
            <w:pPr>
              <w:spacing w:before="60" w:after="60"/>
            </w:pPr>
            <w:r>
              <w:rPr>
                <w:rFonts w:ascii="Times New Roman" w:hAnsi="Times New Roman"/>
                <w:sz w:val="20"/>
              </w:rPr>
              <w:t>Thời gian khắc phục</w:t>
            </w:r>
          </w:p>
        </w:tc>
        <w:tc>
          <w:tcPr>
            <w:tcW w:type="dxa" w:w="4680"/>
          </w:tcPr>
          <w:p>
            <w:pPr>
              <w:spacing w:before="60" w:after="60"/>
            </w:pPr>
            <w:r>
              <w:rPr>
                <w:rFonts w:ascii="Times New Roman" w:hAnsi="Times New Roman"/>
                <w:sz w:val="20"/>
              </w:rPr>
              <w:t>Dự kiến mất~1 thángsửa chữa cáp ngầm trong điều kiện thời tiết thuận lợi[^13]</w:t>
            </w:r>
          </w:p>
        </w:tc>
      </w:tr>
      <w:tr>
        <w:tc>
          <w:tcPr>
            <w:tcW w:type="dxa" w:w="4680"/>
          </w:tcPr>
          <w:p>
            <w:pPr>
              <w:spacing w:before="60" w:after="60"/>
            </w:pPr>
            <w:r>
              <w:rPr>
                <w:rFonts w:ascii="Times New Roman" w:hAnsi="Times New Roman"/>
                <w:sz w:val="20"/>
              </w:rPr>
              <w:t>Chi phí bồi thường</w:t>
            </w:r>
          </w:p>
        </w:tc>
        <w:tc>
          <w:tcPr>
            <w:tcW w:type="dxa" w:w="4680"/>
          </w:tcPr>
          <w:p>
            <w:pPr>
              <w:spacing w:before="60" w:after="60"/>
            </w:pPr>
            <w:r>
              <w:rPr>
                <w:rFonts w:ascii="Times New Roman" w:hAnsi="Times New Roman"/>
                <w:sz w:val="20"/>
              </w:rPr>
              <w:t>Đơn vị gây sự cố tạm ứng2,4 tỷ VNDđể sửa chữa[^14]</w:t>
            </w:r>
          </w:p>
        </w:tc>
      </w:tr>
    </w:tbl>
    <w:p>
      <w:pPr>
        <w:spacing w:before="0" w:after="80"/>
      </w:pPr>
    </w:p>
    <w:p>
      <w:r>
        <w:rPr>
          <w:b/>
        </w:rPr>
        <w:t>Phân tích sâu:</w:t>
      </w:r>
      <w:r>
        <w:t xml:space="preserve"> Sự cố này hoạt động như một “stress test” ngoài kế hoạch cho hạ tầng điện Phú Quốc, và kết quả cho thấy hệ thống </w:t>
      </w:r>
      <w:r>
        <w:rPr>
          <w:b/>
        </w:rPr>
        <w:t>đã trượt</w:t>
      </w:r>
      <w:r>
        <w:t>. Một số điểm đáng lưu ý:</w:t>
      </w:r>
    </w:p>
    <w:p>
      <w:pPr>
        <w:spacing w:after="40" w:before="20"/>
        <w:ind w:left="720" w:hanging="357"/>
      </w:pPr>
      <w:r>
        <w:rPr>
          <w:sz w:val="20"/>
        </w:rPr>
        <w:t xml:space="preserve">• </w:t>
      </w:r>
      <w:r>
        <w:rPr>
          <w:b/>
        </w:rPr>
        <w:t>Nguyên nhân tầm thường, hậu quả nghiêm trọng.</w:t>
      </w:r>
      <w:r>
        <w:t>Đây không phải siêu bão hay động đất — chỉ là ép cọc thi công đường. Với quy mô xây dựng đang bùng nổ tại Phú Quốc, nguy cơ sự cố tương tự sẽ tăng, không giảm.</w:t>
      </w:r>
    </w:p>
    <w:p>
      <w:pPr>
        <w:spacing w:after="40" w:before="20"/>
        <w:ind w:left="720" w:hanging="357"/>
      </w:pPr>
      <w:r>
        <w:rPr>
          <w:sz w:val="20"/>
        </w:rPr>
        <w:t xml:space="preserve">• </w:t>
      </w:r>
      <w:r>
        <w:rPr>
          <w:b/>
        </w:rPr>
        <w:t>Không có phương án dự phòng tại chỗ.</w:t>
      </w:r>
      <w:r>
        <w:t>Toàn bộ phương án ứng phó là vận chuyển máy phát diesel từ đất liền — mất thời gian, chi phí cao (32 triệu VND/máy/ngày[^3]), gây ô nhiễm tiếng ồn và khí thải ngay giữa khu du lịch.</w:t>
      </w:r>
    </w:p>
    <w:p>
      <w:pPr>
        <w:spacing w:after="40" w:before="20"/>
        <w:ind w:left="720" w:hanging="357"/>
      </w:pPr>
      <w:r>
        <w:rPr>
          <w:sz w:val="20"/>
        </w:rPr>
        <w:t xml:space="preserve">• </w:t>
      </w:r>
      <w:r>
        <w:rPr>
          <w:b/>
        </w:rPr>
        <w:t>Thời gian khắc phục dài không thể chấp nhận.</w:t>
      </w:r>
      <w:r>
        <w:t>Dự kiến 1 tháng sửa chữa cáp ngầm[^13] — nếu trùng mùa cao điểm du lịch hoặc sự kiện quốc tế, thiệt hại kinh tế sẽ lên tới hàng trăm tỷ VND.</w:t>
      </w:r>
    </w:p>
    <w:p>
      <w:pPr>
        <w:spacing w:after="40" w:before="20"/>
        <w:ind w:left="720" w:hanging="357"/>
      </w:pPr>
      <w:r>
        <w:rPr>
          <w:sz w:val="20"/>
        </w:rPr>
        <w:t xml:space="preserve">• </w:t>
      </w:r>
      <w:r>
        <w:rPr>
          <w:b/>
        </w:rPr>
        <w:t>Du khách phải di dời.</w:t>
      </w:r>
      <w:r>
        <w:t>Bản ghi nhớ CLP ghi nhận tình trạng “du khách phải di dời” và “resort thuê máy phát diesel từ đất liền”[^3] — hình ảnh hoàn toàn trái ngược với định vị thương hiệu resort 5 sao quốc tế.</w:t>
      </w:r>
    </w:p>
    <w:p>
      <w:pPr>
        <w:pStyle w:val="Heading2"/>
        <w:spacing w:before="360" w:after="160"/>
      </w:pPr>
      <w:r>
        <w:rPr>
          <w:rFonts w:ascii="Times New Roman" w:hAnsi="Times New Roman" w:eastAsia="Times New Roman"/>
          <w:b/>
          <w:color w:val="1A1A2E"/>
          <w:sz w:val="36"/>
        </w:rPr>
        <w:t>Bài học then chốt:</w:t>
      </w:r>
      <w:r>
        <w:rPr>
          <w:rFonts w:ascii="Times New Roman" w:hAnsi="Times New Roman" w:eastAsia="Times New Roman"/>
          <w:color w:val="1A1A2E"/>
          <w:sz w:val="36"/>
        </w:rPr>
        <w:t xml:space="preserve"> Sự cố xảy ra khi đỉnh phụ tải mới chỉ đạt 110 MW. Khi nhu cầu tăng lên 167–192 MW (xem Phần 2), sự cố tương tự sẽ gây hậu quả nặng nề gấp nhiều lần — đặc biệt nếu trùng thời điểm APEC 2027 với phái đoàn 21 nền kinh tế có mặt trên đảo. Rủi ro không chỉ là tài chính, mà còn là </w:t>
      </w:r>
      <w:r>
        <w:rPr>
          <w:rFonts w:ascii="Times New Roman" w:hAnsi="Times New Roman" w:eastAsia="Times New Roman"/>
          <w:b/>
          <w:color w:val="1A1A2E"/>
          <w:sz w:val="36"/>
        </w:rPr>
        <w:t>uy tín quốc gia</w:t>
      </w:r>
      <w:r>
        <w:rPr>
          <w:rFonts w:ascii="Times New Roman" w:hAnsi="Times New Roman" w:eastAsia="Times New Roman"/>
          <w:color w:val="1A1A2E"/>
          <w:sz w:val="36"/>
        </w:rPr>
        <w:t>.</w:t>
      </w:r>
    </w:p>
    <w:p>
      <w:pPr>
        <w:pStyle w:val="Heading2"/>
        <w:spacing w:before="360" w:after="160"/>
      </w:pPr>
      <w:r>
        <w:rPr>
          <w:rFonts w:ascii="Times New Roman" w:hAnsi="Times New Roman" w:eastAsia="Times New Roman"/>
          <w:color w:val="1A1A2E"/>
          <w:sz w:val="36"/>
        </w:rPr>
        <w:t>Phần 2. Đánh giá rủi ro năng lượng cho danh mục đầu tư Sun Group</w:t>
      </w:r>
    </w:p>
    <w:p>
      <w:pPr>
        <w:pStyle w:val="Heading3"/>
        <w:spacing w:before="240" w:after="160"/>
      </w:pPr>
      <w:r>
        <w:rPr>
          <w:rFonts w:ascii="Times New Roman" w:hAnsi="Times New Roman" w:eastAsia="Times New Roman"/>
          <w:color w:val="1A1A2E"/>
          <w:sz w:val="32"/>
        </w:rPr>
        <w:t>2.1. Danh mục đầu tư tại Phú Quốc giai đoạn 2025–2027</w:t>
      </w:r>
    </w:p>
    <w:p>
      <w:r>
        <w:t>Trước khi phân tích rủi ro, cần nhìn nhận đầy đủ quy mô danh mục đầu tư mà Sun Group đang triển khai tại Phú Quốc. Đây không phải một dự án đơn lẻ, mà là một hệ sinh thái phức hợp — từ nghỉ dưỡng, hàng không, hội nghị đến vận tải — tất cả chia sẻ chung một hạ tầng năng lượng.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Dự án</w:t>
            </w:r>
          </w:p>
        </w:tc>
        <w:tc>
          <w:tcPr>
            <w:tcW w:type="dxa" w:w="3120"/>
            <w:shd w:fill="E2E8F0" w:val="clear"/>
          </w:tcPr>
          <w:p>
            <w:pPr>
              <w:spacing w:before="60" w:after="60"/>
            </w:pPr>
            <w:r>
              <w:rPr>
                <w:rFonts w:ascii="Times New Roman" w:hAnsi="Times New Roman"/>
                <w:b/>
                <w:sz w:val="20"/>
              </w:rPr>
              <w:t>Quy mô</w:t>
            </w:r>
          </w:p>
        </w:tc>
        <w:tc>
          <w:tcPr>
            <w:tcW w:type="dxa" w:w="3120"/>
            <w:shd w:fill="E2E8F0" w:val="clear"/>
          </w:tcPr>
          <w:p>
            <w:pPr>
              <w:spacing w:before="60" w:after="60"/>
            </w:pPr>
            <w:r>
              <w:rPr>
                <w:rFonts w:ascii="Times New Roman" w:hAnsi="Times New Roman"/>
                <w:b/>
                <w:sz w:val="20"/>
              </w:rPr>
              <w:t>Dự kiến vận hành</w:t>
            </w:r>
          </w:p>
        </w:tc>
      </w:tr>
      <w:tr>
        <w:tc>
          <w:tcPr>
            <w:tcW w:type="dxa" w:w="3120"/>
          </w:tcPr>
          <w:p>
            <w:pPr>
              <w:spacing w:before="60" w:after="60"/>
            </w:pPr>
            <w:r>
              <w:rPr>
                <w:rFonts w:ascii="Times New Roman" w:hAnsi="Times New Roman"/>
                <w:sz w:val="20"/>
              </w:rPr>
              <w:t>Tổ hợp Bãi Đất Đỏ</w:t>
            </w:r>
          </w:p>
        </w:tc>
        <w:tc>
          <w:tcPr>
            <w:tcW w:type="dxa" w:w="3120"/>
          </w:tcPr>
          <w:p>
            <w:pPr>
              <w:spacing w:before="60" w:after="60"/>
            </w:pPr>
            <w:r>
              <w:rPr>
                <w:rFonts w:ascii="Times New Roman" w:hAnsi="Times New Roman"/>
                <w:sz w:val="20"/>
              </w:rPr>
              <w:t>15 tòa tháp 5 sao, 13 thương hiệu quốc tế, ~12.000 phòng</w:t>
            </w:r>
          </w:p>
        </w:tc>
        <w:tc>
          <w:tcPr>
            <w:tcW w:type="dxa" w:w="3120"/>
          </w:tcPr>
          <w:p>
            <w:pPr>
              <w:spacing w:before="60" w:after="60"/>
            </w:pPr>
            <w:r>
              <w:rPr>
                <w:rFonts w:ascii="Times New Roman" w:hAnsi="Times New Roman"/>
                <w:sz w:val="20"/>
              </w:rPr>
              <w:t>2026–2027</w:t>
            </w:r>
          </w:p>
        </w:tc>
      </w:tr>
      <w:tr>
        <w:tc>
          <w:tcPr>
            <w:tcW w:type="dxa" w:w="3120"/>
          </w:tcPr>
          <w:p>
            <w:pPr>
              <w:spacing w:before="60" w:after="60"/>
            </w:pPr>
            <w:r>
              <w:rPr>
                <w:rFonts w:ascii="Times New Roman" w:hAnsi="Times New Roman"/>
                <w:sz w:val="20"/>
              </w:rPr>
              <w:t>Núi Ông Quán</w:t>
            </w:r>
          </w:p>
        </w:tc>
        <w:tc>
          <w:tcPr>
            <w:tcW w:type="dxa" w:w="3120"/>
          </w:tcPr>
          <w:p>
            <w:pPr>
              <w:spacing w:before="60" w:after="60"/>
            </w:pPr>
            <w:r>
              <w:rPr>
                <w:rFonts w:ascii="Times New Roman" w:hAnsi="Times New Roman"/>
                <w:sz w:val="20"/>
              </w:rPr>
              <w:t>Khu du lịch nghỉ dưỡng</w:t>
            </w:r>
          </w:p>
        </w:tc>
        <w:tc>
          <w:tcPr>
            <w:tcW w:type="dxa" w:w="3120"/>
          </w:tcPr>
          <w:p>
            <w:pPr>
              <w:spacing w:before="60" w:after="60"/>
            </w:pPr>
            <w:r>
              <w:rPr>
                <w:rFonts w:ascii="Times New Roman" w:hAnsi="Times New Roman"/>
                <w:sz w:val="20"/>
              </w:rPr>
              <w:t>2026–2027</w:t>
            </w:r>
          </w:p>
        </w:tc>
      </w:tr>
      <w:tr>
        <w:tc>
          <w:tcPr>
            <w:tcW w:type="dxa" w:w="3120"/>
          </w:tcPr>
          <w:p>
            <w:pPr>
              <w:spacing w:before="60" w:after="60"/>
            </w:pPr>
            <w:r>
              <w:rPr>
                <w:rFonts w:ascii="Times New Roman" w:hAnsi="Times New Roman"/>
                <w:sz w:val="20"/>
              </w:rPr>
              <w:t>Sân bay Phú Quốc(mở rộng)</w:t>
            </w:r>
          </w:p>
        </w:tc>
        <w:tc>
          <w:tcPr>
            <w:tcW w:type="dxa" w:w="3120"/>
          </w:tcPr>
          <w:p>
            <w:pPr>
              <w:spacing w:before="60" w:after="60"/>
            </w:pPr>
            <w:r>
              <w:rPr>
                <w:rFonts w:ascii="Times New Roman" w:hAnsi="Times New Roman"/>
                <w:sz w:val="20"/>
              </w:rPr>
              <w:t>Nhà ga T2, đường băng thứ hai; Sun Airport vận hành từ 01/01/2026[^3]</w:t>
            </w:r>
          </w:p>
        </w:tc>
        <w:tc>
          <w:tcPr>
            <w:tcW w:type="dxa" w:w="3120"/>
          </w:tcPr>
          <w:p>
            <w:pPr>
              <w:spacing w:before="60" w:after="60"/>
            </w:pPr>
            <w:r>
              <w:rPr>
                <w:rFonts w:ascii="Times New Roman" w:hAnsi="Times New Roman"/>
                <w:sz w:val="20"/>
              </w:rPr>
              <w:t>2026–2027</w:t>
            </w:r>
          </w:p>
        </w:tc>
      </w:tr>
      <w:tr>
        <w:tc>
          <w:tcPr>
            <w:tcW w:type="dxa" w:w="3120"/>
          </w:tcPr>
          <w:p>
            <w:pPr>
              <w:spacing w:before="60" w:after="60"/>
            </w:pPr>
            <w:r>
              <w:rPr>
                <w:rFonts w:ascii="Times New Roman" w:hAnsi="Times New Roman"/>
                <w:sz w:val="20"/>
              </w:rPr>
              <w:t>Trung tâm Hội nghị APEC</w:t>
            </w:r>
          </w:p>
        </w:tc>
        <w:tc>
          <w:tcPr>
            <w:tcW w:type="dxa" w:w="3120"/>
          </w:tcPr>
          <w:p>
            <w:pPr>
              <w:spacing w:before="60" w:after="60"/>
            </w:pPr>
            <w:r>
              <w:rPr>
                <w:rFonts w:ascii="Times New Roman" w:hAnsi="Times New Roman"/>
                <w:sz w:val="20"/>
              </w:rPr>
              <w:t>6.500 chỗ + Nhà hát 4.000 chỗ</w:t>
            </w:r>
          </w:p>
        </w:tc>
        <w:tc>
          <w:tcPr>
            <w:tcW w:type="dxa" w:w="3120"/>
          </w:tcPr>
          <w:p>
            <w:pPr>
              <w:spacing w:before="60" w:after="60"/>
            </w:pPr>
            <w:r>
              <w:rPr>
                <w:rFonts w:ascii="Times New Roman" w:hAnsi="Times New Roman"/>
                <w:sz w:val="20"/>
              </w:rPr>
              <w:t>Trước 11/2027</w:t>
            </w:r>
          </w:p>
        </w:tc>
      </w:tr>
      <w:tr>
        <w:tc>
          <w:tcPr>
            <w:tcW w:type="dxa" w:w="3120"/>
          </w:tcPr>
          <w:p>
            <w:pPr>
              <w:spacing w:before="60" w:after="60"/>
            </w:pPr>
            <w:r>
              <w:rPr>
                <w:rFonts w:ascii="Times New Roman" w:hAnsi="Times New Roman"/>
                <w:sz w:val="20"/>
              </w:rPr>
              <w:t>Tàu điện LRT</w:t>
            </w:r>
          </w:p>
        </w:tc>
        <w:tc>
          <w:tcPr>
            <w:tcW w:type="dxa" w:w="3120"/>
          </w:tcPr>
          <w:p>
            <w:pPr>
              <w:spacing w:before="60" w:after="60"/>
            </w:pPr>
            <w:r>
              <w:rPr>
                <w:rFonts w:ascii="Times New Roman" w:hAnsi="Times New Roman"/>
                <w:sz w:val="20"/>
              </w:rPr>
              <w:t>Hệ thống vận tải hành khách điện</w:t>
            </w:r>
          </w:p>
        </w:tc>
        <w:tc>
          <w:tcPr>
            <w:tcW w:type="dxa" w:w="3120"/>
          </w:tcPr>
          <w:p>
            <w:pPr>
              <w:spacing w:before="60" w:after="60"/>
            </w:pPr>
            <w:r>
              <w:rPr>
                <w:rFonts w:ascii="Times New Roman" w:hAnsi="Times New Roman"/>
                <w:sz w:val="20"/>
              </w:rPr>
              <w:t>2027–2028</w:t>
            </w:r>
          </w:p>
        </w:tc>
      </w:tr>
      <w:tr>
        <w:tc>
          <w:tcPr>
            <w:tcW w:type="dxa" w:w="3120"/>
          </w:tcPr>
          <w:p>
            <w:pPr>
              <w:spacing w:before="60" w:after="60"/>
            </w:pPr>
            <w:r>
              <w:rPr>
                <w:rFonts w:ascii="Times New Roman" w:hAnsi="Times New Roman"/>
                <w:sz w:val="20"/>
              </w:rPr>
              <w:t>Tổng vốn đầu tư</w:t>
            </w:r>
          </w:p>
        </w:tc>
        <w:tc>
          <w:tcPr>
            <w:tcW w:type="dxa" w:w="3120"/>
          </w:tcPr>
          <w:p>
            <w:pPr>
              <w:spacing w:before="60" w:after="60"/>
            </w:pPr>
            <w:r>
              <w:rPr>
                <w:rFonts w:ascii="Times New Roman" w:hAnsi="Times New Roman"/>
                <w:sz w:val="20"/>
              </w:rPr>
              <w:t>~100.000 tỷ VND(~4 tỷ USD)[^3]</w:t>
            </w:r>
          </w:p>
        </w:tc>
        <w:tc>
          <w:tcPr>
            <w:tcW w:type="dxa" w:w="3120"/>
          </w:tcPr>
          <w:p>
            <w:pPr>
              <w:spacing w:before="60" w:after="60"/>
            </w:pPr>
            <w:r>
              <w:rPr>
                <w:rFonts w:ascii="Times New Roman" w:hAnsi="Times New Roman"/>
                <w:sz w:val="20"/>
              </w:rPr>
              <w:t>2025–2027</w:t>
            </w:r>
          </w:p>
        </w:tc>
      </w:tr>
    </w:tbl>
    <w:p>
      <w:pPr>
        <w:spacing w:before="0" w:after="80"/>
      </w:pPr>
    </w:p>
    <w:p>
      <w:r>
        <w:t>Điểm đáng lưu ý là mức độ tập trung. Toàn bộ 100.000 tỷ VND nằm trên cùng một hòn đảo, phụ thuộc cùng một lưới điện, và hướng tới cùng một mốc thời gian — đặc biệt là APEC tháng 11/2027. Bất kỳ sự cố lưới điện nào trong giai đoạn này đều ảnh hưởng đồng thời tới nhiều cơ sở, tạo ra hiệu ứng domino.</w:t>
      </w:r>
    </w:p>
    <w:p>
      <w:pPr>
        <w:pStyle w:val="Heading3"/>
        <w:spacing w:before="240" w:after="160"/>
      </w:pPr>
      <w:r>
        <w:rPr>
          <w:rFonts w:ascii="Times New Roman" w:hAnsi="Times New Roman" w:eastAsia="Times New Roman"/>
          <w:color w:val="1A1A2E"/>
          <w:sz w:val="32"/>
        </w:rPr>
        <w:t>2.2. Kịch bản nhu cầu điện (chi tiết tính toán xem Phụ lục E)</w:t>
      </w:r>
    </w:p>
    <w:p>
      <w:r>
        <w:t>Nhóm Chiến lược Hạ tầng đã ước tính nhu cầu điện bổ sung từ toàn bộ danh mục mới, dựa trên benchmark quốc tế cho từng loại cơ sở. Kết quả cho thấy một bức tranh đáng lo ngại.</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Cơ sở</w:t>
            </w:r>
          </w:p>
        </w:tc>
        <w:tc>
          <w:tcPr>
            <w:tcW w:type="dxa" w:w="2340"/>
            <w:shd w:fill="E2E8F0" w:val="clear"/>
          </w:tcPr>
          <w:p>
            <w:pPr>
              <w:spacing w:before="60" w:after="60"/>
            </w:pPr>
            <w:r>
              <w:rPr>
                <w:rFonts w:ascii="Times New Roman" w:hAnsi="Times New Roman"/>
                <w:b/>
                <w:sz w:val="20"/>
              </w:rPr>
              <w:t>MW peak</w:t>
            </w:r>
          </w:p>
        </w:tc>
        <w:tc>
          <w:tcPr>
            <w:tcW w:type="dxa" w:w="2340"/>
            <w:shd w:fill="E2E8F0" w:val="clear"/>
          </w:tcPr>
          <w:p>
            <w:pPr>
              <w:spacing w:before="60" w:after="60"/>
            </w:pPr>
            <w:r>
              <w:rPr>
                <w:rFonts w:ascii="Times New Roman" w:hAnsi="Times New Roman"/>
                <w:b/>
                <w:sz w:val="20"/>
              </w:rPr>
              <w:t>Triệu kWh/năm</w:t>
            </w:r>
          </w:p>
        </w:tc>
        <w:tc>
          <w:tcPr>
            <w:tcW w:type="dxa" w:w="2340"/>
            <w:shd w:fill="E2E8F0" w:val="clear"/>
          </w:tcPr>
          <w:p>
            <w:pPr>
              <w:spacing w:before="60" w:after="60"/>
            </w:pPr>
            <w:r>
              <w:rPr>
                <w:rFonts w:ascii="Times New Roman" w:hAnsi="Times New Roman"/>
                <w:b/>
                <w:sz w:val="20"/>
              </w:rPr>
              <w:t>Phương pháp</w:t>
            </w:r>
          </w:p>
        </w:tc>
      </w:tr>
      <w:tr>
        <w:tc>
          <w:tcPr>
            <w:tcW w:type="dxa" w:w="2340"/>
          </w:tcPr>
          <w:p>
            <w:pPr>
              <w:spacing w:before="60" w:after="60"/>
            </w:pPr>
            <w:r>
              <w:rPr>
                <w:rFonts w:ascii="Times New Roman" w:hAnsi="Times New Roman"/>
                <w:sz w:val="20"/>
              </w:rPr>
              <w:t>12.000 phòng 5 sao mới</w:t>
            </w:r>
          </w:p>
        </w:tc>
        <w:tc>
          <w:tcPr>
            <w:tcW w:type="dxa" w:w="2340"/>
          </w:tcPr>
          <w:p>
            <w:pPr>
              <w:spacing w:before="60" w:after="60"/>
            </w:pPr>
            <w:r>
              <w:rPr>
                <w:rFonts w:ascii="Times New Roman" w:hAnsi="Times New Roman"/>
                <w:sz w:val="20"/>
              </w:rPr>
              <w:t>36–48</w:t>
            </w:r>
          </w:p>
        </w:tc>
        <w:tc>
          <w:tcPr>
            <w:tcW w:type="dxa" w:w="2340"/>
          </w:tcPr>
          <w:p>
            <w:pPr>
              <w:spacing w:before="60" w:after="60"/>
            </w:pPr>
            <w:r>
              <w:rPr>
                <w:rFonts w:ascii="Times New Roman" w:hAnsi="Times New Roman"/>
                <w:sz w:val="20"/>
              </w:rPr>
              <w:t>144–180</w:t>
            </w:r>
          </w:p>
        </w:tc>
        <w:tc>
          <w:tcPr>
            <w:tcW w:type="dxa" w:w="2340"/>
          </w:tcPr>
          <w:p>
            <w:pPr>
              <w:spacing w:before="60" w:after="60"/>
            </w:pPr>
            <w:r>
              <w:rPr>
                <w:rFonts w:ascii="Times New Roman" w:hAnsi="Times New Roman"/>
                <w:sz w:val="20"/>
              </w:rPr>
              <w:t>12.000–15.000 kWh/phòng/năm, peak factor 2,2–2,3[^15]</w:t>
            </w:r>
          </w:p>
        </w:tc>
      </w:tr>
      <w:tr>
        <w:tc>
          <w:tcPr>
            <w:tcW w:type="dxa" w:w="2340"/>
          </w:tcPr>
          <w:p>
            <w:pPr>
              <w:spacing w:before="60" w:after="60"/>
            </w:pPr>
            <w:r>
              <w:rPr>
                <w:rFonts w:ascii="Times New Roman" w:hAnsi="Times New Roman"/>
                <w:sz w:val="20"/>
              </w:rPr>
              <w:t>Sân bay mở rộng (T2 + đường băng 2)</w:t>
            </w:r>
          </w:p>
        </w:tc>
        <w:tc>
          <w:tcPr>
            <w:tcW w:type="dxa" w:w="2340"/>
          </w:tcPr>
          <w:p>
            <w:pPr>
              <w:spacing w:before="60" w:after="60"/>
            </w:pPr>
            <w:r>
              <w:rPr>
                <w:rFonts w:ascii="Times New Roman" w:hAnsi="Times New Roman"/>
                <w:sz w:val="20"/>
              </w:rPr>
              <w:t>8–12</w:t>
            </w:r>
          </w:p>
        </w:tc>
        <w:tc>
          <w:tcPr>
            <w:tcW w:type="dxa" w:w="2340"/>
          </w:tcPr>
          <w:p>
            <w:pPr>
              <w:spacing w:before="60" w:after="60"/>
            </w:pPr>
            <w:r>
              <w:rPr>
                <w:rFonts w:ascii="Times New Roman" w:hAnsi="Times New Roman"/>
                <w:sz w:val="20"/>
              </w:rPr>
              <w:t>28–42</w:t>
            </w:r>
          </w:p>
        </w:tc>
        <w:tc>
          <w:tcPr>
            <w:tcW w:type="dxa" w:w="2340"/>
          </w:tcPr>
          <w:p>
            <w:pPr>
              <w:spacing w:before="60" w:after="60"/>
            </w:pPr>
            <w:r>
              <w:rPr>
                <w:rFonts w:ascii="Times New Roman" w:hAnsi="Times New Roman"/>
                <w:sz w:val="20"/>
              </w:rPr>
              <w:t>EUI 200–350 kWh/m²/năm × ~120.000 m²[^16]</w:t>
            </w:r>
          </w:p>
        </w:tc>
      </w:tr>
      <w:tr>
        <w:tc>
          <w:tcPr>
            <w:tcW w:type="dxa" w:w="2340"/>
          </w:tcPr>
          <w:p>
            <w:pPr>
              <w:spacing w:before="60" w:after="60"/>
            </w:pPr>
            <w:r>
              <w:rPr>
                <w:rFonts w:ascii="Times New Roman" w:hAnsi="Times New Roman"/>
                <w:sz w:val="20"/>
              </w:rPr>
              <w:t>TTHH APEC + Nhà hát (10.500 chỗ)</w:t>
            </w:r>
          </w:p>
        </w:tc>
        <w:tc>
          <w:tcPr>
            <w:tcW w:type="dxa" w:w="2340"/>
          </w:tcPr>
          <w:p>
            <w:pPr>
              <w:spacing w:before="60" w:after="60"/>
            </w:pPr>
            <w:r>
              <w:rPr>
                <w:rFonts w:ascii="Times New Roman" w:hAnsi="Times New Roman"/>
                <w:sz w:val="20"/>
              </w:rPr>
              <w:t>5–8</w:t>
            </w:r>
          </w:p>
        </w:tc>
        <w:tc>
          <w:tcPr>
            <w:tcW w:type="dxa" w:w="2340"/>
          </w:tcPr>
          <w:p>
            <w:pPr>
              <w:spacing w:before="60" w:after="60"/>
            </w:pPr>
            <w:r>
              <w:rPr>
                <w:rFonts w:ascii="Times New Roman" w:hAnsi="Times New Roman"/>
                <w:sz w:val="20"/>
              </w:rPr>
              <w:t>8–13</w:t>
            </w:r>
          </w:p>
        </w:tc>
        <w:tc>
          <w:tcPr>
            <w:tcW w:type="dxa" w:w="2340"/>
          </w:tcPr>
          <w:p>
            <w:pPr>
              <w:spacing w:before="60" w:after="60"/>
            </w:pPr>
            <w:r>
              <w:rPr>
                <w:rFonts w:ascii="Times New Roman" w:hAnsi="Times New Roman"/>
                <w:sz w:val="20"/>
              </w:rPr>
              <w:t>0,5–0,8 kW/chỗ × 10.500 chỗ[^17]</w:t>
            </w:r>
          </w:p>
        </w:tc>
      </w:tr>
      <w:tr>
        <w:tc>
          <w:tcPr>
            <w:tcW w:type="dxa" w:w="2340"/>
          </w:tcPr>
          <w:p>
            <w:pPr>
              <w:spacing w:before="60" w:after="60"/>
            </w:pPr>
            <w:r>
              <w:rPr>
                <w:rFonts w:ascii="Times New Roman" w:hAnsi="Times New Roman"/>
                <w:sz w:val="20"/>
              </w:rPr>
              <w:t>Tàu điện LRT</w:t>
            </w:r>
          </w:p>
        </w:tc>
        <w:tc>
          <w:tcPr>
            <w:tcW w:type="dxa" w:w="2340"/>
          </w:tcPr>
          <w:p>
            <w:pPr>
              <w:spacing w:before="60" w:after="60"/>
            </w:pPr>
            <w:r>
              <w:rPr>
                <w:rFonts w:ascii="Times New Roman" w:hAnsi="Times New Roman"/>
                <w:sz w:val="20"/>
              </w:rPr>
              <w:t>3–5</w:t>
            </w:r>
          </w:p>
        </w:tc>
        <w:tc>
          <w:tcPr>
            <w:tcW w:type="dxa" w:w="2340"/>
          </w:tcPr>
          <w:p>
            <w:pPr>
              <w:spacing w:before="60" w:after="60"/>
            </w:pPr>
            <w:r>
              <w:rPr>
                <w:rFonts w:ascii="Times New Roman" w:hAnsi="Times New Roman"/>
                <w:sz w:val="20"/>
              </w:rPr>
              <w:t>10–16</w:t>
            </w:r>
          </w:p>
        </w:tc>
        <w:tc>
          <w:tcPr>
            <w:tcW w:type="dxa" w:w="2340"/>
          </w:tcPr>
          <w:p>
            <w:pPr>
              <w:spacing w:before="60" w:after="60"/>
            </w:pPr>
            <w:r>
              <w:rPr>
                <w:rFonts w:ascii="Times New Roman" w:hAnsi="Times New Roman"/>
                <w:sz w:val="20"/>
              </w:rPr>
              <w:t>1,5–5,5 MW/trạm biến áp × 2–3 trạm[^18]</w:t>
            </w:r>
          </w:p>
        </w:tc>
      </w:tr>
      <w:tr>
        <w:tc>
          <w:tcPr>
            <w:tcW w:type="dxa" w:w="2340"/>
          </w:tcPr>
          <w:p>
            <w:pPr>
              <w:spacing w:before="60" w:after="60"/>
            </w:pPr>
            <w:r>
              <w:rPr>
                <w:rFonts w:ascii="Times New Roman" w:hAnsi="Times New Roman"/>
                <w:sz w:val="20"/>
              </w:rPr>
              <w:t>Trạm sạc EV mở rộng</w:t>
            </w:r>
          </w:p>
        </w:tc>
        <w:tc>
          <w:tcPr>
            <w:tcW w:type="dxa" w:w="2340"/>
          </w:tcPr>
          <w:p>
            <w:pPr>
              <w:spacing w:before="60" w:after="60"/>
            </w:pPr>
            <w:r>
              <w:rPr>
                <w:rFonts w:ascii="Times New Roman" w:hAnsi="Times New Roman"/>
                <w:sz w:val="20"/>
              </w:rPr>
              <w:t>2–4</w:t>
            </w:r>
          </w:p>
        </w:tc>
        <w:tc>
          <w:tcPr>
            <w:tcW w:type="dxa" w:w="2340"/>
          </w:tcPr>
          <w:p>
            <w:pPr>
              <w:spacing w:before="60" w:after="60"/>
            </w:pPr>
            <w:r>
              <w:rPr>
                <w:rFonts w:ascii="Times New Roman" w:hAnsi="Times New Roman"/>
                <w:sz w:val="20"/>
              </w:rPr>
              <w:t>5–10</w:t>
            </w:r>
          </w:p>
        </w:tc>
        <w:tc>
          <w:tcPr>
            <w:tcW w:type="dxa" w:w="2340"/>
          </w:tcPr>
          <w:p>
            <w:pPr>
              <w:spacing w:before="60" w:after="60"/>
            </w:pPr>
            <w:r>
              <w:rPr>
                <w:rFonts w:ascii="Times New Roman" w:hAnsi="Times New Roman"/>
                <w:sz w:val="20"/>
              </w:rPr>
              <w:t>50–150 kW/trạm × 30–50 trạm[^19]</w:t>
            </w:r>
          </w:p>
        </w:tc>
      </w:tr>
      <w:tr>
        <w:tc>
          <w:tcPr>
            <w:tcW w:type="dxa" w:w="2340"/>
          </w:tcPr>
          <w:p>
            <w:pPr>
              <w:spacing w:before="60" w:after="60"/>
            </w:pPr>
            <w:r>
              <w:rPr>
                <w:rFonts w:ascii="Times New Roman" w:hAnsi="Times New Roman"/>
                <w:sz w:val="20"/>
              </w:rPr>
              <w:t>Khu thương mại + dịch vụ</w:t>
            </w:r>
          </w:p>
        </w:tc>
        <w:tc>
          <w:tcPr>
            <w:tcW w:type="dxa" w:w="2340"/>
          </w:tcPr>
          <w:p>
            <w:pPr>
              <w:spacing w:before="60" w:after="60"/>
            </w:pPr>
            <w:r>
              <w:rPr>
                <w:rFonts w:ascii="Times New Roman" w:hAnsi="Times New Roman"/>
                <w:sz w:val="20"/>
              </w:rPr>
              <w:t>3–5</w:t>
            </w:r>
          </w:p>
        </w:tc>
        <w:tc>
          <w:tcPr>
            <w:tcW w:type="dxa" w:w="2340"/>
          </w:tcPr>
          <w:p>
            <w:pPr>
              <w:spacing w:before="60" w:after="60"/>
            </w:pPr>
            <w:r>
              <w:rPr>
                <w:rFonts w:ascii="Times New Roman" w:hAnsi="Times New Roman"/>
                <w:sz w:val="20"/>
              </w:rPr>
              <w:t>10–16</w:t>
            </w:r>
          </w:p>
        </w:tc>
        <w:tc>
          <w:tcPr>
            <w:tcW w:type="dxa" w:w="2340"/>
          </w:tcPr>
          <w:p>
            <w:pPr>
              <w:spacing w:before="60" w:after="60"/>
            </w:pPr>
            <w:r>
              <w:rPr>
                <w:rFonts w:ascii="Times New Roman" w:hAnsi="Times New Roman"/>
                <w:sz w:val="20"/>
              </w:rPr>
              <w:t>150–250 kWh/m²/năm</w:t>
            </w:r>
          </w:p>
        </w:tc>
      </w:tr>
      <w:tr>
        <w:tc>
          <w:tcPr>
            <w:tcW w:type="dxa" w:w="2340"/>
          </w:tcPr>
          <w:p>
            <w:pPr>
              <w:spacing w:before="60" w:after="60"/>
            </w:pPr>
            <w:r>
              <w:rPr>
                <w:rFonts w:ascii="Times New Roman" w:hAnsi="Times New Roman"/>
                <w:sz w:val="20"/>
              </w:rPr>
              <w:t>Tổng bổ sung</w:t>
            </w:r>
          </w:p>
        </w:tc>
        <w:tc>
          <w:tcPr>
            <w:tcW w:type="dxa" w:w="2340"/>
          </w:tcPr>
          <w:p>
            <w:pPr>
              <w:spacing w:before="60" w:after="60"/>
            </w:pPr>
            <w:r>
              <w:rPr>
                <w:rFonts w:ascii="Times New Roman" w:hAnsi="Times New Roman"/>
                <w:sz w:val="20"/>
              </w:rPr>
              <w:t>57–82</w:t>
            </w:r>
          </w:p>
        </w:tc>
        <w:tc>
          <w:tcPr>
            <w:tcW w:type="dxa" w:w="2340"/>
          </w:tcPr>
          <w:p>
            <w:pPr>
              <w:spacing w:before="60" w:after="60"/>
            </w:pPr>
            <w:r>
              <w:rPr>
                <w:rFonts w:ascii="Times New Roman" w:hAnsi="Times New Roman"/>
                <w:sz w:val="20"/>
              </w:rPr>
              <w:t>205–277</w:t>
            </w:r>
          </w:p>
        </w:tc>
        <w:tc>
          <w:tcPr>
            <w:tcW w:type="dxa" w:w="2340"/>
          </w:tcPr>
          <w:p>
            <w:pPr>
              <w:spacing w:before="60" w:after="60"/>
            </w:pPr>
            <w:r>
              <w:rPr>
                <w:rFonts w:ascii="Times New Roman" w:hAnsi="Times New Roman"/>
                <w:sz w:val="20"/>
              </w:rPr>
            </w:r>
          </w:p>
        </w:tc>
      </w:tr>
    </w:tbl>
    <w:p>
      <w:pPr>
        <w:spacing w:before="0" w:after="80"/>
      </w:pPr>
    </w:p>
    <w:p>
      <w:r>
        <w:rPr>
          <w:b/>
        </w:rPr>
        <w:t>So sánh với hiện trạng:</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Chỉ số</w:t>
            </w:r>
          </w:p>
        </w:tc>
        <w:tc>
          <w:tcPr>
            <w:tcW w:type="dxa" w:w="2340"/>
            <w:shd w:fill="E2E8F0" w:val="clear"/>
          </w:tcPr>
          <w:p>
            <w:pPr>
              <w:spacing w:before="60" w:after="60"/>
            </w:pPr>
            <w:r>
              <w:rPr>
                <w:rFonts w:ascii="Times New Roman" w:hAnsi="Times New Roman"/>
                <w:b/>
                <w:sz w:val="20"/>
              </w:rPr>
              <w:t>Hiện tại</w:t>
            </w:r>
          </w:p>
        </w:tc>
        <w:tc>
          <w:tcPr>
            <w:tcW w:type="dxa" w:w="2340"/>
            <w:shd w:fill="E2E8F0" w:val="clear"/>
          </w:tcPr>
          <w:p>
            <w:pPr>
              <w:spacing w:before="60" w:after="60"/>
            </w:pPr>
            <w:r>
              <w:rPr>
                <w:rFonts w:ascii="Times New Roman" w:hAnsi="Times New Roman"/>
                <w:b/>
                <w:sz w:val="20"/>
              </w:rPr>
              <w:t>Khi hoàn thành</w:t>
            </w:r>
          </w:p>
        </w:tc>
        <w:tc>
          <w:tcPr>
            <w:tcW w:type="dxa" w:w="2340"/>
            <w:shd w:fill="E2E8F0" w:val="clear"/>
          </w:tcPr>
          <w:p>
            <w:pPr>
              <w:spacing w:before="60" w:after="60"/>
            </w:pPr>
            <w:r>
              <w:rPr>
                <w:rFonts w:ascii="Times New Roman" w:hAnsi="Times New Roman"/>
                <w:b/>
                <w:sz w:val="20"/>
              </w:rPr>
              <w:t>Mức tăng</w:t>
            </w:r>
          </w:p>
        </w:tc>
      </w:tr>
      <w:tr>
        <w:tc>
          <w:tcPr>
            <w:tcW w:type="dxa" w:w="2340"/>
          </w:tcPr>
          <w:p>
            <w:pPr>
              <w:spacing w:before="60" w:after="60"/>
            </w:pPr>
            <w:r>
              <w:rPr>
                <w:rFonts w:ascii="Times New Roman" w:hAnsi="Times New Roman"/>
                <w:sz w:val="20"/>
              </w:rPr>
              <w:t>Đỉnh phụ tải</w:t>
            </w:r>
          </w:p>
        </w:tc>
        <w:tc>
          <w:tcPr>
            <w:tcW w:type="dxa" w:w="2340"/>
          </w:tcPr>
          <w:p>
            <w:pPr>
              <w:spacing w:before="60" w:after="60"/>
            </w:pPr>
            <w:r>
              <w:rPr>
                <w:rFonts w:ascii="Times New Roman" w:hAnsi="Times New Roman"/>
                <w:sz w:val="20"/>
              </w:rPr>
              <w:t>110 MW</w:t>
            </w:r>
          </w:p>
        </w:tc>
        <w:tc>
          <w:tcPr>
            <w:tcW w:type="dxa" w:w="2340"/>
          </w:tcPr>
          <w:p>
            <w:pPr>
              <w:spacing w:before="60" w:after="60"/>
            </w:pPr>
            <w:r>
              <w:rPr>
                <w:rFonts w:ascii="Times New Roman" w:hAnsi="Times New Roman"/>
                <w:sz w:val="20"/>
              </w:rPr>
              <w:t>167–192 MW</w:t>
            </w:r>
          </w:p>
        </w:tc>
        <w:tc>
          <w:tcPr>
            <w:tcW w:type="dxa" w:w="2340"/>
          </w:tcPr>
          <w:p>
            <w:pPr>
              <w:spacing w:before="60" w:after="60"/>
            </w:pPr>
            <w:r>
              <w:rPr>
                <w:rFonts w:ascii="Times New Roman" w:hAnsi="Times New Roman"/>
                <w:sz w:val="20"/>
              </w:rPr>
              <w:t>+52–75%</w:t>
            </w:r>
          </w:p>
        </w:tc>
      </w:tr>
      <w:tr>
        <w:tc>
          <w:tcPr>
            <w:tcW w:type="dxa" w:w="2340"/>
          </w:tcPr>
          <w:p>
            <w:pPr>
              <w:spacing w:before="60" w:after="60"/>
            </w:pPr>
            <w:r>
              <w:rPr>
                <w:rFonts w:ascii="Times New Roman" w:hAnsi="Times New Roman"/>
                <w:sz w:val="20"/>
              </w:rPr>
              <w:t>Tiêu thụ/năm</w:t>
            </w:r>
          </w:p>
        </w:tc>
        <w:tc>
          <w:tcPr>
            <w:tcW w:type="dxa" w:w="2340"/>
          </w:tcPr>
          <w:p>
            <w:pPr>
              <w:spacing w:before="60" w:after="60"/>
            </w:pPr>
            <w:r>
              <w:rPr>
                <w:rFonts w:ascii="Times New Roman" w:hAnsi="Times New Roman"/>
                <w:sz w:val="20"/>
              </w:rPr>
              <w:t>782 triệu kWh</w:t>
            </w:r>
          </w:p>
        </w:tc>
        <w:tc>
          <w:tcPr>
            <w:tcW w:type="dxa" w:w="2340"/>
          </w:tcPr>
          <w:p>
            <w:pPr>
              <w:spacing w:before="60" w:after="60"/>
            </w:pPr>
            <w:r>
              <w:rPr>
                <w:rFonts w:ascii="Times New Roman" w:hAnsi="Times New Roman"/>
                <w:sz w:val="20"/>
              </w:rPr>
              <w:t>987–1.059 triệu kWh</w:t>
            </w:r>
          </w:p>
        </w:tc>
        <w:tc>
          <w:tcPr>
            <w:tcW w:type="dxa" w:w="2340"/>
          </w:tcPr>
          <w:p>
            <w:pPr>
              <w:spacing w:before="60" w:after="60"/>
            </w:pPr>
            <w:r>
              <w:rPr>
                <w:rFonts w:ascii="Times New Roman" w:hAnsi="Times New Roman"/>
                <w:sz w:val="20"/>
              </w:rPr>
              <w:t>+26–35%</w:t>
            </w:r>
          </w:p>
        </w:tc>
      </w:tr>
    </w:tbl>
    <w:p>
      <w:pPr>
        <w:spacing w:before="0" w:after="80"/>
      </w:pPr>
    </w:p>
    <w:p>
      <w:pPr>
        <w:spacing w:before="80" w:after="80"/>
        <w:ind w:left="850"/>
        <w:pBdr>
          <w:left w:val="single" w:sz="18" w:space="8" w:color="D0D7DE"/>
        </w:pBdr>
      </w:pPr>
      <w:r>
        <w:rPr>
          <w:b/>
          <w:color w:val="6A737D"/>
        </w:rPr>
        <w:t>Kết luận:</w:t>
      </w:r>
      <w:r>
        <w:rPr>
          <w:color w:val="6A737D"/>
        </w:rPr>
        <w:t xml:space="preserve"> Chỉ riêng các dự án Sun Group đã đẩy nhu cầu điện tăng </w:t>
      </w:r>
      <w:r>
        <w:rPr>
          <w:b/>
          <w:color w:val="6A737D"/>
        </w:rPr>
        <w:t>50–75%</w:t>
      </w:r>
      <w:r>
        <w:rPr>
          <w:color w:val="6A737D"/>
        </w:rPr>
        <w:t xml:space="preserve"> so với công suất hiện tại — chưa tính tăng trưởng tự nhiên 11%/năm từ dân cư, du lịch và các nhà đầu tư khác. Khi cộng cả hai yếu tố, tổng nhu cầu thực tế có thể </w:t>
      </w:r>
      <w:r>
        <w:rPr>
          <w:b/>
          <w:color w:val="6A737D"/>
        </w:rPr>
        <w:t>gấp đôi</w:t>
      </w:r>
      <w:r>
        <w:rPr>
          <w:color w:val="6A737D"/>
        </w:rPr>
        <w:t xml:space="preserve"> vào 2028–2029. Đây là áp lực mà lưới điện hiện tại — dù đang được nâng cấp — sẽ phải gánh chịu.</w:t>
      </w:r>
    </w:p>
    <w:p>
      <w:pPr>
        <w:pStyle w:val="Heading3"/>
        <w:spacing w:before="240" w:after="160"/>
      </w:pPr>
      <w:r>
        <w:rPr>
          <w:rFonts w:ascii="Times New Roman" w:hAnsi="Times New Roman" w:eastAsia="Times New Roman"/>
          <w:color w:val="1A1A2E"/>
          <w:sz w:val="32"/>
        </w:rPr>
        <w:t>2.3. Ma trận rủi ro — Đánh giá theo cơ sở</w:t>
      </w:r>
    </w:p>
    <w:p>
      <w:r>
        <w:t>Phân tích dưới đây đánh giá rủi ro mất điện cho từng cơ sở trọng yếu, xem xét cả xác suất xảy ra và mức độ tác động. Kết quả cho thấy không có cơ sở nào ở mức rủi ro “chấp nhận được.”</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Cơ sở</w:t>
            </w:r>
          </w:p>
        </w:tc>
        <w:tc>
          <w:tcPr>
            <w:tcW w:type="dxa" w:w="1872"/>
            <w:shd w:fill="E2E8F0" w:val="clear"/>
          </w:tcPr>
          <w:p>
            <w:pPr>
              <w:spacing w:before="60" w:after="60"/>
            </w:pPr>
            <w:r>
              <w:rPr>
                <w:rFonts w:ascii="Times New Roman" w:hAnsi="Times New Roman"/>
                <w:b/>
                <w:sz w:val="20"/>
              </w:rPr>
              <w:t>Xác suất</w:t>
            </w:r>
          </w:p>
        </w:tc>
        <w:tc>
          <w:tcPr>
            <w:tcW w:type="dxa" w:w="1872"/>
            <w:shd w:fill="E2E8F0" w:val="clear"/>
          </w:tcPr>
          <w:p>
            <w:pPr>
              <w:spacing w:before="60" w:after="60"/>
            </w:pPr>
            <w:r>
              <w:rPr>
                <w:rFonts w:ascii="Times New Roman" w:hAnsi="Times New Roman"/>
                <w:b/>
                <w:sz w:val="20"/>
              </w:rPr>
              <w:t>Tác động</w:t>
            </w:r>
          </w:p>
        </w:tc>
        <w:tc>
          <w:tcPr>
            <w:tcW w:type="dxa" w:w="1872"/>
            <w:shd w:fill="E2E8F0" w:val="clear"/>
          </w:tcPr>
          <w:p>
            <w:pPr>
              <w:spacing w:before="60" w:after="60"/>
            </w:pPr>
            <w:r>
              <w:rPr>
                <w:rFonts w:ascii="Times New Roman" w:hAnsi="Times New Roman"/>
                <w:b/>
                <w:sz w:val="20"/>
              </w:rPr>
              <w:t>Rủi ro</w:t>
            </w:r>
          </w:p>
        </w:tc>
        <w:tc>
          <w:tcPr>
            <w:tcW w:type="dxa" w:w="1872"/>
            <w:shd w:fill="E2E8F0" w:val="clear"/>
          </w:tcPr>
          <w:p>
            <w:pPr>
              <w:spacing w:before="60" w:after="60"/>
            </w:pPr>
            <w:r>
              <w:rPr>
                <w:rFonts w:ascii="Times New Roman" w:hAnsi="Times New Roman"/>
                <w:b/>
                <w:sz w:val="20"/>
              </w:rPr>
              <w:t>Phân tích</w:t>
            </w:r>
          </w:p>
        </w:tc>
      </w:tr>
      <w:tr>
        <w:tc>
          <w:tcPr>
            <w:tcW w:type="dxa" w:w="1872"/>
          </w:tcPr>
          <w:p>
            <w:pPr>
              <w:spacing w:before="60" w:after="60"/>
            </w:pPr>
            <w:r>
              <w:rPr>
                <w:rFonts w:ascii="Times New Roman" w:hAnsi="Times New Roman"/>
                <w:sz w:val="20"/>
              </w:rPr>
              <w:t>Sân bay</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Nghiêm trọng</w:t>
            </w:r>
          </w:p>
        </w:tc>
        <w:tc>
          <w:tcPr>
            <w:tcW w:type="dxa" w:w="1872"/>
          </w:tcPr>
          <w:p>
            <w:pPr>
              <w:spacing w:before="60" w:after="60"/>
            </w:pPr>
            <w:r>
              <w:rPr>
                <w:rFonts w:ascii="Times New Roman" w:hAnsi="Times New Roman"/>
                <w:sz w:val="20"/>
              </w:rPr>
              <w:t>🔴 Cực cao</w:t>
            </w:r>
          </w:p>
        </w:tc>
        <w:tc>
          <w:tcPr>
            <w:tcW w:type="dxa" w:w="1872"/>
          </w:tcPr>
          <w:p>
            <w:pPr>
              <w:spacing w:before="60" w:after="60"/>
            </w:pPr>
            <w:r>
              <w:rPr>
                <w:rFonts w:ascii="Times New Roman" w:hAnsi="Times New Roman"/>
                <w:sz w:val="20"/>
              </w:rPr>
              <w:t>Mất điện sân bay = đóng toàn bộ hoạt động bay. Hệ thống dẫn đường, radar, an ninh, chiếu sáng đường băng, băng chuyền hành lý đều phụ thuộc điện. Hàng trăm chuyến bay bị hủy, hàng nghìn hành khách bị kẹt. Sun Airport chịu trách nhiệm vận hành từ 01/01/2026 — rủi ro uy tín lớn.</w:t>
            </w:r>
          </w:p>
        </w:tc>
      </w:tr>
      <w:tr>
        <w:tc>
          <w:tcPr>
            <w:tcW w:type="dxa" w:w="1872"/>
          </w:tcPr>
          <w:p>
            <w:pPr>
              <w:spacing w:before="60" w:after="60"/>
            </w:pPr>
            <w:r>
              <w:rPr>
                <w:rFonts w:ascii="Times New Roman" w:hAnsi="Times New Roman"/>
                <w:sz w:val="20"/>
              </w:rPr>
              <w:t>TTHH APEC</w:t>
            </w:r>
          </w:p>
        </w:tc>
        <w:tc>
          <w:tcPr>
            <w:tcW w:type="dxa" w:w="1872"/>
          </w:tcPr>
          <w:p>
            <w:pPr>
              <w:spacing w:before="60" w:after="60"/>
            </w:pPr>
            <w:r>
              <w:rPr>
                <w:rFonts w:ascii="Times New Roman" w:hAnsi="Times New Roman"/>
                <w:sz w:val="20"/>
              </w:rPr>
              <w:t>TB</w:t>
            </w:r>
          </w:p>
        </w:tc>
        <w:tc>
          <w:tcPr>
            <w:tcW w:type="dxa" w:w="1872"/>
          </w:tcPr>
          <w:p>
            <w:pPr>
              <w:spacing w:before="60" w:after="60"/>
            </w:pPr>
            <w:r>
              <w:rPr>
                <w:rFonts w:ascii="Times New Roman" w:hAnsi="Times New Roman"/>
                <w:sz w:val="20"/>
              </w:rPr>
              <w:t>Nghiêm trọng</w:t>
            </w:r>
          </w:p>
        </w:tc>
        <w:tc>
          <w:tcPr>
            <w:tcW w:type="dxa" w:w="1872"/>
          </w:tcPr>
          <w:p>
            <w:pPr>
              <w:spacing w:before="60" w:after="60"/>
            </w:pPr>
            <w:r>
              <w:rPr>
                <w:rFonts w:ascii="Times New Roman" w:hAnsi="Times New Roman"/>
                <w:sz w:val="20"/>
              </w:rPr>
              <w:t>🔴 Cực cao</w:t>
            </w:r>
          </w:p>
        </w:tc>
        <w:tc>
          <w:tcPr>
            <w:tcW w:type="dxa" w:w="1872"/>
          </w:tcPr>
          <w:p>
            <w:pPr>
              <w:spacing w:before="60" w:after="60"/>
            </w:pPr>
            <w:r>
              <w:rPr>
                <w:rFonts w:ascii="Times New Roman" w:hAnsi="Times New Roman"/>
                <w:sz w:val="20"/>
              </w:rPr>
              <w:t>Phái đoàn 21 nền kinh tế — mất điện trong sự kiện APEC là thảm họa uy tín quốc gia. Hệ thống hội nghị, phiên dịch, an ninh, truyền hình trực tiếp đều phụ thuộc nguồn điện ổn định.</w:t>
            </w:r>
          </w:p>
        </w:tc>
      </w:tr>
      <w:tr>
        <w:tc>
          <w:tcPr>
            <w:tcW w:type="dxa" w:w="1872"/>
          </w:tcPr>
          <w:p>
            <w:pPr>
              <w:spacing w:before="60" w:after="60"/>
            </w:pPr>
            <w:r>
              <w:rPr>
                <w:rFonts w:ascii="Times New Roman" w:hAnsi="Times New Roman"/>
                <w:sz w:val="20"/>
              </w:rPr>
              <w:t>12.000 phòng 5 sao</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 Rất cao</w:t>
            </w:r>
          </w:p>
        </w:tc>
        <w:tc>
          <w:tcPr>
            <w:tcW w:type="dxa" w:w="1872"/>
          </w:tcPr>
          <w:p>
            <w:pPr>
              <w:spacing w:before="60" w:after="60"/>
            </w:pPr>
            <w:r>
              <w:rPr>
                <w:rFonts w:ascii="Times New Roman" w:hAnsi="Times New Roman"/>
                <w:sz w:val="20"/>
              </w:rPr>
              <w:t>13 thương hiệu quốc tế (Accor, IHG, Marriott, Hilton, Hyatt) — mất điện kéo dài = hủy booking hàng loạt, bồi thường hợp đồng quản lý, tổn hại uy tín thương hiệu lâu dài.</w:t>
            </w:r>
          </w:p>
        </w:tc>
      </w:tr>
      <w:tr>
        <w:tc>
          <w:tcPr>
            <w:tcW w:type="dxa" w:w="1872"/>
          </w:tcPr>
          <w:p>
            <w:pPr>
              <w:spacing w:before="60" w:after="60"/>
            </w:pPr>
            <w:r>
              <w:rPr>
                <w:rFonts w:ascii="Times New Roman" w:hAnsi="Times New Roman"/>
                <w:sz w:val="20"/>
              </w:rPr>
              <w:t>Tàu điện LRT</w:t>
            </w:r>
          </w:p>
        </w:tc>
        <w:tc>
          <w:tcPr>
            <w:tcW w:type="dxa" w:w="1872"/>
          </w:tcPr>
          <w:p>
            <w:pPr>
              <w:spacing w:before="60" w:after="60"/>
            </w:pPr>
            <w:r>
              <w:rPr>
                <w:rFonts w:ascii="Times New Roman" w:hAnsi="Times New Roman"/>
                <w:sz w:val="20"/>
              </w:rPr>
              <w:t>TB</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 Rất cao</w:t>
            </w:r>
          </w:p>
        </w:tc>
        <w:tc>
          <w:tcPr>
            <w:tcW w:type="dxa" w:w="1872"/>
          </w:tcPr>
          <w:p>
            <w:pPr>
              <w:spacing w:before="60" w:after="60"/>
            </w:pPr>
            <w:r>
              <w:rPr>
                <w:rFonts w:ascii="Times New Roman" w:hAnsi="Times New Roman"/>
                <w:sz w:val="20"/>
              </w:rPr>
              <w:t>Kẹt tàu giữa đường, rủi ro an toàn hành khách. Hệ thống vận tải điện hoàn toàn phụ thuộc lưới — không có nguồn dự phòng = không thể vận hành.</w:t>
            </w:r>
          </w:p>
        </w:tc>
      </w:tr>
      <w:tr>
        <w:tc>
          <w:tcPr>
            <w:tcW w:type="dxa" w:w="1872"/>
          </w:tcPr>
          <w:p>
            <w:pPr>
              <w:spacing w:before="60" w:after="60"/>
            </w:pPr>
            <w:r>
              <w:rPr>
                <w:rFonts w:ascii="Times New Roman" w:hAnsi="Times New Roman"/>
                <w:sz w:val="20"/>
              </w:rPr>
              <w:t>Khu thương mại</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TB</w:t>
            </w:r>
          </w:p>
        </w:tc>
        <w:tc>
          <w:tcPr>
            <w:tcW w:type="dxa" w:w="1872"/>
          </w:tcPr>
          <w:p>
            <w:pPr>
              <w:spacing w:before="60" w:after="60"/>
            </w:pPr>
            <w:r>
              <w:rPr>
                <w:rFonts w:ascii="Times New Roman" w:hAnsi="Times New Roman"/>
                <w:sz w:val="20"/>
              </w:rPr>
              <w:t>🟡 Cao</w:t>
            </w:r>
          </w:p>
        </w:tc>
        <w:tc>
          <w:tcPr>
            <w:tcW w:type="dxa" w:w="1872"/>
          </w:tcPr>
          <w:p>
            <w:pPr>
              <w:spacing w:before="60" w:after="60"/>
            </w:pPr>
            <w:r>
              <w:rPr>
                <w:rFonts w:ascii="Times New Roman" w:hAnsi="Times New Roman"/>
                <w:sz w:val="20"/>
              </w:rPr>
              <w:t>Gián đoạn kinh doanh, hư hỏng hàng hóa (đặc biệt thực phẩm), trải nghiệm khách hàng suy giảm.</w:t>
            </w:r>
          </w:p>
        </w:tc>
      </w:tr>
    </w:tbl>
    <w:p>
      <w:pPr>
        <w:spacing w:before="0" w:after="80"/>
      </w:pPr>
    </w:p>
    <w:p>
      <w:pPr>
        <w:pStyle w:val="Heading3"/>
        <w:spacing w:before="240" w:after="160"/>
      </w:pPr>
      <w:r>
        <w:rPr>
          <w:rFonts w:ascii="Times New Roman" w:hAnsi="Times New Roman" w:eastAsia="Times New Roman"/>
          <w:color w:val="1A1A2E"/>
          <w:sz w:val="32"/>
        </w:rPr>
        <w:t>2.4. Chi phí ẩn của sự phụ thuộc — Những con số chưa nằm trong bảng cân đối</w:t>
      </w:r>
    </w:p>
    <w:p>
      <w:r>
        <w:t>Ngoài tác động trực tiếp, sự phụ thuộc vào lưới điện tạo ra nhiều loại chi phí ẩn mà hiếm khi được lượng hóa trong kế hoạch kinh doanh, nhưng cộng dồn lại là con số đáng kể.</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Loại chi phí</w:t>
            </w:r>
          </w:p>
        </w:tc>
        <w:tc>
          <w:tcPr>
            <w:tcW w:type="dxa" w:w="3120"/>
            <w:shd w:fill="E2E8F0" w:val="clear"/>
          </w:tcPr>
          <w:p>
            <w:pPr>
              <w:spacing w:before="60" w:after="60"/>
            </w:pPr>
            <w:r>
              <w:rPr>
                <w:rFonts w:ascii="Times New Roman" w:hAnsi="Times New Roman"/>
                <w:b/>
                <w:sz w:val="20"/>
              </w:rPr>
              <w:t>Ước tính</w:t>
            </w:r>
          </w:p>
        </w:tc>
        <w:tc>
          <w:tcPr>
            <w:tcW w:type="dxa" w:w="3120"/>
            <w:shd w:fill="E2E8F0" w:val="clear"/>
          </w:tcPr>
          <w:p>
            <w:pPr>
              <w:spacing w:before="60" w:after="60"/>
            </w:pPr>
            <w:r>
              <w:rPr>
                <w:rFonts w:ascii="Times New Roman" w:hAnsi="Times New Roman"/>
                <w:b/>
                <w:sz w:val="20"/>
              </w:rPr>
              <w:t>Cơ sở</w:t>
            </w:r>
          </w:p>
        </w:tc>
      </w:tr>
      <w:tr>
        <w:tc>
          <w:tcPr>
            <w:tcW w:type="dxa" w:w="3120"/>
          </w:tcPr>
          <w:p>
            <w:pPr>
              <w:spacing w:before="60" w:after="60"/>
            </w:pPr>
            <w:r>
              <w:rPr>
                <w:rFonts w:ascii="Times New Roman" w:hAnsi="Times New Roman"/>
                <w:sz w:val="20"/>
              </w:rPr>
              <w:t>Máy phát diesel khẩn cấp</w:t>
            </w:r>
          </w:p>
        </w:tc>
        <w:tc>
          <w:tcPr>
            <w:tcW w:type="dxa" w:w="3120"/>
          </w:tcPr>
          <w:p>
            <w:pPr>
              <w:spacing w:before="60" w:after="60"/>
            </w:pPr>
            <w:r>
              <w:rPr>
                <w:rFonts w:ascii="Times New Roman" w:hAnsi="Times New Roman"/>
                <w:sz w:val="20"/>
              </w:rPr>
              <w:t>32 triệu VND/máy/ngày[^3]</w:t>
            </w:r>
          </w:p>
        </w:tc>
        <w:tc>
          <w:tcPr>
            <w:tcW w:type="dxa" w:w="3120"/>
          </w:tcPr>
          <w:p>
            <w:pPr>
              <w:spacing w:before="60" w:after="60"/>
            </w:pPr>
            <w:r>
              <w:rPr>
                <w:rFonts w:ascii="Times New Roman" w:hAnsi="Times New Roman"/>
                <w:sz w:val="20"/>
              </w:rPr>
              <w:t>Thực tế từ sự cố 11/2025, ghi nhận trong bản ghi nhớ CLP</w:t>
            </w:r>
          </w:p>
        </w:tc>
      </w:tr>
      <w:tr>
        <w:tc>
          <w:tcPr>
            <w:tcW w:type="dxa" w:w="3120"/>
          </w:tcPr>
          <w:p>
            <w:pPr>
              <w:spacing w:before="60" w:after="60"/>
            </w:pPr>
            <w:r>
              <w:rPr>
                <w:rFonts w:ascii="Times New Roman" w:hAnsi="Times New Roman"/>
                <w:sz w:val="20"/>
              </w:rPr>
              <w:t>Hủy booking khách sạn</w:t>
            </w:r>
          </w:p>
        </w:tc>
        <w:tc>
          <w:tcPr>
            <w:tcW w:type="dxa" w:w="3120"/>
          </w:tcPr>
          <w:p>
            <w:pPr>
              <w:spacing w:before="60" w:after="60"/>
            </w:pPr>
            <w:r>
              <w:rPr>
                <w:rFonts w:ascii="Times New Roman" w:hAnsi="Times New Roman"/>
                <w:sz w:val="20"/>
              </w:rPr>
              <w:t>5–15% doanh thu tuần mất điện</w:t>
            </w:r>
          </w:p>
        </w:tc>
        <w:tc>
          <w:tcPr>
            <w:tcW w:type="dxa" w:w="3120"/>
          </w:tcPr>
          <w:p>
            <w:pPr>
              <w:spacing w:before="60" w:after="60"/>
            </w:pPr>
            <w:r>
              <w:rPr>
                <w:rFonts w:ascii="Times New Roman" w:hAnsi="Times New Roman"/>
                <w:sz w:val="20"/>
              </w:rPr>
              <w:t>Benchmark hospitality quốc tế</w:t>
            </w:r>
          </w:p>
        </w:tc>
      </w:tr>
      <w:tr>
        <w:tc>
          <w:tcPr>
            <w:tcW w:type="dxa" w:w="3120"/>
          </w:tcPr>
          <w:p>
            <w:pPr>
              <w:spacing w:before="60" w:after="60"/>
            </w:pPr>
            <w:r>
              <w:rPr>
                <w:rFonts w:ascii="Times New Roman" w:hAnsi="Times New Roman"/>
                <w:sz w:val="20"/>
              </w:rPr>
              <w:t>Bồi thường thương hiệu</w:t>
            </w:r>
          </w:p>
        </w:tc>
        <w:tc>
          <w:tcPr>
            <w:tcW w:type="dxa" w:w="3120"/>
          </w:tcPr>
          <w:p>
            <w:pPr>
              <w:spacing w:before="60" w:after="60"/>
            </w:pPr>
            <w:r>
              <w:rPr>
                <w:rFonts w:ascii="Times New Roman" w:hAnsi="Times New Roman"/>
                <w:sz w:val="20"/>
              </w:rPr>
              <w:t>Tùy điều khoản force majeure trong từng hợp đồng quản lý</w:t>
            </w:r>
          </w:p>
        </w:tc>
        <w:tc>
          <w:tcPr>
            <w:tcW w:type="dxa" w:w="3120"/>
          </w:tcPr>
          <w:p>
            <w:pPr>
              <w:spacing w:before="60" w:after="60"/>
            </w:pPr>
            <w:r>
              <w:rPr>
                <w:rFonts w:ascii="Times New Roman" w:hAnsi="Times New Roman"/>
                <w:sz w:val="20"/>
              </w:rPr>
              <w:t>Áp dụng cho 13 thương hiệu</w:t>
            </w:r>
          </w:p>
        </w:tc>
      </w:tr>
      <w:tr>
        <w:tc>
          <w:tcPr>
            <w:tcW w:type="dxa" w:w="3120"/>
          </w:tcPr>
          <w:p>
            <w:pPr>
              <w:spacing w:before="60" w:after="60"/>
            </w:pPr>
            <w:r>
              <w:rPr>
                <w:rFonts w:ascii="Times New Roman" w:hAnsi="Times New Roman"/>
                <w:sz w:val="20"/>
              </w:rPr>
              <w:t>Phí bảo hiểm tài sản tăng</w:t>
            </w:r>
          </w:p>
        </w:tc>
        <w:tc>
          <w:tcPr>
            <w:tcW w:type="dxa" w:w="3120"/>
          </w:tcPr>
          <w:p>
            <w:pPr>
              <w:spacing w:before="60" w:after="60"/>
            </w:pPr>
            <w:r>
              <w:rPr>
                <w:rFonts w:ascii="Times New Roman" w:hAnsi="Times New Roman"/>
                <w:sz w:val="20"/>
              </w:rPr>
              <w:t>+15–30% cho vùng rủi ro điện cao</w:t>
            </w:r>
          </w:p>
        </w:tc>
        <w:tc>
          <w:tcPr>
            <w:tcW w:type="dxa" w:w="3120"/>
          </w:tcPr>
          <w:p>
            <w:pPr>
              <w:spacing w:before="60" w:after="60"/>
            </w:pPr>
            <w:r>
              <w:rPr>
                <w:rFonts w:ascii="Times New Roman" w:hAnsi="Times New Roman"/>
                <w:sz w:val="20"/>
              </w:rPr>
              <w:t>Thông lệ ngành bảo hiểm</w:t>
            </w:r>
          </w:p>
        </w:tc>
      </w:tr>
      <w:tr>
        <w:tc>
          <w:tcPr>
            <w:tcW w:type="dxa" w:w="3120"/>
          </w:tcPr>
          <w:p>
            <w:pPr>
              <w:spacing w:before="60" w:after="60"/>
            </w:pPr>
            <w:r>
              <w:rPr>
                <w:rFonts w:ascii="Times New Roman" w:hAnsi="Times New Roman"/>
                <w:sz w:val="20"/>
              </w:rPr>
              <w:t>Mất doanh thu từ dịch vụ phụ trợ (spa, nhà hàng, giải trí)</w:t>
            </w:r>
          </w:p>
        </w:tc>
        <w:tc>
          <w:tcPr>
            <w:tcW w:type="dxa" w:w="3120"/>
          </w:tcPr>
          <w:p>
            <w:pPr>
              <w:spacing w:before="60" w:after="60"/>
            </w:pPr>
            <w:r>
              <w:rPr>
                <w:rFonts w:ascii="Times New Roman" w:hAnsi="Times New Roman"/>
                <w:sz w:val="20"/>
              </w:rPr>
              <w:t>30–50% doanh thu ngày mất điện</w:t>
            </w:r>
          </w:p>
        </w:tc>
        <w:tc>
          <w:tcPr>
            <w:tcW w:type="dxa" w:w="3120"/>
          </w:tcPr>
          <w:p>
            <w:pPr>
              <w:spacing w:before="60" w:after="60"/>
            </w:pPr>
            <w:r>
              <w:rPr>
                <w:rFonts w:ascii="Times New Roman" w:hAnsi="Times New Roman"/>
                <w:sz w:val="20"/>
              </w:rPr>
              <w:t>Staff không thể vận hành, du khách rời đi</w:t>
            </w:r>
          </w:p>
        </w:tc>
      </w:tr>
    </w:tbl>
    <w:p>
      <w:pPr>
        <w:spacing w:before="0" w:after="80"/>
      </w:pPr>
    </w:p>
    <w:p>
      <w:pPr>
        <w:pStyle w:val="Heading2"/>
        <w:spacing w:before="360" w:after="160"/>
      </w:pPr>
      <w:r>
        <w:rPr>
          <w:rFonts w:ascii="Times New Roman" w:hAnsi="Times New Roman" w:eastAsia="Times New Roman"/>
          <w:color w:val="1A1A2E"/>
          <w:sz w:val="36"/>
        </w:rPr>
        <w:t xml:space="preserve">Quan trọng hơn cả chi phí tài chính là </w:t>
      </w:r>
      <w:r>
        <w:rPr>
          <w:rFonts w:ascii="Times New Roman" w:hAnsi="Times New Roman" w:eastAsia="Times New Roman"/>
          <w:b/>
          <w:color w:val="1A1A2E"/>
          <w:sz w:val="36"/>
        </w:rPr>
        <w:t>chi phí cơ hội</w:t>
      </w:r>
      <w:r>
        <w:rPr>
          <w:rFonts w:ascii="Times New Roman" w:hAnsi="Times New Roman" w:eastAsia="Times New Roman"/>
          <w:color w:val="1A1A2E"/>
          <w:sz w:val="36"/>
        </w:rPr>
        <w:t>: một sự cố mất điện lớn trước thềm APEC 2027 có thể khiến Sun Group mất đi vị thế đàm phán với các đối tác quốc tế trong nhiều năm sau đó. Đây là loại thiệt hại không đo đếm được bằng VND, nhưng ảnh hưởng trực tiếp đến giá trị thương hiệu của toàn bộ tập đoàn.</w:t>
      </w:r>
    </w:p>
    <w:p>
      <w:pPr>
        <w:pStyle w:val="Heading2"/>
        <w:spacing w:before="360" w:after="160"/>
      </w:pPr>
      <w:r>
        <w:rPr>
          <w:rFonts w:ascii="Times New Roman" w:hAnsi="Times New Roman" w:eastAsia="Times New Roman"/>
          <w:color w:val="1A1A2E"/>
          <w:sz w:val="36"/>
        </w:rPr>
        <w:t>Phần 3. Giải pháp đề xuất — Phát điện và lưu trữ tại chỗ</w:t>
      </w:r>
    </w:p>
    <w:p>
      <w:r>
        <w:t xml:space="preserve">Như phân tích tại Phần 1 và 2, điểm yếu cấu trúc của hệ thống điện Phú Quốc không phải là thiếu dung lượng mà là </w:t>
      </w:r>
      <w:r>
        <w:rPr>
          <w:b/>
        </w:rPr>
        <w:t>thiếu nguồn phát tại chỗ</w:t>
      </w:r>
      <w:r>
        <w:t>. Khi toàn bộ nguồn điện đến từ đất liền qua cáp ngầm, bất kỳ gián đoạn nào trên đường truyền đều làm tê liệt toàn đảo — bất kể dung lượng lưới lớn đến đâu.</w:t>
      </w:r>
    </w:p>
    <w:p>
      <w:r>
        <w:t xml:space="preserve">Giải pháp, do đó, nằm ở logic đơn giản: </w:t>
      </w:r>
      <w:r>
        <w:rPr>
          <w:b/>
        </w:rPr>
        <w:t>tạo nguồn phát và lưu trữ ngay trên đảo</w:t>
      </w:r>
      <w:r>
        <w:t>, kết nối với lưới EVN qua hệ thống microgrid có khả năng chuyển mạch tự động. Bản ghi nhớ CLP ngày 23/02/2026 cũng xác nhận, “cách duy nhất để giảm phụ thuộc vào cáp ngầm là tạo nguồn phát điện ngay trên đảo”[^3].</w:t>
      </w:r>
    </w:p>
    <w:p>
      <w:pPr>
        <w:pStyle w:val="Heading3"/>
        <w:spacing w:before="240" w:after="160"/>
      </w:pPr>
      <w:r>
        <w:rPr>
          <w:rFonts w:ascii="Times New Roman" w:hAnsi="Times New Roman" w:eastAsia="Times New Roman"/>
          <w:color w:val="1A1A2E"/>
          <w:sz w:val="32"/>
        </w:rPr>
        <w:t>3.1. Pin lưu trữ năng lượng (BESS) — “Bảo hiểm điện” chuyển mạch tức thì</w:t>
      </w:r>
    </w:p>
    <w:p>
      <w:r>
        <w:t>BESS là thành phần cốt lõi của giải pháp, đóng vai trò “bảo hiểm điện” — không phải để thay thế lưới EVN, mà để đảm bảo duy trì nguồn điện liên tục trong mọi tình huống. Sự khác biệt giữa BESS và máy phát diesel truyền thống là căn bản.</w:t>
      </w:r>
    </w:p>
    <w:p>
      <w:r>
        <w:rPr>
          <w:b/>
        </w:rPr>
        <w:t>So sánh BESS với máy phát diesel:</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Tiêu chí</w:t>
            </w:r>
          </w:p>
        </w:tc>
        <w:tc>
          <w:tcPr>
            <w:tcW w:type="dxa" w:w="3120"/>
            <w:shd w:fill="E2E8F0" w:val="clear"/>
          </w:tcPr>
          <w:p>
            <w:pPr>
              <w:spacing w:before="60" w:after="60"/>
            </w:pPr>
            <w:r>
              <w:rPr>
                <w:rFonts w:ascii="Times New Roman" w:hAnsi="Times New Roman"/>
                <w:b/>
                <w:sz w:val="20"/>
              </w:rPr>
              <w:t>Máy phát diesel</w:t>
            </w:r>
          </w:p>
        </w:tc>
        <w:tc>
          <w:tcPr>
            <w:tcW w:type="dxa" w:w="3120"/>
            <w:shd w:fill="E2E8F0" w:val="clear"/>
          </w:tcPr>
          <w:p>
            <w:pPr>
              <w:spacing w:before="60" w:after="60"/>
            </w:pPr>
            <w:r>
              <w:rPr>
                <w:rFonts w:ascii="Times New Roman" w:hAnsi="Times New Roman"/>
                <w:b/>
                <w:sz w:val="20"/>
              </w:rPr>
              <w:t>BESS</w:t>
            </w:r>
          </w:p>
        </w:tc>
      </w:tr>
      <w:tr>
        <w:tc>
          <w:tcPr>
            <w:tcW w:type="dxa" w:w="3120"/>
          </w:tcPr>
          <w:p>
            <w:pPr>
              <w:spacing w:before="60" w:after="60"/>
            </w:pPr>
            <w:r>
              <w:rPr>
                <w:rFonts w:ascii="Times New Roman" w:hAnsi="Times New Roman"/>
                <w:sz w:val="20"/>
              </w:rPr>
              <w:t>Thời gian chuyển mạch</w:t>
            </w:r>
          </w:p>
        </w:tc>
        <w:tc>
          <w:tcPr>
            <w:tcW w:type="dxa" w:w="3120"/>
          </w:tcPr>
          <w:p>
            <w:pPr>
              <w:spacing w:before="60" w:after="60"/>
            </w:pPr>
            <w:r>
              <w:rPr>
                <w:rFonts w:ascii="Times New Roman" w:hAnsi="Times New Roman"/>
                <w:sz w:val="20"/>
              </w:rPr>
              <w:t>30 giây – 2 phút</w:t>
            </w:r>
          </w:p>
        </w:tc>
        <w:tc>
          <w:tcPr>
            <w:tcW w:type="dxa" w:w="3120"/>
          </w:tcPr>
          <w:p>
            <w:pPr>
              <w:spacing w:before="60" w:after="60"/>
            </w:pPr>
            <w:r>
              <w:rPr>
                <w:rFonts w:ascii="Times New Roman" w:hAnsi="Times New Roman"/>
                <w:sz w:val="20"/>
              </w:rPr>
              <w:t>&lt; 20 mili-giây(nhanh hơn 6.000 lần)[^26]</w:t>
            </w:r>
          </w:p>
        </w:tc>
      </w:tr>
      <w:tr>
        <w:tc>
          <w:tcPr>
            <w:tcW w:type="dxa" w:w="3120"/>
          </w:tcPr>
          <w:p>
            <w:pPr>
              <w:spacing w:before="60" w:after="60"/>
            </w:pPr>
            <w:r>
              <w:rPr>
                <w:rFonts w:ascii="Times New Roman" w:hAnsi="Times New Roman"/>
                <w:sz w:val="20"/>
              </w:rPr>
              <w:t>Chi phí vận hành</w:t>
            </w:r>
          </w:p>
        </w:tc>
        <w:tc>
          <w:tcPr>
            <w:tcW w:type="dxa" w:w="3120"/>
          </w:tcPr>
          <w:p>
            <w:pPr>
              <w:spacing w:before="60" w:after="60"/>
            </w:pPr>
            <w:r>
              <w:rPr>
                <w:rFonts w:ascii="Times New Roman" w:hAnsi="Times New Roman"/>
                <w:sz w:val="20"/>
              </w:rPr>
              <w:t>32 triệu VND/ngày + nhiên liệu[^3]</w:t>
            </w:r>
          </w:p>
        </w:tc>
        <w:tc>
          <w:tcPr>
            <w:tcW w:type="dxa" w:w="3120"/>
          </w:tcPr>
          <w:p>
            <w:pPr>
              <w:spacing w:before="60" w:after="60"/>
            </w:pPr>
            <w:r>
              <w:rPr>
                <w:rFonts w:ascii="Times New Roman" w:hAnsi="Times New Roman"/>
                <w:sz w:val="20"/>
              </w:rPr>
              <w:t>Gần bằng 0 (không nhiên liệu)</w:t>
            </w:r>
          </w:p>
        </w:tc>
      </w:tr>
      <w:tr>
        <w:tc>
          <w:tcPr>
            <w:tcW w:type="dxa" w:w="3120"/>
          </w:tcPr>
          <w:p>
            <w:pPr>
              <w:spacing w:before="60" w:after="60"/>
            </w:pPr>
            <w:r>
              <w:rPr>
                <w:rFonts w:ascii="Times New Roman" w:hAnsi="Times New Roman"/>
                <w:sz w:val="20"/>
              </w:rPr>
              <w:t>Phát thải CO₂</w:t>
            </w:r>
          </w:p>
        </w:tc>
        <w:tc>
          <w:tcPr>
            <w:tcW w:type="dxa" w:w="3120"/>
          </w:tcPr>
          <w:p>
            <w:pPr>
              <w:spacing w:before="60" w:after="60"/>
            </w:pPr>
            <w:r>
              <w:rPr>
                <w:rFonts w:ascii="Times New Roman" w:hAnsi="Times New Roman"/>
                <w:sz w:val="20"/>
              </w:rPr>
              <w:t>Cao (diesel)</w:t>
            </w:r>
          </w:p>
        </w:tc>
        <w:tc>
          <w:tcPr>
            <w:tcW w:type="dxa" w:w="3120"/>
          </w:tcPr>
          <w:p>
            <w:pPr>
              <w:spacing w:before="60" w:after="60"/>
            </w:pPr>
            <w:r>
              <w:rPr>
                <w:rFonts w:ascii="Times New Roman" w:hAnsi="Times New Roman"/>
                <w:sz w:val="20"/>
              </w:rPr>
              <w:t>Không</w:t>
            </w:r>
          </w:p>
        </w:tc>
      </w:tr>
      <w:tr>
        <w:tc>
          <w:tcPr>
            <w:tcW w:type="dxa" w:w="3120"/>
          </w:tcPr>
          <w:p>
            <w:pPr>
              <w:spacing w:before="60" w:after="60"/>
            </w:pPr>
            <w:r>
              <w:rPr>
                <w:rFonts w:ascii="Times New Roman" w:hAnsi="Times New Roman"/>
                <w:sz w:val="20"/>
              </w:rPr>
              <w:t>Tiếng ồn</w:t>
            </w:r>
          </w:p>
        </w:tc>
        <w:tc>
          <w:tcPr>
            <w:tcW w:type="dxa" w:w="3120"/>
          </w:tcPr>
          <w:p>
            <w:pPr>
              <w:spacing w:before="60" w:after="60"/>
            </w:pPr>
            <w:r>
              <w:rPr>
                <w:rFonts w:ascii="Times New Roman" w:hAnsi="Times New Roman"/>
                <w:sz w:val="20"/>
              </w:rPr>
              <w:t>Lớn — không phù hợp resort 5 sao</w:t>
            </w:r>
          </w:p>
        </w:tc>
        <w:tc>
          <w:tcPr>
            <w:tcW w:type="dxa" w:w="3120"/>
          </w:tcPr>
          <w:p>
            <w:pPr>
              <w:spacing w:before="60" w:after="60"/>
            </w:pPr>
            <w:r>
              <w:rPr>
                <w:rFonts w:ascii="Times New Roman" w:hAnsi="Times New Roman"/>
                <w:sz w:val="20"/>
              </w:rPr>
              <w:t>Im lặng</w:t>
            </w:r>
          </w:p>
        </w:tc>
      </w:tr>
      <w:tr>
        <w:tc>
          <w:tcPr>
            <w:tcW w:type="dxa" w:w="3120"/>
          </w:tcPr>
          <w:p>
            <w:pPr>
              <w:spacing w:before="60" w:after="60"/>
            </w:pPr>
            <w:r>
              <w:rPr>
                <w:rFonts w:ascii="Times New Roman" w:hAnsi="Times New Roman"/>
                <w:sz w:val="20"/>
              </w:rPr>
              <w:t>Cung cấp điện liên tục</w:t>
            </w:r>
          </w:p>
        </w:tc>
        <w:tc>
          <w:tcPr>
            <w:tcW w:type="dxa" w:w="3120"/>
          </w:tcPr>
          <w:p>
            <w:pPr>
              <w:spacing w:before="60" w:after="60"/>
            </w:pPr>
            <w:r>
              <w:rPr>
                <w:rFonts w:ascii="Times New Roman" w:hAnsi="Times New Roman"/>
                <w:sz w:val="20"/>
              </w:rPr>
              <w:t>Phụ thuộc nhiên liệu, cần tiếp liệu thường xuyên</w:t>
            </w:r>
          </w:p>
        </w:tc>
        <w:tc>
          <w:tcPr>
            <w:tcW w:type="dxa" w:w="3120"/>
          </w:tcPr>
          <w:p>
            <w:pPr>
              <w:spacing w:before="60" w:after="60"/>
            </w:pPr>
            <w:r>
              <w:rPr>
                <w:rFonts w:ascii="Times New Roman" w:hAnsi="Times New Roman"/>
                <w:sz w:val="20"/>
              </w:rPr>
              <w:t>2–8 giờ tùy dung lượng pin</w:t>
            </w:r>
          </w:p>
        </w:tc>
      </w:tr>
      <w:tr>
        <w:tc>
          <w:tcPr>
            <w:tcW w:type="dxa" w:w="3120"/>
          </w:tcPr>
          <w:p>
            <w:pPr>
              <w:spacing w:before="60" w:after="60"/>
            </w:pPr>
            <w:r>
              <w:rPr>
                <w:rFonts w:ascii="Times New Roman" w:hAnsi="Times New Roman"/>
                <w:sz w:val="20"/>
              </w:rPr>
              <w:t>Cần vận chuyển từ đất liền</w:t>
            </w:r>
          </w:p>
        </w:tc>
        <w:tc>
          <w:tcPr>
            <w:tcW w:type="dxa" w:w="3120"/>
          </w:tcPr>
          <w:p>
            <w:pPr>
              <w:spacing w:before="60" w:after="60"/>
            </w:pPr>
            <w:r>
              <w:rPr>
                <w:rFonts w:ascii="Times New Roman" w:hAnsi="Times New Roman"/>
                <w:sz w:val="20"/>
              </w:rPr>
              <w:t>Có — mất thời gian khi sự cố</w:t>
            </w:r>
          </w:p>
        </w:tc>
        <w:tc>
          <w:tcPr>
            <w:tcW w:type="dxa" w:w="3120"/>
          </w:tcPr>
          <w:p>
            <w:pPr>
              <w:spacing w:before="60" w:after="60"/>
            </w:pPr>
            <w:r>
              <w:rPr>
                <w:rFonts w:ascii="Times New Roman" w:hAnsi="Times New Roman"/>
                <w:sz w:val="20"/>
              </w:rPr>
              <w:t>Không— sẵn sàng tại chỗ 24/7</w:t>
            </w:r>
          </w:p>
        </w:tc>
      </w:tr>
      <w:tr>
        <w:tc>
          <w:tcPr>
            <w:tcW w:type="dxa" w:w="3120"/>
          </w:tcPr>
          <w:p>
            <w:pPr>
              <w:spacing w:before="60" w:after="60"/>
            </w:pPr>
            <w:r>
              <w:rPr>
                <w:rFonts w:ascii="Times New Roman" w:hAnsi="Times New Roman"/>
                <w:sz w:val="20"/>
              </w:rPr>
              <w:t>Phù hợp môi trường đảo</w:t>
            </w:r>
          </w:p>
        </w:tc>
        <w:tc>
          <w:tcPr>
            <w:tcW w:type="dxa" w:w="3120"/>
          </w:tcPr>
          <w:p>
            <w:pPr>
              <w:spacing w:before="60" w:after="60"/>
            </w:pPr>
            <w:r>
              <w:rPr>
                <w:rFonts w:ascii="Times New Roman" w:hAnsi="Times New Roman"/>
                <w:sz w:val="20"/>
              </w:rPr>
              <w:t>Thấp (ô nhiễm, tiếng ồn, logistic phức tạp)</w:t>
            </w:r>
          </w:p>
        </w:tc>
        <w:tc>
          <w:tcPr>
            <w:tcW w:type="dxa" w:w="3120"/>
          </w:tcPr>
          <w:p>
            <w:pPr>
              <w:spacing w:before="60" w:after="60"/>
            </w:pPr>
            <w:r>
              <w:rPr>
                <w:rFonts w:ascii="Times New Roman" w:hAnsi="Times New Roman"/>
                <w:sz w:val="20"/>
              </w:rPr>
              <w:t>Cao(sạch, yên tĩnh, tự vận hành)</w:t>
            </w:r>
          </w:p>
        </w:tc>
      </w:tr>
    </w:tbl>
    <w:p>
      <w:pPr>
        <w:spacing w:before="0" w:after="80"/>
      </w:pPr>
    </w:p>
    <w:p>
      <w:r>
        <w:t>Con số 20 mili-giây có ý nghĩa thực tiễn then chốt: thiết bị điện tử, máy tính, hệ thống an ninh sân bay, thang máy, hệ thống phiên dịch hội nghị — tất cả đều tiếp tục hoạt động mà không nhận biết sự gián đoạn. Với máy phát diesel, khoảng gap 30 giây – 2 phút đủ để toàn bộ hệ thống IT reset, thang máy kẹt, và hệ thống an ninh mất tín hiệu.</w:t>
      </w:r>
    </w:p>
    <w:p>
      <w:r>
        <w:rPr>
          <w:b/>
        </w:rPr>
        <w:t>Tiền lệ đã có tại Việt Nam — Vinpearl Nha Trang (12/2024):</w:t>
      </w:r>
      <w:r>
        <w:t xml:space="preserve"> Tháng 12/2024, Marubeni và VinFast Energy khánh thành hệ thống BESS </w:t>
      </w:r>
      <w:r>
        <w:rPr>
          <w:b/>
        </w:rPr>
        <w:t>1,8 MW / 3,7 MWh</w:t>
      </w:r>
      <w:r>
        <w:t xml:space="preserve"> tại Vinpearl Resort trên đảo Hòn Tre[^20]. Mô hình rất đáng chú ý: Vinpearl </w:t>
      </w:r>
      <w:r>
        <w:rPr>
          <w:b/>
        </w:rPr>
        <w:t>không bỏ vốn đầu tư ban đầu</w:t>
      </w:r>
      <w:r>
        <w:t xml:space="preserve"> — Marubeni đầu tư và vận hành hệ thống, VinFast sản xuất pin lithium-ion với hệ thống làm mát chất lỏng, Vinpearl hưởng lợi từ giảm chi phí điện giờ cao điểm và tăng ổn định nguồn cung. Đây chính xác là mô hình mà báo cáo này khuyến nghị áp dụng cho Sun Group, với quy mô lớn hơn nhiều lần.</w:t>
      </w:r>
    </w:p>
    <w:p>
      <w:r>
        <w:rPr>
          <w:b/>
        </w:rPr>
        <w:t>Chuỗi cung ứng nội địa:</w:t>
      </w:r>
      <w:r>
        <w:t xml:space="preserve"> Fluence Energy (liên doanh Siemens-AES) đã khai trương nhà máy sản xuất pin lưu trữ tự động hóa </w:t>
      </w:r>
      <w:r>
        <w:rPr>
          <w:b/>
        </w:rPr>
        <w:t>35 GWh/năm</w:t>
      </w:r>
      <w:r>
        <w:t xml:space="preserve"> tại Bắc Giang vào tháng 08/2025 — đủ sản xuất 8,75 GW hệ thống lưu trữ 4 giờ mỗi năm[^21]. Chi phí pin lưu trữ toàn cầu đã giảm xuống </w:t>
      </w:r>
      <w:r>
        <w:rPr>
          <w:b/>
        </w:rPr>
        <w:t>~80 USD/kWh</w:t>
      </w:r>
      <w:r>
        <w:t xml:space="preserve"> và tiếp tục giảm nhanh[^22]. Việc có nhà máy sản xuất ngay tại Việt Nam giúp giảm đáng kể chi phí logistic và thời gian triển khai.</w:t>
      </w:r>
    </w:p>
    <w:p>
      <w:pPr>
        <w:pStyle w:val="Heading3"/>
        <w:spacing w:before="240" w:after="160"/>
      </w:pPr>
      <w:r>
        <w:rPr>
          <w:rFonts w:ascii="Times New Roman" w:hAnsi="Times New Roman" w:eastAsia="Times New Roman"/>
          <w:color w:val="1A1A2E"/>
          <w:sz w:val="32"/>
        </w:rPr>
        <w:t>3.2. Điện mặt trời — Tận dụng lợi thế tự nhiên</w:t>
      </w:r>
    </w:p>
    <w:p>
      <w:r>
        <w:t xml:space="preserve">Phú Quốc nằm ở vĩ tuyến 10°N, nhận bức xạ mặt trời </w:t>
      </w:r>
      <w:r>
        <w:rPr>
          <w:b/>
        </w:rPr>
        <w:t>4,5–5,5 kWh/m²/ngày</w:t>
      </w:r>
      <w:r>
        <w:t xml:space="preserve"> — thuộc nhóm tốt nhất Việt Nam và cao hơn mức trung bình toàn quốc (3,5–5,0 kWh/m²/ngày)[^5][^23]. Đây là lợi thế tự nhiên mà Sun Group có thể khai thác trực tiếp thông qua hệ thống điện mặt trời mái nhà — không cần đất riêng, không ảnh hưởng cảnh quan.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Vị trí</w:t>
            </w:r>
          </w:p>
        </w:tc>
        <w:tc>
          <w:tcPr>
            <w:tcW w:type="dxa" w:w="3120"/>
            <w:shd w:fill="E2E8F0" w:val="clear"/>
          </w:tcPr>
          <w:p>
            <w:pPr>
              <w:spacing w:before="60" w:after="60"/>
            </w:pPr>
            <w:r>
              <w:rPr>
                <w:rFonts w:ascii="Times New Roman" w:hAnsi="Times New Roman"/>
                <w:b/>
                <w:sz w:val="20"/>
              </w:rPr>
              <w:t>Diện tích mái ước tính</w:t>
            </w:r>
          </w:p>
        </w:tc>
        <w:tc>
          <w:tcPr>
            <w:tcW w:type="dxa" w:w="3120"/>
            <w:shd w:fill="E2E8F0" w:val="clear"/>
          </w:tcPr>
          <w:p>
            <w:pPr>
              <w:spacing w:before="60" w:after="60"/>
            </w:pPr>
            <w:r>
              <w:rPr>
                <w:rFonts w:ascii="Times New Roman" w:hAnsi="Times New Roman"/>
                <w:b/>
                <w:sz w:val="20"/>
              </w:rPr>
              <w:t>Công suất tiềm năng</w:t>
            </w:r>
          </w:p>
        </w:tc>
      </w:tr>
      <w:tr>
        <w:tc>
          <w:tcPr>
            <w:tcW w:type="dxa" w:w="3120"/>
          </w:tcPr>
          <w:p>
            <w:pPr>
              <w:spacing w:before="60" w:after="60"/>
            </w:pPr>
            <w:r>
              <w:rPr>
                <w:rFonts w:ascii="Times New Roman" w:hAnsi="Times New Roman"/>
                <w:sz w:val="20"/>
              </w:rPr>
              <w:t>15 tòa tháp Bãi Đất Đỏ</w:t>
            </w:r>
          </w:p>
        </w:tc>
        <w:tc>
          <w:tcPr>
            <w:tcW w:type="dxa" w:w="3120"/>
          </w:tcPr>
          <w:p>
            <w:pPr>
              <w:spacing w:before="60" w:after="60"/>
            </w:pPr>
            <w:r>
              <w:rPr>
                <w:rFonts w:ascii="Times New Roman" w:hAnsi="Times New Roman"/>
                <w:sz w:val="20"/>
              </w:rPr>
              <w:t>~50.000 m²</w:t>
            </w:r>
          </w:p>
        </w:tc>
        <w:tc>
          <w:tcPr>
            <w:tcW w:type="dxa" w:w="3120"/>
          </w:tcPr>
          <w:p>
            <w:pPr>
              <w:spacing w:before="60" w:after="60"/>
            </w:pPr>
            <w:r>
              <w:rPr>
                <w:rFonts w:ascii="Times New Roman" w:hAnsi="Times New Roman"/>
                <w:sz w:val="20"/>
              </w:rPr>
              <w:t>5–8 MWp</w:t>
            </w:r>
          </w:p>
        </w:tc>
      </w:tr>
      <w:tr>
        <w:tc>
          <w:tcPr>
            <w:tcW w:type="dxa" w:w="3120"/>
          </w:tcPr>
          <w:p>
            <w:pPr>
              <w:spacing w:before="60" w:after="60"/>
            </w:pPr>
            <w:r>
              <w:rPr>
                <w:rFonts w:ascii="Times New Roman" w:hAnsi="Times New Roman"/>
                <w:sz w:val="20"/>
              </w:rPr>
              <w:t>Sân bay (nhà ga, bãi đỗ)</w:t>
            </w:r>
          </w:p>
        </w:tc>
        <w:tc>
          <w:tcPr>
            <w:tcW w:type="dxa" w:w="3120"/>
          </w:tcPr>
          <w:p>
            <w:pPr>
              <w:spacing w:before="60" w:after="60"/>
            </w:pPr>
            <w:r>
              <w:rPr>
                <w:rFonts w:ascii="Times New Roman" w:hAnsi="Times New Roman"/>
                <w:sz w:val="20"/>
              </w:rPr>
              <w:t>~30.000 m²</w:t>
            </w:r>
          </w:p>
        </w:tc>
        <w:tc>
          <w:tcPr>
            <w:tcW w:type="dxa" w:w="3120"/>
          </w:tcPr>
          <w:p>
            <w:pPr>
              <w:spacing w:before="60" w:after="60"/>
            </w:pPr>
            <w:r>
              <w:rPr>
                <w:rFonts w:ascii="Times New Roman" w:hAnsi="Times New Roman"/>
                <w:sz w:val="20"/>
              </w:rPr>
              <w:t>3–5 MWp</w:t>
            </w:r>
          </w:p>
        </w:tc>
      </w:tr>
      <w:tr>
        <w:tc>
          <w:tcPr>
            <w:tcW w:type="dxa" w:w="3120"/>
          </w:tcPr>
          <w:p>
            <w:pPr>
              <w:spacing w:before="60" w:after="60"/>
            </w:pPr>
            <w:r>
              <w:rPr>
                <w:rFonts w:ascii="Times New Roman" w:hAnsi="Times New Roman"/>
                <w:sz w:val="20"/>
              </w:rPr>
              <w:t>TTHH APEC + Nhà hát</w:t>
            </w:r>
          </w:p>
        </w:tc>
        <w:tc>
          <w:tcPr>
            <w:tcW w:type="dxa" w:w="3120"/>
          </w:tcPr>
          <w:p>
            <w:pPr>
              <w:spacing w:before="60" w:after="60"/>
            </w:pPr>
            <w:r>
              <w:rPr>
                <w:rFonts w:ascii="Times New Roman" w:hAnsi="Times New Roman"/>
                <w:sz w:val="20"/>
              </w:rPr>
              <w:t>~15.000 m²</w:t>
            </w:r>
          </w:p>
        </w:tc>
        <w:tc>
          <w:tcPr>
            <w:tcW w:type="dxa" w:w="3120"/>
          </w:tcPr>
          <w:p>
            <w:pPr>
              <w:spacing w:before="60" w:after="60"/>
            </w:pPr>
            <w:r>
              <w:rPr>
                <w:rFonts w:ascii="Times New Roman" w:hAnsi="Times New Roman"/>
                <w:sz w:val="20"/>
              </w:rPr>
              <w:t>1,5–2,5 MWp</w:t>
            </w:r>
          </w:p>
        </w:tc>
      </w:tr>
      <w:tr>
        <w:tc>
          <w:tcPr>
            <w:tcW w:type="dxa" w:w="3120"/>
          </w:tcPr>
          <w:p>
            <w:pPr>
              <w:spacing w:before="60" w:after="60"/>
            </w:pPr>
            <w:r>
              <w:rPr>
                <w:rFonts w:ascii="Times New Roman" w:hAnsi="Times New Roman"/>
                <w:sz w:val="20"/>
              </w:rPr>
              <w:t>Khu thương mại</w:t>
            </w:r>
          </w:p>
        </w:tc>
        <w:tc>
          <w:tcPr>
            <w:tcW w:type="dxa" w:w="3120"/>
          </w:tcPr>
          <w:p>
            <w:pPr>
              <w:spacing w:before="60" w:after="60"/>
            </w:pPr>
            <w:r>
              <w:rPr>
                <w:rFonts w:ascii="Times New Roman" w:hAnsi="Times New Roman"/>
                <w:sz w:val="20"/>
              </w:rPr>
              <w:t>~20.000 m²</w:t>
            </w:r>
          </w:p>
        </w:tc>
        <w:tc>
          <w:tcPr>
            <w:tcW w:type="dxa" w:w="3120"/>
          </w:tcPr>
          <w:p>
            <w:pPr>
              <w:spacing w:before="60" w:after="60"/>
            </w:pPr>
            <w:r>
              <w:rPr>
                <w:rFonts w:ascii="Times New Roman" w:hAnsi="Times New Roman"/>
                <w:sz w:val="20"/>
              </w:rPr>
              <w:t>2–3 MWp</w:t>
            </w:r>
          </w:p>
        </w:tc>
      </w:tr>
      <w:tr>
        <w:tc>
          <w:tcPr>
            <w:tcW w:type="dxa" w:w="3120"/>
          </w:tcPr>
          <w:p>
            <w:pPr>
              <w:spacing w:before="60" w:after="60"/>
            </w:pPr>
            <w:r>
              <w:rPr>
                <w:rFonts w:ascii="Times New Roman" w:hAnsi="Times New Roman"/>
                <w:sz w:val="20"/>
              </w:rPr>
              <w:t>Tổng</w:t>
            </w:r>
          </w:p>
        </w:tc>
        <w:tc>
          <w:tcPr>
            <w:tcW w:type="dxa" w:w="3120"/>
          </w:tcPr>
          <w:p>
            <w:pPr>
              <w:spacing w:before="60" w:after="60"/>
            </w:pPr>
            <w:r>
              <w:rPr>
                <w:rFonts w:ascii="Times New Roman" w:hAnsi="Times New Roman"/>
                <w:sz w:val="20"/>
              </w:rPr>
              <w:t>~115.000 m²</w:t>
            </w:r>
          </w:p>
        </w:tc>
        <w:tc>
          <w:tcPr>
            <w:tcW w:type="dxa" w:w="3120"/>
          </w:tcPr>
          <w:p>
            <w:pPr>
              <w:spacing w:before="60" w:after="60"/>
            </w:pPr>
            <w:r>
              <w:rPr>
                <w:rFonts w:ascii="Times New Roman" w:hAnsi="Times New Roman"/>
                <w:sz w:val="20"/>
              </w:rPr>
              <w:t>11,5–18,5 MWp</w:t>
            </w:r>
          </w:p>
        </w:tc>
      </w:tr>
    </w:tbl>
    <w:p>
      <w:pPr>
        <w:spacing w:before="0" w:after="80"/>
      </w:pPr>
    </w:p>
    <w:p>
      <w:r>
        <w:t xml:space="preserve">Với 115.000 m² diện tích mái chỉ riêng các cơ sở Sun Group, tiềm năng phát điện mặt trời là đáng kể. Điện mặt trời phát mạnh ban ngày — trùng với thời điểm HVAC (điều hòa) tiêu thụ nhiều nhất (50–70% tổng tiêu thụ khách sạn[^15]). Điều này có nghĩa nguồn phát tái tạo và nhu cầu tiêu thụ đỉnh </w:t>
      </w:r>
      <w:r>
        <w:rPr>
          <w:b/>
        </w:rPr>
        <w:t>trùng khớp về mặt thời gian</w:t>
      </w:r>
      <w:r>
        <w:t xml:space="preserve"> — tối ưu hóa hiệu quả tự tiêu thụ mà không cần lưu trữ.</w:t>
      </w:r>
    </w:p>
    <w:p>
      <w:r>
        <w:rPr>
          <w:b/>
        </w:rPr>
        <w:t>Tiền lệ ngành hospitality:</w:t>
      </w:r>
      <w:r>
        <w:t xml:space="preserve"> Six Senses Ninh Vân Bay đã lắp đặt 800 tấm pin mặt trời nội khu, cung cấp 26–28% điện năng tiêu thụ, và giành giải </w:t>
      </w:r>
      <w:r>
        <w:rPr>
          <w:b/>
        </w:rPr>
        <w:t>Climate &amp; Biodiversity Action Award</w:t>
      </w:r>
      <w:r>
        <w:t xml:space="preserve"> tại HICAP 2024 Sustainable Hotel Awards[^24]. Nếu Sun Group triển khai hệ thống quy mô lớn hơn nhiều lần tại Phú Quốc với 11,5–18,5 MWp, đây sẽ trở thành hệ thống điện mặt trời mái nhà lớn nhất trong ngành hospitality Đông Nam Á.</w:t>
      </w:r>
    </w:p>
    <w:p>
      <w:pPr>
        <w:pStyle w:val="Heading3"/>
        <w:spacing w:before="240" w:after="160"/>
      </w:pPr>
      <w:r>
        <w:rPr>
          <w:rFonts w:ascii="Times New Roman" w:hAnsi="Times New Roman" w:eastAsia="Times New Roman"/>
          <w:color w:val="1A1A2E"/>
          <w:sz w:val="32"/>
        </w:rPr>
        <w:t>3.3. Điện gió ven bờ — Bổ sung khi mặt trời không phát</w:t>
      </w:r>
    </w:p>
    <w:p>
      <w:r>
        <w:t>Điện mặt trời có điểm hạn chế hiển nhiên: không phát điện ban đêm và giảm công suất trong mùa mưa. Điện gió ven bờ bổ sung chính xác ở những thời điểm này — gió thường mạnh hơn vào ban đêm và mùa mưa, tạo sự bổ trợ tự nhiên với năng lượng mặt trời.</w:t>
      </w:r>
    </w:p>
    <w:p>
      <w:r>
        <w:t xml:space="preserve">Vùng biển Phú Quốc/Kiên Giang đã được quy hoạch trong Quy hoạch Điện VIII (Quyết định 500/QĐ-TTg ngày 15/5/2023)[^25] cho phát triển điện gió. CLP có kinh nghiệm trực tiếp với </w:t>
      </w:r>
      <w:r>
        <w:rPr>
          <w:b/>
        </w:rPr>
        <w:t>2,5 GW điện gió tại Đài Loan</w:t>
      </w:r>
      <w:r>
        <w:t xml:space="preserve"> và đang dự kiến đầu tư </w:t>
      </w:r>
      <w:r>
        <w:rPr>
          <w:b/>
        </w:rPr>
        <w:t>hơn 300 MW tại Việt Nam</w:t>
      </w:r>
      <w:r>
        <w:t xml:space="preserve"> trong năm 2027[^3] — năng lực này hoàn toàn phù hợp cho bài toán điện gió ven bờ Phú Quốc.</w:t>
      </w:r>
    </w:p>
    <w:p>
      <w:r>
        <w:t xml:space="preserve">Điện gió ven bờ có thêm ưu điểm quan trọng: </w:t>
      </w:r>
      <w:r>
        <w:rPr>
          <w:b/>
        </w:rPr>
        <w:t>không chiếm đất đảo</w:t>
      </w:r>
      <w:r>
        <w:t>. Với quỹ đất Phú Quốc ngày càng khan hiếm, các turbine gió đặt ngoài khơi hoặc ven bờ vừa phát điện vừa không ảnh hưởng đến cảnh quan và quỹ đất phát triển.</w:t>
      </w:r>
    </w:p>
    <w:p>
      <w:pPr>
        <w:pStyle w:val="Heading3"/>
        <w:spacing w:before="240" w:after="160"/>
      </w:pPr>
      <w:r>
        <w:rPr>
          <w:rFonts w:ascii="Times New Roman" w:hAnsi="Times New Roman" w:eastAsia="Times New Roman"/>
          <w:color w:val="1A1A2E"/>
          <w:sz w:val="32"/>
        </w:rPr>
        <w:t>3.4. Microgrid — Chuyển mạch tự động, loại bỏ kịch bản mất điện</w:t>
      </w:r>
    </w:p>
    <w:p>
      <w:r>
        <w:t xml:space="preserve">Ba thành phần trên (BESS + solar + wind) cần được kết nối thành hệ thống microgrid thông minh, hoạt động song song với lưới EVN. Khi lưới EVN gián đoạn, microgrid </w:t>
      </w:r>
      <w:r>
        <w:rPr>
          <w:b/>
        </w:rPr>
        <w:t>tự động chuyển nguồn trong mili-giây</w:t>
      </w:r>
      <w:r>
        <w:t xml:space="preserve"> — loại bỏ hoàn toàn kịch bản “du khách phải di dời, resort thuê máy phát diesel từ đất liền”[^3] như đã xảy ra tháng 11/2025.</w:t>
      </w:r>
    </w:p>
    <w:p>
      <w:r>
        <w:t>Microgrid hiện đại dựa trên tiêu chuẩn IEEE 1547 và IEEE 2030 cho phép[^26]:</w:t>
        <w:br/>
        <w:t>- Chuyển mạch tự động &lt; 20 ms cho tải ưu tiên (critical loads)</w:t>
        <w:br/>
        <w:t>- Vận hành ở chế độ “island” (cô lập) hoàn toàn khi lưới chính gặp sự cố</w:t>
        <w:br/>
        <w:t>- Tự động đồng bộ và kết nối lại khi lưới chính phục hồi</w:t>
        <w:br/>
        <w:t>- Quản lý thông minh tải — ưu tiên cấp điện cho sân bay, hệ thống an ninh, HVAC trước, sau đó mở rộng dần</w:t>
      </w:r>
    </w:p>
    <w:p>
      <w:r>
        <w:t>Đây là khả năng mà máy phát diesel truyền thống không thể đạt được: chuyển mạch thủ công, không quản lý tải thông minh, và phụ thuộc hoàn toàn vào con người vận hành.</w:t>
      </w:r>
    </w:p>
    <w:p>
      <w:pPr>
        <w:pStyle w:val="Heading3"/>
        <w:spacing w:before="240" w:after="160"/>
      </w:pPr>
      <w:r>
        <w:rPr>
          <w:rFonts w:ascii="Times New Roman" w:hAnsi="Times New Roman" w:eastAsia="Times New Roman"/>
          <w:color w:val="1A1A2E"/>
          <w:sz w:val="32"/>
        </w:rPr>
        <w:t>3.5. Hạ tầng sạc xe điện — Bài toán năng lượng lớn nhất chưa được đề cập</w:t>
      </w:r>
    </w:p>
    <w:p>
      <w:r>
        <w:t xml:space="preserve">Đây là phần cần được phân tích kỹ lưỡng hơn so với các phiên bản trước, bởi nhu cầu sạc xe điện tại Phú Quốc đang tăng trưởng </w:t>
      </w:r>
      <w:r>
        <w:rPr>
          <w:b/>
        </w:rPr>
        <w:t>nhanh hơn bất kỳ dự báo nào</w:t>
      </w:r>
      <w:r>
        <w:t xml:space="preserve"> — và đang trở thành một trong những nguồn tiêu thụ điện lớn nhất trên đảo.</w:t>
      </w:r>
    </w:p>
    <w:p>
      <w:pPr>
        <w:pStyle w:val="Heading4"/>
        <w:spacing w:before="240" w:after="160"/>
      </w:pPr>
      <w:r>
        <w:rPr>
          <w:rFonts w:ascii="Times New Roman" w:hAnsi="Times New Roman" w:eastAsia="Times New Roman"/>
          <w:color w:val="1A1A2E"/>
          <w:sz w:val="28"/>
        </w:rPr>
        <w:t>3.5.1. Xanh SM — Đội xe điện lớn nhất trên đảo</w:t>
      </w:r>
    </w:p>
    <w:p>
      <w:r>
        <w:t xml:space="preserve">Xanh SM (thuộc hệ sinh thái Vingroup) chính thức khai trương dịch vụ taxi điện tại Phú Quốc vào ngày 02/07/2023, với đợt đầu tiên gồm </w:t>
      </w:r>
      <w:r>
        <w:rPr>
          <w:b/>
        </w:rPr>
        <w:t>100 xe điện VinFast</w:t>
      </w:r>
      <w:r>
        <w:t xml:space="preserve"> (mẫu VF e34 và VF 5 Plus)[^27]. Hãng công bố kế hoạch nâng lên </w:t>
      </w:r>
      <w:r>
        <w:rPr>
          <w:b/>
        </w:rPr>
        <w:t>300 xe</w:t>
      </w:r>
      <w:r>
        <w:t xml:space="preserve"> ngay trong năm 2023[^27], và tiếp tục mở rộng mạnh mẽ trong 2024–2025 thông qua hai kênh: đội xe trực tiếp và nền tảng </w:t>
      </w:r>
      <w:r>
        <w:rPr>
          <w:b/>
        </w:rPr>
        <w:t>Xanh SM Platform</w:t>
      </w:r>
      <w:r>
        <w:t xml:space="preserve"> (ra mắt tháng 3/2024) cho phép chủ xe VinFast tham gia làm đối tác kinh doanh vận tải[^28].</w:t>
      </w:r>
    </w:p>
    <w:p>
      <w:r>
        <w:t xml:space="preserve">Để đặt trong bối cảnh: trên toàn quốc tính đến cuối 2025, Xanh SM vận hành hơn </w:t>
      </w:r>
      <w:r>
        <w:rPr>
          <w:b/>
        </w:rPr>
        <w:t>100.000 phương tiện điện</w:t>
      </w:r>
      <w:r>
        <w:t xml:space="preserve"> (khoảng 20.000 ô tô và 80.000 xe máy điện), phủ sóng 61 tỉnh thành[^29]. Phú Quốc, với tư cách là một trong những địa phương đầu tiên triển khai Xanh SM và có mục tiêu rõ ràng trở thành “đảo xanh,” là thị trường trọng điểm cho hãng này.</w:t>
      </w:r>
    </w:p>
    <w:p>
      <w:pPr>
        <w:pStyle w:val="Heading4"/>
        <w:spacing w:before="240" w:after="160"/>
      </w:pPr>
      <w:r>
        <w:rPr>
          <w:rFonts w:ascii="Times New Roman" w:hAnsi="Times New Roman" w:eastAsia="Times New Roman"/>
          <w:color w:val="1A1A2E"/>
          <w:sz w:val="28"/>
        </w:rPr>
        <w:t>3.5.2. Mục tiêu giao thông xanh của Phú Quốc</w:t>
      </w:r>
    </w:p>
    <w:p>
      <w:r>
        <w:t>Phú Quốc đã xác định lộ trình chuyển đổi giao thông xanh với các mốc cụ thể[^30]:</w:t>
        <w:br/>
        <w:t xml:space="preserve">- </w:t>
      </w:r>
      <w:r>
        <w:rPr>
          <w:b/>
        </w:rPr>
        <w:t>2025:</w:t>
      </w:r>
      <w:r>
        <w:t xml:space="preserve"> Tối thiểu </w:t>
      </w:r>
      <w:r>
        <w:rPr>
          <w:b/>
        </w:rPr>
        <w:t>50% phương tiện vận tải</w:t>
      </w:r>
      <w:r>
        <w:t xml:space="preserve"> sử dụng điện hoặc năng lượng xanh; </w:t>
      </w:r>
      <w:r>
        <w:rPr>
          <w:b/>
        </w:rPr>
        <w:t>100% taxi</w:t>
      </w:r>
      <w:r>
        <w:t xml:space="preserve"> thay thế hoặc đầu tư mới sẽ sử dụng điện</w:t>
        <w:br/>
        <w:t xml:space="preserve">- </w:t>
      </w:r>
      <w:r>
        <w:rPr>
          <w:b/>
        </w:rPr>
        <w:t>2030:</w:t>
      </w:r>
      <w:r>
        <w:t xml:space="preserve"> Phú Quốc hướng tới trở thành </w:t>
      </w:r>
      <w:r>
        <w:rPr>
          <w:b/>
        </w:rPr>
        <w:t>hòn đảo không có xe sử dụng nhiên liệu xăng, dầu</w:t>
      </w:r>
    </w:p>
    <w:p>
      <w:r>
        <w:t>Điều này có ý nghĩa rất lớn cho bài toán năng lượng. Khi 100% taxi trên đảo là xe điện (theo mục tiêu 2025) và toàn bộ phương tiện chuyển sang điện (mục tiêu 2030), nhu cầu sạc sẽ tăng theo cấp số nhân — vượt xa con số 51 xe buýt VinBus hiện tại trên 3 tuyến[^3].</w:t>
      </w:r>
    </w:p>
    <w:p>
      <w:pPr>
        <w:pStyle w:val="Heading4"/>
        <w:spacing w:before="240" w:after="160"/>
      </w:pPr>
      <w:r>
        <w:rPr>
          <w:rFonts w:ascii="Times New Roman" w:hAnsi="Times New Roman" w:eastAsia="Times New Roman"/>
          <w:color w:val="1A1A2E"/>
          <w:sz w:val="28"/>
        </w:rPr>
        <w:t>3.5.3. Tổng hợp nhu cầu sạc EV trên đảo</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Loại phương tiện</w:t>
            </w:r>
          </w:p>
        </w:tc>
        <w:tc>
          <w:tcPr>
            <w:tcW w:type="dxa" w:w="2340"/>
            <w:shd w:fill="E2E8F0" w:val="clear"/>
          </w:tcPr>
          <w:p>
            <w:pPr>
              <w:spacing w:before="60" w:after="60"/>
            </w:pPr>
            <w:r>
              <w:rPr>
                <w:rFonts w:ascii="Times New Roman" w:hAnsi="Times New Roman"/>
                <w:b/>
                <w:sz w:val="20"/>
              </w:rPr>
              <w:t>Số lượng ước tính hiện tại</w:t>
            </w:r>
          </w:p>
        </w:tc>
        <w:tc>
          <w:tcPr>
            <w:tcW w:type="dxa" w:w="2340"/>
            <w:shd w:fill="E2E8F0" w:val="clear"/>
          </w:tcPr>
          <w:p>
            <w:pPr>
              <w:spacing w:before="60" w:after="60"/>
            </w:pPr>
            <w:r>
              <w:rPr>
                <w:rFonts w:ascii="Times New Roman" w:hAnsi="Times New Roman"/>
                <w:b/>
                <w:sz w:val="20"/>
              </w:rPr>
              <w:t>Dự kiến 2027–2030</w:t>
            </w:r>
          </w:p>
        </w:tc>
        <w:tc>
          <w:tcPr>
            <w:tcW w:type="dxa" w:w="2340"/>
            <w:shd w:fill="E2E8F0" w:val="clear"/>
          </w:tcPr>
          <w:p>
            <w:pPr>
              <w:spacing w:before="60" w:after="60"/>
            </w:pPr>
            <w:r>
              <w:rPr>
                <w:rFonts w:ascii="Times New Roman" w:hAnsi="Times New Roman"/>
                <w:b/>
                <w:sz w:val="20"/>
              </w:rPr>
              <w:t>Nhu cầu sạc</w:t>
            </w:r>
          </w:p>
        </w:tc>
      </w:tr>
      <w:tr>
        <w:tc>
          <w:tcPr>
            <w:tcW w:type="dxa" w:w="2340"/>
          </w:tcPr>
          <w:p>
            <w:pPr>
              <w:spacing w:before="60" w:after="60"/>
            </w:pPr>
            <w:r>
              <w:rPr>
                <w:rFonts w:ascii="Times New Roman" w:hAnsi="Times New Roman"/>
                <w:sz w:val="20"/>
              </w:rPr>
              <w:t>Xanh SM (taxi điện)</w:t>
            </w:r>
          </w:p>
        </w:tc>
        <w:tc>
          <w:tcPr>
            <w:tcW w:type="dxa" w:w="2340"/>
          </w:tcPr>
          <w:p>
            <w:pPr>
              <w:spacing w:before="60" w:after="60"/>
            </w:pPr>
            <w:r>
              <w:rPr>
                <w:rFonts w:ascii="Times New Roman" w:hAnsi="Times New Roman"/>
                <w:sz w:val="20"/>
              </w:rPr>
              <w:t>300+ xe</w:t>
            </w:r>
          </w:p>
        </w:tc>
        <w:tc>
          <w:tcPr>
            <w:tcW w:type="dxa" w:w="2340"/>
          </w:tcPr>
          <w:p>
            <w:pPr>
              <w:spacing w:before="60" w:after="60"/>
            </w:pPr>
            <w:r>
              <w:rPr>
                <w:rFonts w:ascii="Times New Roman" w:hAnsi="Times New Roman"/>
                <w:sz w:val="20"/>
              </w:rPr>
              <w:t>Hàng nghìn xe (theo mục tiêu 100% taxi điện)</w:t>
            </w:r>
          </w:p>
        </w:tc>
        <w:tc>
          <w:tcPr>
            <w:tcW w:type="dxa" w:w="2340"/>
          </w:tcPr>
          <w:p>
            <w:pPr>
              <w:spacing w:before="60" w:after="60"/>
            </w:pPr>
            <w:r>
              <w:rPr>
                <w:rFonts w:ascii="Times New Roman" w:hAnsi="Times New Roman"/>
                <w:sz w:val="20"/>
              </w:rPr>
              <w:t>7–22 kW/xe (AC) hoặc 50–150 kW/xe (DC fast)</w:t>
            </w:r>
          </w:p>
        </w:tc>
      </w:tr>
      <w:tr>
        <w:tc>
          <w:tcPr>
            <w:tcW w:type="dxa" w:w="2340"/>
          </w:tcPr>
          <w:p>
            <w:pPr>
              <w:spacing w:before="60" w:after="60"/>
            </w:pPr>
            <w:r>
              <w:rPr>
                <w:rFonts w:ascii="Times New Roman" w:hAnsi="Times New Roman"/>
                <w:sz w:val="20"/>
              </w:rPr>
              <w:t>VinBus (xe buýt điện)</w:t>
            </w:r>
          </w:p>
        </w:tc>
        <w:tc>
          <w:tcPr>
            <w:tcW w:type="dxa" w:w="2340"/>
          </w:tcPr>
          <w:p>
            <w:pPr>
              <w:spacing w:before="60" w:after="60"/>
            </w:pPr>
            <w:r>
              <w:rPr>
                <w:rFonts w:ascii="Times New Roman" w:hAnsi="Times New Roman"/>
                <w:sz w:val="20"/>
              </w:rPr>
              <w:t>51 xe trên 3 tuyến[^3]</w:t>
            </w:r>
          </w:p>
        </w:tc>
        <w:tc>
          <w:tcPr>
            <w:tcW w:type="dxa" w:w="2340"/>
          </w:tcPr>
          <w:p>
            <w:pPr>
              <w:spacing w:before="60" w:after="60"/>
            </w:pPr>
            <w:r>
              <w:rPr>
                <w:rFonts w:ascii="Times New Roman" w:hAnsi="Times New Roman"/>
                <w:sz w:val="20"/>
              </w:rPr>
              <w:t>80–100+ xe khi mở rộng tuyến</w:t>
            </w:r>
          </w:p>
        </w:tc>
        <w:tc>
          <w:tcPr>
            <w:tcW w:type="dxa" w:w="2340"/>
          </w:tcPr>
          <w:p>
            <w:pPr>
              <w:spacing w:before="60" w:after="60"/>
            </w:pPr>
            <w:r>
              <w:rPr>
                <w:rFonts w:ascii="Times New Roman" w:hAnsi="Times New Roman"/>
                <w:sz w:val="20"/>
              </w:rPr>
              <w:t>100–300 kW/xe</w:t>
            </w:r>
          </w:p>
        </w:tc>
      </w:tr>
      <w:tr>
        <w:tc>
          <w:tcPr>
            <w:tcW w:type="dxa" w:w="2340"/>
          </w:tcPr>
          <w:p>
            <w:pPr>
              <w:spacing w:before="60" w:after="60"/>
            </w:pPr>
            <w:r>
              <w:rPr>
                <w:rFonts w:ascii="Times New Roman" w:hAnsi="Times New Roman"/>
                <w:sz w:val="20"/>
              </w:rPr>
              <w:t>Xe cá nhân VinFast</w:t>
            </w:r>
          </w:p>
        </w:tc>
        <w:tc>
          <w:tcPr>
            <w:tcW w:type="dxa" w:w="2340"/>
          </w:tcPr>
          <w:p>
            <w:pPr>
              <w:spacing w:before="60" w:after="60"/>
            </w:pPr>
            <w:r>
              <w:rPr>
                <w:rFonts w:ascii="Times New Roman" w:hAnsi="Times New Roman"/>
                <w:sz w:val="20"/>
              </w:rPr>
              <w:t>Đang tăng nhanh</w:t>
            </w:r>
          </w:p>
        </w:tc>
        <w:tc>
          <w:tcPr>
            <w:tcW w:type="dxa" w:w="2340"/>
          </w:tcPr>
          <w:p>
            <w:pPr>
              <w:spacing w:before="60" w:after="60"/>
            </w:pPr>
            <w:r>
              <w:rPr>
                <w:rFonts w:ascii="Times New Roman" w:hAnsi="Times New Roman"/>
                <w:sz w:val="20"/>
              </w:rPr>
              <w:t>Hàng nghìn xe (theo mục tiêu đảo xanh)</w:t>
            </w:r>
          </w:p>
        </w:tc>
        <w:tc>
          <w:tcPr>
            <w:tcW w:type="dxa" w:w="2340"/>
          </w:tcPr>
          <w:p>
            <w:pPr>
              <w:spacing w:before="60" w:after="60"/>
            </w:pPr>
            <w:r>
              <w:rPr>
                <w:rFonts w:ascii="Times New Roman" w:hAnsi="Times New Roman"/>
                <w:sz w:val="20"/>
              </w:rPr>
              <w:t>7–22 kW/xe (AC) hoặc 50–150 kW/xe (DC fast)</w:t>
            </w:r>
          </w:p>
        </w:tc>
      </w:tr>
      <w:tr>
        <w:tc>
          <w:tcPr>
            <w:tcW w:type="dxa" w:w="2340"/>
          </w:tcPr>
          <w:p>
            <w:pPr>
              <w:spacing w:before="60" w:after="60"/>
            </w:pPr>
            <w:r>
              <w:rPr>
                <w:rFonts w:ascii="Times New Roman" w:hAnsi="Times New Roman"/>
                <w:sz w:val="20"/>
              </w:rPr>
              <w:t>Xe cho thuê tự lái</w:t>
            </w:r>
          </w:p>
        </w:tc>
        <w:tc>
          <w:tcPr>
            <w:tcW w:type="dxa" w:w="2340"/>
          </w:tcPr>
          <w:p>
            <w:pPr>
              <w:spacing w:before="60" w:after="60"/>
            </w:pPr>
            <w:r>
              <w:rPr>
                <w:rFonts w:ascii="Times New Roman" w:hAnsi="Times New Roman"/>
                <w:sz w:val="20"/>
              </w:rPr>
              <w:t>Nhiều đơn vị đang triển khai</w:t>
            </w:r>
          </w:p>
        </w:tc>
        <w:tc>
          <w:tcPr>
            <w:tcW w:type="dxa" w:w="2340"/>
          </w:tcPr>
          <w:p>
            <w:pPr>
              <w:spacing w:before="60" w:after="60"/>
            </w:pPr>
            <w:r>
              <w:rPr>
                <w:rFonts w:ascii="Times New Roman" w:hAnsi="Times New Roman"/>
                <w:sz w:val="20"/>
              </w:rPr>
              <w:t>Tăng theo du lịch</w:t>
            </w:r>
          </w:p>
        </w:tc>
        <w:tc>
          <w:tcPr>
            <w:tcW w:type="dxa" w:w="2340"/>
          </w:tcPr>
          <w:p>
            <w:pPr>
              <w:spacing w:before="60" w:after="60"/>
            </w:pPr>
            <w:r>
              <w:rPr>
                <w:rFonts w:ascii="Times New Roman" w:hAnsi="Times New Roman"/>
                <w:sz w:val="20"/>
              </w:rPr>
              <w:t>50–150 kW/trạm (DC fast)</w:t>
            </w:r>
          </w:p>
        </w:tc>
      </w:tr>
    </w:tbl>
    <w:p>
      <w:pPr>
        <w:spacing w:before="0" w:after="80"/>
      </w:pPr>
    </w:p>
    <w:p>
      <w:pPr>
        <w:pStyle w:val="Heading4"/>
        <w:spacing w:before="240" w:after="160"/>
      </w:pPr>
      <w:r>
        <w:rPr>
          <w:rFonts w:ascii="Times New Roman" w:hAnsi="Times New Roman" w:eastAsia="Times New Roman"/>
          <w:color w:val="1A1A2E"/>
          <w:sz w:val="28"/>
        </w:rPr>
        <w:t>3.5.4. Phân tích nhu cầu điện từ EV</w:t>
      </w:r>
    </w:p>
    <w:p>
      <w:r>
        <w:t>Ước tính thận trọng cho giai đoạn 2027:</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Xanh SM: 500 xe × 40 kWh/ngày × 365 ngày = 7,3 triệu kWh/năm</w:t>
      </w:r>
      <w:r>
        <w:br/>
      </w:r>
      <w:r>
        <w:rPr>
          <w:rFonts w:ascii="Consolas" w:hAnsi="Consolas"/>
          <w:color w:val="333333"/>
          <w:sz w:val="18"/>
        </w:rPr>
        <w:t xml:space="preserve">VinBus:   80 xe × 200 kWh/ngày × 365 ngày = 5,8 triệu kWh/năm  </w:t>
      </w:r>
      <w:r>
        <w:br/>
      </w:r>
      <w:r>
        <w:rPr>
          <w:rFonts w:ascii="Consolas" w:hAnsi="Consolas"/>
          <w:color w:val="333333"/>
          <w:sz w:val="18"/>
        </w:rPr>
        <w:t>Cá nhân: 500 xe ×  30 kWh/ngày × 365 ngày = 5,5 triệu kWh/năm</w:t>
      </w:r>
      <w:r>
        <w:br/>
      </w:r>
      <w:r>
        <w:rPr>
          <w:rFonts w:ascii="Consolas" w:hAnsi="Consolas"/>
          <w:color w:val="333333"/>
          <w:sz w:val="18"/>
        </w:rPr>
        <w:t>Cho thuê: 200 xe ×  35 kWh/ngày × 365 ngày = 2,6 triệu kWh/năm</w:t>
      </w:r>
      <w:r>
        <w:br/>
      </w:r>
      <w:r>
        <w:rPr>
          <w:rFonts w:ascii="Consolas" w:hAnsi="Consolas"/>
          <w:color w:val="333333"/>
          <w:sz w:val="18"/>
        </w:rPr>
        <w:t>─────────────────────────────────────────────</w:t>
      </w:r>
      <w:r>
        <w:br/>
      </w:r>
      <w:r>
        <w:rPr>
          <w:rFonts w:ascii="Consolas" w:hAnsi="Consolas"/>
          <w:color w:val="333333"/>
          <w:sz w:val="18"/>
        </w:rPr>
        <w:t>Tổng EV:              ~21 triệu kWh/năm | Peak ~5-8 MW</w:t>
      </w:r>
    </w:p>
    <w:p>
      <w:r>
        <w:t xml:space="preserve">Con số này sẽ </w:t>
      </w:r>
      <w:r>
        <w:rPr>
          <w:b/>
        </w:rPr>
        <w:t>nhân lên gấp 3–5 lần</w:t>
      </w:r>
      <w:r>
        <w:t xml:space="preserve"> khi Phú Quốc đạt mục tiêu 100% phương tiện điện vào 2030. Và đây là nhu cầu mới hoàn toàn — chưa tồn tại trong phụ tải hiện tại 782 triệu kWh/năm.</w:t>
      </w:r>
    </w:p>
    <w:p>
      <w:pPr>
        <w:pStyle w:val="Heading2"/>
        <w:spacing w:before="360" w:after="160"/>
      </w:pPr>
      <w:r>
        <w:rPr>
          <w:rFonts w:ascii="Times New Roman" w:hAnsi="Times New Roman" w:eastAsia="Times New Roman"/>
          <w:b/>
          <w:color w:val="1A1A2E"/>
          <w:sz w:val="36"/>
        </w:rPr>
        <w:t>Cơ hội:</w:t>
      </w:r>
      <w:r>
        <w:rPr>
          <w:rFonts w:ascii="Times New Roman" w:hAnsi="Times New Roman" w:eastAsia="Times New Roman"/>
          <w:color w:val="1A1A2E"/>
          <w:sz w:val="36"/>
        </w:rPr>
        <w:t xml:space="preserve"> Nếu hệ thống sạc được kết nối với nguồn năng lượng tái tạo tại chỗ (solar + wind qua BESS), toàn bộ hệ sinh thái vận tải trên đảo sẽ đạt được </w:t>
      </w:r>
      <w:r>
        <w:rPr>
          <w:rFonts w:ascii="Times New Roman" w:hAnsi="Times New Roman" w:eastAsia="Times New Roman"/>
          <w:b/>
          <w:color w:val="1A1A2E"/>
          <w:sz w:val="36"/>
        </w:rPr>
        <w:t>100% vận tải xanh</w:t>
      </w:r>
      <w:r>
        <w:rPr>
          <w:rFonts w:ascii="Times New Roman" w:hAnsi="Times New Roman" w:eastAsia="Times New Roman"/>
          <w:color w:val="1A1A2E"/>
          <w:sz w:val="36"/>
        </w:rPr>
        <w:t xml:space="preserve"> — một thông điệp cực kỳ mạnh mẽ cho thương hiệu Phú Quốc và Sun Group trước APEC 2027, đúng như bản ghi nhớ CLP nhận định: “nguồn sạc từ năng lượng tái tạo = 100% vận tải xanh”[^3].</w:t>
      </w:r>
    </w:p>
    <w:p>
      <w:pPr>
        <w:pStyle w:val="Heading2"/>
        <w:spacing w:before="360" w:after="160"/>
      </w:pPr>
      <w:r>
        <w:rPr>
          <w:rFonts w:ascii="Times New Roman" w:hAnsi="Times New Roman" w:eastAsia="Times New Roman"/>
          <w:color w:val="1A1A2E"/>
          <w:sz w:val="36"/>
        </w:rPr>
        <w:t>Phần 4. Phân tích tài chính và mô hình đầu tư</w:t>
      </w:r>
    </w:p>
    <w:p>
      <w:pPr>
        <w:pStyle w:val="Heading3"/>
        <w:spacing w:before="240" w:after="160"/>
      </w:pPr>
      <w:r>
        <w:rPr>
          <w:rFonts w:ascii="Times New Roman" w:hAnsi="Times New Roman" w:eastAsia="Times New Roman"/>
          <w:color w:val="1A1A2E"/>
          <w:sz w:val="32"/>
        </w:rPr>
        <w:t>4.1. So sánh chi phí năng lượng — Bức tranh toàn cảnh</w:t>
      </w:r>
    </w:p>
    <w:p>
      <w:r>
        <w:t xml:space="preserve">Để đánh giá tính khả thi tài chính, cần so sánh chi phí của từng nguồn năng lượng trên cơ sở đồng nhất — chi phí bình quân toàn vòng đời (LCOE) tính theo VND/kWh. Kết quả cho thấy năng lượng tái tạo không chỉ “xanh” mà còn </w:t>
      </w:r>
      <w:r>
        <w:rPr>
          <w:b/>
        </w:rPr>
        <w:t>rẻ hơn</w:t>
      </w:r>
      <w:r>
        <w:t xml:space="preserve"> lưới điện thông thường trong dài hạn, và rẻ hơn rất nhiều so với diesel khẩn cấp.</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Nguồn</w:t>
            </w:r>
          </w:p>
        </w:tc>
        <w:tc>
          <w:tcPr>
            <w:tcW w:type="dxa" w:w="3120"/>
            <w:shd w:fill="E2E8F0" w:val="clear"/>
          </w:tcPr>
          <w:p>
            <w:pPr>
              <w:spacing w:before="60" w:after="60"/>
            </w:pPr>
            <w:r>
              <w:rPr>
                <w:rFonts w:ascii="Times New Roman" w:hAnsi="Times New Roman"/>
                <w:b/>
                <w:sz w:val="20"/>
              </w:rPr>
              <w:t>Chi phí (VND/kWh)</w:t>
            </w:r>
          </w:p>
        </w:tc>
        <w:tc>
          <w:tcPr>
            <w:tcW w:type="dxa" w:w="3120"/>
            <w:shd w:fill="E2E8F0" w:val="clear"/>
          </w:tcPr>
          <w:p>
            <w:pPr>
              <w:spacing w:before="60" w:after="60"/>
            </w:pPr>
            <w:r>
              <w:rPr>
                <w:rFonts w:ascii="Times New Roman" w:hAnsi="Times New Roman"/>
                <w:b/>
                <w:sz w:val="20"/>
              </w:rPr>
              <w:t>Ghi chú</w:t>
            </w:r>
          </w:p>
        </w:tc>
      </w:tr>
      <w:tr>
        <w:tc>
          <w:tcPr>
            <w:tcW w:type="dxa" w:w="3120"/>
          </w:tcPr>
          <w:p>
            <w:pPr>
              <w:spacing w:before="60" w:after="60"/>
            </w:pPr>
            <w:r>
              <w:rPr>
                <w:rFonts w:ascii="Times New Roman" w:hAnsi="Times New Roman"/>
                <w:sz w:val="20"/>
              </w:rPr>
              <w:t>Lưới EVN (giá doanh nghiệp dịch vụ)</w:t>
            </w:r>
          </w:p>
        </w:tc>
        <w:tc>
          <w:tcPr>
            <w:tcW w:type="dxa" w:w="3120"/>
          </w:tcPr>
          <w:p>
            <w:pPr>
              <w:spacing w:before="60" w:after="60"/>
            </w:pPr>
            <w:r>
              <w:rPr>
                <w:rFonts w:ascii="Times New Roman" w:hAnsi="Times New Roman"/>
                <w:sz w:val="20"/>
              </w:rPr>
              <w:t>2.800–3.200</w:t>
            </w:r>
          </w:p>
        </w:tc>
        <w:tc>
          <w:tcPr>
            <w:tcW w:type="dxa" w:w="3120"/>
          </w:tcPr>
          <w:p>
            <w:pPr>
              <w:spacing w:before="60" w:after="60"/>
            </w:pPr>
            <w:r>
              <w:rPr>
                <w:rFonts w:ascii="Times New Roman" w:hAnsi="Times New Roman"/>
                <w:sz w:val="20"/>
              </w:rPr>
              <w:t>Giá điện sản xuất + phụ thu, chưa gồm lộ trình tăng giá điện hằng năm</w:t>
            </w:r>
          </w:p>
        </w:tc>
      </w:tr>
      <w:tr>
        <w:tc>
          <w:tcPr>
            <w:tcW w:type="dxa" w:w="3120"/>
          </w:tcPr>
          <w:p>
            <w:pPr>
              <w:spacing w:before="60" w:after="60"/>
            </w:pPr>
            <w:r>
              <w:rPr>
                <w:rFonts w:ascii="Times New Roman" w:hAnsi="Times New Roman"/>
                <w:sz w:val="20"/>
              </w:rPr>
              <w:t>Máy phát diesel (khẩn cấp)</w:t>
            </w:r>
          </w:p>
        </w:tc>
        <w:tc>
          <w:tcPr>
            <w:tcW w:type="dxa" w:w="3120"/>
          </w:tcPr>
          <w:p>
            <w:pPr>
              <w:spacing w:before="60" w:after="60"/>
            </w:pPr>
            <w:r>
              <w:rPr>
                <w:rFonts w:ascii="Times New Roman" w:hAnsi="Times New Roman"/>
                <w:sz w:val="20"/>
              </w:rPr>
              <w:t>8.000–12.000</w:t>
            </w:r>
          </w:p>
        </w:tc>
        <w:tc>
          <w:tcPr>
            <w:tcW w:type="dxa" w:w="3120"/>
          </w:tcPr>
          <w:p>
            <w:pPr>
              <w:spacing w:before="60" w:after="60"/>
            </w:pPr>
            <w:r>
              <w:rPr>
                <w:rFonts w:ascii="Times New Roman" w:hAnsi="Times New Roman"/>
                <w:sz w:val="20"/>
              </w:rPr>
              <w:t>Tính từ thực tế: 32 triệu VND/ngày ÷ ~3.000 kWh/ngày[^3]</w:t>
            </w:r>
          </w:p>
        </w:tc>
      </w:tr>
      <w:tr>
        <w:tc>
          <w:tcPr>
            <w:tcW w:type="dxa" w:w="3120"/>
          </w:tcPr>
          <w:p>
            <w:pPr>
              <w:spacing w:before="60" w:after="60"/>
            </w:pPr>
            <w:r>
              <w:rPr>
                <w:rFonts w:ascii="Times New Roman" w:hAnsi="Times New Roman"/>
                <w:sz w:val="20"/>
              </w:rPr>
              <w:t>Điện mặt trời mái nhà (LCOE)</w:t>
            </w:r>
          </w:p>
        </w:tc>
        <w:tc>
          <w:tcPr>
            <w:tcW w:type="dxa" w:w="3120"/>
          </w:tcPr>
          <w:p>
            <w:pPr>
              <w:spacing w:before="60" w:after="60"/>
            </w:pPr>
            <w:r>
              <w:rPr>
                <w:rFonts w:ascii="Times New Roman" w:hAnsi="Times New Roman"/>
                <w:sz w:val="20"/>
              </w:rPr>
              <w:t>1.200–1.800</w:t>
            </w:r>
          </w:p>
        </w:tc>
        <w:tc>
          <w:tcPr>
            <w:tcW w:type="dxa" w:w="3120"/>
          </w:tcPr>
          <w:p>
            <w:pPr>
              <w:spacing w:before="60" w:after="60"/>
            </w:pPr>
            <w:r>
              <w:rPr>
                <w:rFonts w:ascii="Times New Roman" w:hAnsi="Times New Roman"/>
                <w:sz w:val="20"/>
              </w:rPr>
              <w:t>Giá bình quân toàn vòng đời 25 năm, đã gồm bảo trì</w:t>
            </w:r>
          </w:p>
        </w:tc>
      </w:tr>
      <w:tr>
        <w:tc>
          <w:tcPr>
            <w:tcW w:type="dxa" w:w="3120"/>
          </w:tcPr>
          <w:p>
            <w:pPr>
              <w:spacing w:before="60" w:after="60"/>
            </w:pPr>
            <w:r>
              <w:rPr>
                <w:rFonts w:ascii="Times New Roman" w:hAnsi="Times New Roman"/>
                <w:sz w:val="20"/>
              </w:rPr>
              <w:t>BESS (chi phí lưu trữ)</w:t>
            </w:r>
          </w:p>
        </w:tc>
        <w:tc>
          <w:tcPr>
            <w:tcW w:type="dxa" w:w="3120"/>
          </w:tcPr>
          <w:p>
            <w:pPr>
              <w:spacing w:before="60" w:after="60"/>
            </w:pPr>
            <w:r>
              <w:rPr>
                <w:rFonts w:ascii="Times New Roman" w:hAnsi="Times New Roman"/>
                <w:sz w:val="20"/>
              </w:rPr>
              <w:t>800–1.500</w:t>
            </w:r>
          </w:p>
        </w:tc>
        <w:tc>
          <w:tcPr>
            <w:tcW w:type="dxa" w:w="3120"/>
          </w:tcPr>
          <w:p>
            <w:pPr>
              <w:spacing w:before="60" w:after="60"/>
            </w:pPr>
            <w:r>
              <w:rPr>
                <w:rFonts w:ascii="Times New Roman" w:hAnsi="Times New Roman"/>
                <w:sz w:val="20"/>
              </w:rPr>
              <w:t>~80 USD/kWh vốn đầu tư[^22] ÷ 5.000+ chu kỳ sạc/xả</w:t>
            </w:r>
          </w:p>
        </w:tc>
      </w:tr>
    </w:tbl>
    <w:p>
      <w:pPr>
        <w:spacing w:before="0" w:after="80"/>
      </w:pPr>
    </w:p>
    <w:p>
      <w:r>
        <w:t>Một số nhận xét quan trọng từ bảng so sánh trên:</w:t>
      </w:r>
    </w:p>
    <w:p>
      <w:pPr>
        <w:spacing w:after="40" w:before="20"/>
        <w:ind w:left="720" w:hanging="357"/>
      </w:pPr>
      <w:r>
        <w:rPr>
          <w:sz w:val="20"/>
        </w:rPr>
        <w:t xml:space="preserve">• </w:t>
      </w:r>
      <w:r>
        <w:rPr>
          <w:b/>
        </w:rPr>
        <w:t>Điện mặt trời (1.200–1.800 VND/kWh) rẻ hơn điện lưới (2.800–3.200 VND/kWh):</w:t>
      </w:r>
      <w:r>
        <w:t>Mỗi kWh điện mặt trời tự tiêu thụ tiết kiệm 1.000–2.000 VND so với mua từ EVN. Trên quy mô 12.000+ phòng khách sạn, con số này tích lũy thành khoản tiết kiệm hàng chục tỷ VND mỗi năm.</w:t>
      </w:r>
    </w:p>
    <w:p>
      <w:pPr>
        <w:spacing w:after="40" w:before="20"/>
        <w:ind w:left="720" w:hanging="357"/>
      </w:pPr>
      <w:r>
        <w:rPr>
          <w:sz w:val="20"/>
        </w:rPr>
        <w:t xml:space="preserve">• </w:t>
      </w:r>
      <w:r>
        <w:rPr>
          <w:b/>
        </w:rPr>
        <w:t>Diesel khẩn cấp đắt gấp 3–4 lần điện lưới:</w:t>
      </w:r>
      <w:r>
        <w:t>Chi phí 32 triệu VND/ngày/máy[^3] chỉ mới tính chi phí thuê và nhiên liệu, chưa bao gồm vận chuyển từ đất liền, nhân sự vận hành, và tổn thất kinh doanh do thời gian chờ triển khai.</w:t>
      </w:r>
    </w:p>
    <w:p>
      <w:pPr>
        <w:spacing w:after="40" w:before="20"/>
        <w:ind w:left="720" w:hanging="357"/>
      </w:pPr>
      <w:r>
        <w:rPr>
          <w:sz w:val="20"/>
        </w:rPr>
        <w:t xml:space="preserve">• </w:t>
      </w:r>
      <w:r>
        <w:rPr>
          <w:b/>
        </w:rPr>
        <w:t>Giá điện EVN chỉ tăng, không giảm:</w:t>
      </w:r>
      <w:r>
        <w:t>Lộ trình tăng giá điện của Việt Nam là xu hướng dài hạn không thể đảo ngược. Hợp đồng PPA giá cố định 20+ năm giúp Sun Group bảo vệ trước biến động này.</w:t>
      </w:r>
    </w:p>
    <w:p>
      <w:pPr>
        <w:pStyle w:val="Heading3"/>
        <w:spacing w:before="240" w:after="160"/>
      </w:pPr>
      <w:r>
        <w:rPr>
          <w:rFonts w:ascii="Times New Roman" w:hAnsi="Times New Roman" w:eastAsia="Times New Roman"/>
          <w:color w:val="1A1A2E"/>
          <w:sz w:val="32"/>
        </w:rPr>
        <w:t>4.2. Các mô hình đầu tư khả thi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Mô hình</w:t>
            </w:r>
          </w:p>
        </w:tc>
        <w:tc>
          <w:tcPr>
            <w:tcW w:type="dxa" w:w="1872"/>
            <w:shd w:fill="E2E8F0" w:val="clear"/>
          </w:tcPr>
          <w:p>
            <w:pPr>
              <w:spacing w:before="60" w:after="60"/>
            </w:pPr>
            <w:r>
              <w:rPr>
                <w:rFonts w:ascii="Times New Roman" w:hAnsi="Times New Roman"/>
                <w:b/>
                <w:sz w:val="20"/>
              </w:rPr>
              <w:t>CAPEX Sun Group</w:t>
            </w:r>
          </w:p>
        </w:tc>
        <w:tc>
          <w:tcPr>
            <w:tcW w:type="dxa" w:w="1872"/>
            <w:shd w:fill="E2E8F0" w:val="clear"/>
          </w:tcPr>
          <w:p>
            <w:pPr>
              <w:spacing w:before="60" w:after="60"/>
            </w:pPr>
            <w:r>
              <w:rPr>
                <w:rFonts w:ascii="Times New Roman" w:hAnsi="Times New Roman"/>
                <w:b/>
                <w:sz w:val="20"/>
              </w:rPr>
              <w:t>Mức kiểm soát</w:t>
            </w:r>
          </w:p>
        </w:tc>
        <w:tc>
          <w:tcPr>
            <w:tcW w:type="dxa" w:w="1872"/>
            <w:shd w:fill="E2E8F0" w:val="clear"/>
          </w:tcPr>
          <w:p>
            <w:pPr>
              <w:spacing w:before="60" w:after="60"/>
            </w:pPr>
            <w:r>
              <w:rPr>
                <w:rFonts w:ascii="Times New Roman" w:hAnsi="Times New Roman"/>
                <w:b/>
                <w:sz w:val="20"/>
              </w:rPr>
              <w:t>Rủi ro tài chính</w:t>
            </w:r>
          </w:p>
        </w:tc>
        <w:tc>
          <w:tcPr>
            <w:tcW w:type="dxa" w:w="1872"/>
            <w:shd w:fill="E2E8F0" w:val="clear"/>
          </w:tcPr>
          <w:p>
            <w:pPr>
              <w:spacing w:before="60" w:after="60"/>
            </w:pPr>
            <w:r>
              <w:rPr>
                <w:rFonts w:ascii="Times New Roman" w:hAnsi="Times New Roman"/>
                <w:b/>
                <w:sz w:val="20"/>
              </w:rPr>
              <w:t>Phù hợp giai đoạn</w:t>
            </w:r>
          </w:p>
        </w:tc>
      </w:tr>
      <w:tr>
        <w:tc>
          <w:tcPr>
            <w:tcW w:type="dxa" w:w="1872"/>
          </w:tcPr>
          <w:p>
            <w:pPr>
              <w:spacing w:before="60" w:after="60"/>
            </w:pPr>
            <w:r>
              <w:rPr>
                <w:rFonts w:ascii="Times New Roman" w:hAnsi="Times New Roman"/>
                <w:sz w:val="20"/>
              </w:rPr>
              <w:t>A: Tự đầu tư (EPC)</w:t>
            </w:r>
          </w:p>
        </w:tc>
        <w:tc>
          <w:tcPr>
            <w:tcW w:type="dxa" w:w="1872"/>
          </w:tcPr>
          <w:p>
            <w:pPr>
              <w:spacing w:before="60" w:after="60"/>
            </w:pPr>
            <w:r>
              <w:rPr>
                <w:rFonts w:ascii="Times New Roman" w:hAnsi="Times New Roman"/>
                <w:sz w:val="20"/>
              </w:rPr>
              <w:t>Cao (100%)</w:t>
            </w:r>
          </w:p>
        </w:tc>
        <w:tc>
          <w:tcPr>
            <w:tcW w:type="dxa" w:w="1872"/>
          </w:tcPr>
          <w:p>
            <w:pPr>
              <w:spacing w:before="60" w:after="60"/>
            </w:pPr>
            <w:r>
              <w:rPr>
                <w:rFonts w:ascii="Times New Roman" w:hAnsi="Times New Roman"/>
                <w:sz w:val="20"/>
              </w:rPr>
              <w:t>Hoàn toàn</w:t>
            </w:r>
          </w:p>
        </w:tc>
        <w:tc>
          <w:tcPr>
            <w:tcW w:type="dxa" w:w="1872"/>
          </w:tcPr>
          <w:p>
            <w:pPr>
              <w:spacing w:before="60" w:after="60"/>
            </w:pPr>
            <w:r>
              <w:rPr>
                <w:rFonts w:ascii="Times New Roman" w:hAnsi="Times New Roman"/>
                <w:sz w:val="20"/>
              </w:rPr>
              <w:t>Cao</w:t>
            </w:r>
          </w:p>
        </w:tc>
        <w:tc>
          <w:tcPr>
            <w:tcW w:type="dxa" w:w="1872"/>
          </w:tcPr>
          <w:p>
            <w:pPr>
              <w:spacing w:before="60" w:after="60"/>
            </w:pPr>
            <w:r>
              <w:rPr>
                <w:rFonts w:ascii="Times New Roman" w:hAnsi="Times New Roman"/>
                <w:sz w:val="20"/>
              </w:rPr>
              <w:t>Khi muốn sở hữu dài hạn</w:t>
            </w:r>
          </w:p>
        </w:tc>
      </w:tr>
      <w:tr>
        <w:tc>
          <w:tcPr>
            <w:tcW w:type="dxa" w:w="1872"/>
          </w:tcPr>
          <w:p>
            <w:pPr>
              <w:spacing w:before="60" w:after="60"/>
            </w:pPr>
            <w:r>
              <w:rPr>
                <w:rFonts w:ascii="Times New Roman" w:hAnsi="Times New Roman"/>
                <w:sz w:val="20"/>
              </w:rPr>
              <w:t>B: PPA/DPPA</w:t>
            </w:r>
          </w:p>
        </w:tc>
        <w:tc>
          <w:tcPr>
            <w:tcW w:type="dxa" w:w="1872"/>
          </w:tcPr>
          <w:p>
            <w:pPr>
              <w:spacing w:before="60" w:after="60"/>
            </w:pPr>
            <w:r>
              <w:rPr>
                <w:rFonts w:ascii="Times New Roman" w:hAnsi="Times New Roman"/>
                <w:sz w:val="20"/>
              </w:rPr>
              <w:t>Không (Zero CAPEX)</w:t>
            </w:r>
          </w:p>
        </w:tc>
        <w:tc>
          <w:tcPr>
            <w:tcW w:type="dxa" w:w="1872"/>
          </w:tcPr>
          <w:p>
            <w:pPr>
              <w:spacing w:before="60" w:after="60"/>
            </w:pPr>
            <w:r>
              <w:rPr>
                <w:rFonts w:ascii="Times New Roman" w:hAnsi="Times New Roman"/>
                <w:sz w:val="20"/>
              </w:rPr>
              <w:t>Thấp</w:t>
            </w:r>
          </w:p>
        </w:tc>
        <w:tc>
          <w:tcPr>
            <w:tcW w:type="dxa" w:w="1872"/>
          </w:tcPr>
          <w:p>
            <w:pPr>
              <w:spacing w:before="60" w:after="60"/>
            </w:pPr>
            <w:r>
              <w:rPr>
                <w:rFonts w:ascii="Times New Roman" w:hAnsi="Times New Roman"/>
                <w:sz w:val="20"/>
              </w:rPr>
              <w:t>Thấp</w:t>
            </w:r>
          </w:p>
        </w:tc>
        <w:tc>
          <w:tcPr>
            <w:tcW w:type="dxa" w:w="1872"/>
          </w:tcPr>
          <w:p>
            <w:pPr>
              <w:spacing w:before="60" w:after="60"/>
            </w:pPr>
            <w:r>
              <w:rPr>
                <w:rFonts w:ascii="Times New Roman" w:hAnsi="Times New Roman"/>
                <w:sz w:val="20"/>
              </w:rPr>
              <w:t>Khuyến nghị cho Phase 1</w:t>
            </w:r>
          </w:p>
        </w:tc>
      </w:tr>
      <w:tr>
        <w:tc>
          <w:tcPr>
            <w:tcW w:type="dxa" w:w="1872"/>
          </w:tcPr>
          <w:p>
            <w:pPr>
              <w:spacing w:before="60" w:after="60"/>
            </w:pPr>
            <w:r>
              <w:rPr>
                <w:rFonts w:ascii="Times New Roman" w:hAnsi="Times New Roman"/>
                <w:sz w:val="20"/>
              </w:rPr>
              <w:t>C: Liên doanh (JV)</w:t>
            </w:r>
          </w:p>
        </w:tc>
        <w:tc>
          <w:tcPr>
            <w:tcW w:type="dxa" w:w="1872"/>
          </w:tcPr>
          <w:p>
            <w:pPr>
              <w:spacing w:before="60" w:after="60"/>
            </w:pPr>
            <w:r>
              <w:rPr>
                <w:rFonts w:ascii="Times New Roman" w:hAnsi="Times New Roman"/>
                <w:sz w:val="20"/>
              </w:rPr>
              <w:t>Chia sẻ</w:t>
            </w:r>
          </w:p>
        </w:tc>
        <w:tc>
          <w:tcPr>
            <w:tcW w:type="dxa" w:w="1872"/>
          </w:tcPr>
          <w:p>
            <w:pPr>
              <w:spacing w:before="60" w:after="60"/>
            </w:pPr>
            <w:r>
              <w:rPr>
                <w:rFonts w:ascii="Times New Roman" w:hAnsi="Times New Roman"/>
                <w:sz w:val="20"/>
              </w:rPr>
              <w:t>Chia sẻ</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Phase 2–3</w:t>
            </w:r>
          </w:p>
        </w:tc>
      </w:tr>
    </w:tbl>
    <w:p>
      <w:pPr>
        <w:spacing w:before="0" w:after="80"/>
      </w:pPr>
    </w:p>
    <w:p>
      <w:r>
        <w:rPr>
          <w:b/>
        </w:rPr>
        <w:t>Mô hình B (PPA/DPPA) — Khuyến nghị cho Phase 1:</w:t>
      </w:r>
    </w:p>
    <w:p>
      <w:r>
        <w:t>Đây là mô hình tối ưu cho giai đoạn đầu vì ba lý do:</w:t>
      </w:r>
    </w:p>
    <w:p>
      <w:pPr>
        <w:spacing w:after="40" w:before="20"/>
        <w:ind w:left="720" w:hanging="357"/>
      </w:pPr>
      <w:r>
        <w:t xml:space="preserve">1. </w:t>
      </w:r>
      <w:r>
        <w:rPr>
          <w:b/>
        </w:rPr>
        <w:t>Sun Group không bỏ vốn ban đầu (Zero CAPEX).</w:t>
      </w:r>
      <w:r>
        <w:t>Đối tác (CLP hoặc Marubeni) bỏ vốn đầu tư, xây dựng và vận hành toàn bộ hệ thống BESS + Solar. Đây chính xác là mô hình Vinpearl Nha Trang đã áp dụng thành công[^20].</w:t>
      </w:r>
    </w:p>
    <w:p>
      <w:pPr>
        <w:spacing w:after="40" w:before="20"/>
        <w:ind w:left="720" w:hanging="357"/>
      </w:pPr>
      <w:r>
        <w:t xml:space="preserve">2. </w:t>
      </w:r>
      <w:r>
        <w:rPr>
          <w:b/>
        </w:rPr>
        <w:t>Giá điện cố định 20+ năm.</w:t>
      </w:r>
      <w:r>
        <w:t>Sun Group ký hợp đồng mua điện dài hạn với giá cố định — bảo vệ khỏi mọi biến động giá điện, trong khi giá EVN chắc chắn tăng theo lộ trình.</w:t>
      </w:r>
    </w:p>
    <w:p>
      <w:pPr>
        <w:spacing w:after="40" w:before="20"/>
        <w:ind w:left="720" w:hanging="357"/>
      </w:pPr>
      <w:r>
        <w:t xml:space="preserve">3. </w:t>
      </w:r>
      <w:r>
        <w:rPr>
          <w:b/>
        </w:rPr>
        <w:t>Chuyển rủi ro công nghệ cho đối tác.</w:t>
      </w:r>
      <w:r>
        <w:t>CLP/Marubeni chịu trách nhiệm bảo trì, thay thế pin, và đảm bảo hiệu suất — Sun Group chỉ trả tiền cho điện thực tế sử dụng.</w:t>
      </w:r>
    </w:p>
    <w:p>
      <w:r>
        <w:t>Nghị định 80/2024/NĐ-CP về cơ chế mua bán điện trực tiếp (DPPA) và Luật Điện lực sửa đổi 2024 đã tạo khung pháp lý cho phép mô hình này hoạt động tại Việt Nam.</w:t>
      </w:r>
    </w:p>
    <w:p>
      <w:pPr>
        <w:pStyle w:val="Heading3"/>
        <w:spacing w:before="240" w:after="160"/>
      </w:pPr>
      <w:r>
        <w:rPr>
          <w:rFonts w:ascii="Times New Roman" w:hAnsi="Times New Roman" w:eastAsia="Times New Roman"/>
          <w:color w:val="1A1A2E"/>
          <w:sz w:val="32"/>
        </w:rPr>
        <w:t>4.3. Ước tính tiết kiệm hằng năm</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Hạng mục</w:t>
            </w:r>
          </w:p>
        </w:tc>
        <w:tc>
          <w:tcPr>
            <w:tcW w:type="dxa" w:w="3120"/>
            <w:shd w:fill="E2E8F0" w:val="clear"/>
          </w:tcPr>
          <w:p>
            <w:pPr>
              <w:spacing w:before="60" w:after="60"/>
            </w:pPr>
            <w:r>
              <w:rPr>
                <w:rFonts w:ascii="Times New Roman" w:hAnsi="Times New Roman"/>
                <w:b/>
                <w:sz w:val="20"/>
              </w:rPr>
              <w:t>Ước tính/năm</w:t>
            </w:r>
          </w:p>
        </w:tc>
        <w:tc>
          <w:tcPr>
            <w:tcW w:type="dxa" w:w="3120"/>
            <w:shd w:fill="E2E8F0" w:val="clear"/>
          </w:tcPr>
          <w:p>
            <w:pPr>
              <w:spacing w:before="60" w:after="60"/>
            </w:pPr>
            <w:r>
              <w:rPr>
                <w:rFonts w:ascii="Times New Roman" w:hAnsi="Times New Roman"/>
                <w:b/>
                <w:sz w:val="20"/>
              </w:rPr>
              <w:t>Cơ sở tính toán</w:t>
            </w:r>
          </w:p>
        </w:tc>
      </w:tr>
      <w:tr>
        <w:tc>
          <w:tcPr>
            <w:tcW w:type="dxa" w:w="3120"/>
          </w:tcPr>
          <w:p>
            <w:pPr>
              <w:spacing w:before="60" w:after="60"/>
            </w:pPr>
            <w:r>
              <w:rPr>
                <w:rFonts w:ascii="Times New Roman" w:hAnsi="Times New Roman"/>
                <w:sz w:val="20"/>
              </w:rPr>
              <w:t>Tiết kiệm chi phí điện (solar self-consumption)</w:t>
            </w:r>
          </w:p>
        </w:tc>
        <w:tc>
          <w:tcPr>
            <w:tcW w:type="dxa" w:w="3120"/>
          </w:tcPr>
          <w:p>
            <w:pPr>
              <w:spacing w:before="60" w:after="60"/>
            </w:pPr>
            <w:r>
              <w:rPr>
                <w:rFonts w:ascii="Times New Roman" w:hAnsi="Times New Roman"/>
                <w:sz w:val="20"/>
              </w:rPr>
              <w:t>50–100 tỷ VND</w:t>
            </w:r>
          </w:p>
        </w:tc>
        <w:tc>
          <w:tcPr>
            <w:tcW w:type="dxa" w:w="3120"/>
          </w:tcPr>
          <w:p>
            <w:pPr>
              <w:spacing w:before="60" w:after="60"/>
            </w:pPr>
            <w:r>
              <w:rPr>
                <w:rFonts w:ascii="Times New Roman" w:hAnsi="Times New Roman"/>
                <w:sz w:val="20"/>
              </w:rPr>
              <w:t>11–18 MWp solar × 4,5 kWh/m²/ngày × 365 ngày × chênh lệch giá với EVN</w:t>
            </w:r>
          </w:p>
        </w:tc>
      </w:tr>
      <w:tr>
        <w:tc>
          <w:tcPr>
            <w:tcW w:type="dxa" w:w="3120"/>
          </w:tcPr>
          <w:p>
            <w:pPr>
              <w:spacing w:before="60" w:after="60"/>
            </w:pPr>
            <w:r>
              <w:rPr>
                <w:rFonts w:ascii="Times New Roman" w:hAnsi="Times New Roman"/>
                <w:sz w:val="20"/>
              </w:rPr>
              <w:t>Tránh chi phí diesel khẩn cấp</w:t>
            </w:r>
          </w:p>
        </w:tc>
        <w:tc>
          <w:tcPr>
            <w:tcW w:type="dxa" w:w="3120"/>
          </w:tcPr>
          <w:p>
            <w:pPr>
              <w:spacing w:before="60" w:after="60"/>
            </w:pPr>
            <w:r>
              <w:rPr>
                <w:rFonts w:ascii="Times New Roman" w:hAnsi="Times New Roman"/>
                <w:sz w:val="20"/>
              </w:rPr>
              <w:t>20–50 tỷ VND</w:t>
            </w:r>
          </w:p>
        </w:tc>
        <w:tc>
          <w:tcPr>
            <w:tcW w:type="dxa" w:w="3120"/>
          </w:tcPr>
          <w:p>
            <w:pPr>
              <w:spacing w:before="60" w:after="60"/>
            </w:pPr>
            <w:r>
              <w:rPr>
                <w:rFonts w:ascii="Times New Roman" w:hAnsi="Times New Roman"/>
                <w:sz w:val="20"/>
              </w:rPr>
              <w:t>2–3 sự cố/năm × 5–7 ngày/sự cố × nhiều cơ sở × 32M VND/máy/ngày</w:t>
            </w:r>
          </w:p>
        </w:tc>
      </w:tr>
      <w:tr>
        <w:tc>
          <w:tcPr>
            <w:tcW w:type="dxa" w:w="3120"/>
          </w:tcPr>
          <w:p>
            <w:pPr>
              <w:spacing w:before="60" w:after="60"/>
            </w:pPr>
            <w:r>
              <w:rPr>
                <w:rFonts w:ascii="Times New Roman" w:hAnsi="Times New Roman"/>
                <w:sz w:val="20"/>
              </w:rPr>
              <w:t>Giảm phí bảo hiểm tài sản</w:t>
            </w:r>
          </w:p>
        </w:tc>
        <w:tc>
          <w:tcPr>
            <w:tcW w:type="dxa" w:w="3120"/>
          </w:tcPr>
          <w:p>
            <w:pPr>
              <w:spacing w:before="60" w:after="60"/>
            </w:pPr>
            <w:r>
              <w:rPr>
                <w:rFonts w:ascii="Times New Roman" w:hAnsi="Times New Roman"/>
                <w:sz w:val="20"/>
              </w:rPr>
              <w:t>5–15 tỷ VND</w:t>
            </w:r>
          </w:p>
        </w:tc>
        <w:tc>
          <w:tcPr>
            <w:tcW w:type="dxa" w:w="3120"/>
          </w:tcPr>
          <w:p>
            <w:pPr>
              <w:spacing w:before="60" w:after="60"/>
            </w:pPr>
            <w:r>
              <w:rPr>
                <w:rFonts w:ascii="Times New Roman" w:hAnsi="Times New Roman"/>
                <w:sz w:val="20"/>
              </w:rPr>
              <w:t>Có nguồn dự phòng tại chỗ → giảm hệ số rủi ro → giảm phí bảo hiểm</w:t>
            </w:r>
          </w:p>
        </w:tc>
      </w:tr>
      <w:tr>
        <w:tc>
          <w:tcPr>
            <w:tcW w:type="dxa" w:w="3120"/>
          </w:tcPr>
          <w:p>
            <w:pPr>
              <w:spacing w:before="60" w:after="60"/>
            </w:pPr>
            <w:r>
              <w:rPr>
                <w:rFonts w:ascii="Times New Roman" w:hAnsi="Times New Roman"/>
                <w:sz w:val="20"/>
              </w:rPr>
              <w:t>Tổng tiết kiệm ước tính</w:t>
            </w:r>
          </w:p>
        </w:tc>
        <w:tc>
          <w:tcPr>
            <w:tcW w:type="dxa" w:w="3120"/>
          </w:tcPr>
          <w:p>
            <w:pPr>
              <w:spacing w:before="60" w:after="60"/>
            </w:pPr>
            <w:r>
              <w:rPr>
                <w:rFonts w:ascii="Times New Roman" w:hAnsi="Times New Roman"/>
                <w:sz w:val="20"/>
              </w:rPr>
              <w:t>75–165 tỷ VND/năm</w:t>
            </w:r>
          </w:p>
        </w:tc>
        <w:tc>
          <w:tcPr>
            <w:tcW w:type="dxa" w:w="3120"/>
          </w:tcPr>
          <w:p>
            <w:pPr>
              <w:spacing w:before="60" w:after="60"/>
            </w:pPr>
            <w:r>
              <w:rPr>
                <w:rFonts w:ascii="Times New Roman" w:hAnsi="Times New Roman"/>
                <w:sz w:val="20"/>
              </w:rPr>
            </w:r>
          </w:p>
        </w:tc>
      </w:tr>
    </w:tbl>
    <w:p>
      <w:pPr>
        <w:spacing w:before="0" w:after="80"/>
      </w:pPr>
    </w:p>
    <w:p>
      <w:pPr>
        <w:spacing w:before="80" w:after="80"/>
        <w:ind w:left="850"/>
        <w:pBdr>
          <w:left w:val="single" w:sz="18" w:space="8" w:color="D0D7DE"/>
        </w:pBdr>
      </w:pPr>
      <w:r>
        <w:rPr>
          <w:b/>
          <w:color w:val="6A737D"/>
        </w:rPr>
        <w:t>Phép thử:</w:t>
      </w:r>
      <w:r>
        <w:rPr>
          <w:color w:val="6A737D"/>
        </w:rPr>
        <w:t xml:space="preserve"> Với tiết kiệm trung bình ~120 tỷ VND/năm và vốn đầu tư Phase 1 khoảng 500–800 tỷ VND (do đối tác bỏ vốn theo mô hình PPA), Sun Group hưởng lợi từ ngày đầu mà không chịu rủi ro đầu tư ban đầu.</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5. Đánh giá đối tác tiềm năng</w:t>
      </w:r>
    </w:p>
    <w:p>
      <w:pPr>
        <w:pStyle w:val="Heading3"/>
        <w:spacing w:before="240" w:after="160"/>
      </w:pPr>
      <w:r>
        <w:rPr>
          <w:rFonts w:ascii="Times New Roman" w:hAnsi="Times New Roman" w:eastAsia="Times New Roman"/>
          <w:color w:val="1A1A2E"/>
          <w:sz w:val="32"/>
        </w:rPr>
        <w:t>5.1. Tiêu chí lựa chọn đối tác</w:t>
      </w:r>
    </w:p>
    <w:p>
      <w:r>
        <w:t>Việc lựa chọn đối tác cho dự án an ninh năng lượng quy mô lớn đòi hỏi đánh giá đa chiều. Không phải bất kỳ nhà đầu tư năng lượng nào cũng phù hợp cho bài toán đảo — nơi có điều kiện vận hành đặc thù (khí hậu biển, logistic phức tạp, yêu cầu thẩm mỹ cao từ resort).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Tiêu chí</w:t>
            </w:r>
          </w:p>
        </w:tc>
        <w:tc>
          <w:tcPr>
            <w:tcW w:type="dxa" w:w="3120"/>
            <w:shd w:fill="E2E8F0" w:val="clear"/>
          </w:tcPr>
          <w:p>
            <w:pPr>
              <w:spacing w:before="60" w:after="60"/>
            </w:pPr>
            <w:r>
              <w:rPr>
                <w:rFonts w:ascii="Times New Roman" w:hAnsi="Times New Roman"/>
                <w:b/>
                <w:sz w:val="20"/>
              </w:rPr>
              <w:t>Trọng số</w:t>
            </w:r>
          </w:p>
        </w:tc>
        <w:tc>
          <w:tcPr>
            <w:tcW w:type="dxa" w:w="3120"/>
            <w:shd w:fill="E2E8F0" w:val="clear"/>
          </w:tcPr>
          <w:p>
            <w:pPr>
              <w:spacing w:before="60" w:after="60"/>
            </w:pPr>
            <w:r>
              <w:rPr>
                <w:rFonts w:ascii="Times New Roman" w:hAnsi="Times New Roman"/>
                <w:b/>
                <w:sz w:val="20"/>
              </w:rPr>
              <w:t>Lý do</w:t>
            </w:r>
          </w:p>
        </w:tc>
      </w:tr>
      <w:tr>
        <w:tc>
          <w:tcPr>
            <w:tcW w:type="dxa" w:w="3120"/>
          </w:tcPr>
          <w:p>
            <w:pPr>
              <w:spacing w:before="60" w:after="60"/>
            </w:pPr>
            <w:r>
              <w:rPr>
                <w:rFonts w:ascii="Times New Roman" w:hAnsi="Times New Roman"/>
                <w:sz w:val="20"/>
              </w:rPr>
              <w:t>Kinh nghiệm BESS quy mô lớn</w:t>
            </w:r>
          </w:p>
        </w:tc>
        <w:tc>
          <w:tcPr>
            <w:tcW w:type="dxa" w:w="3120"/>
          </w:tcPr>
          <w:p>
            <w:pPr>
              <w:spacing w:before="60" w:after="60"/>
            </w:pPr>
            <w:r>
              <w:rPr>
                <w:rFonts w:ascii="Times New Roman" w:hAnsi="Times New Roman"/>
                <w:sz w:val="20"/>
              </w:rPr>
              <w:t>30%</w:t>
            </w:r>
          </w:p>
        </w:tc>
        <w:tc>
          <w:tcPr>
            <w:tcW w:type="dxa" w:w="3120"/>
          </w:tcPr>
          <w:p>
            <w:pPr>
              <w:spacing w:before="60" w:after="60"/>
            </w:pPr>
            <w:r>
              <w:rPr>
                <w:rFonts w:ascii="Times New Roman" w:hAnsi="Times New Roman"/>
                <w:sz w:val="20"/>
              </w:rPr>
              <w:t>Năng lực kỹ thuật cốt lõi — không phải nhà đầu tư nào cũng vận hành được BESS quy mô MW</w:t>
            </w:r>
          </w:p>
        </w:tc>
      </w:tr>
      <w:tr>
        <w:tc>
          <w:tcPr>
            <w:tcW w:type="dxa" w:w="3120"/>
          </w:tcPr>
          <w:p>
            <w:pPr>
              <w:spacing w:before="60" w:after="60"/>
            </w:pPr>
            <w:r>
              <w:rPr>
                <w:rFonts w:ascii="Times New Roman" w:hAnsi="Times New Roman"/>
                <w:sz w:val="20"/>
              </w:rPr>
              <w:t>Năng lực tài chính dự án (Project Finance)</w:t>
            </w:r>
          </w:p>
        </w:tc>
        <w:tc>
          <w:tcPr>
            <w:tcW w:type="dxa" w:w="3120"/>
          </w:tcPr>
          <w:p>
            <w:pPr>
              <w:spacing w:before="60" w:after="60"/>
            </w:pPr>
            <w:r>
              <w:rPr>
                <w:rFonts w:ascii="Times New Roman" w:hAnsi="Times New Roman"/>
                <w:sz w:val="20"/>
              </w:rPr>
              <w:t>25%</w:t>
            </w:r>
          </w:p>
        </w:tc>
        <w:tc>
          <w:tcPr>
            <w:tcW w:type="dxa" w:w="3120"/>
          </w:tcPr>
          <w:p>
            <w:pPr>
              <w:spacing w:before="60" w:after="60"/>
            </w:pPr>
            <w:r>
              <w:rPr>
                <w:rFonts w:ascii="Times New Roman" w:hAnsi="Times New Roman"/>
                <w:sz w:val="20"/>
              </w:rPr>
              <w:t>Mô hình PPA yêu cầu đối tác tự bỏ vốn hàng trăm triệu USD — cần credit rating cao</w:t>
            </w:r>
          </w:p>
        </w:tc>
      </w:tr>
      <w:tr>
        <w:tc>
          <w:tcPr>
            <w:tcW w:type="dxa" w:w="3120"/>
          </w:tcPr>
          <w:p>
            <w:pPr>
              <w:spacing w:before="60" w:after="60"/>
            </w:pPr>
            <w:r>
              <w:rPr>
                <w:rFonts w:ascii="Times New Roman" w:hAnsi="Times New Roman"/>
                <w:sz w:val="20"/>
              </w:rPr>
              <w:t>Kinh nghiệm vận hành đảo/hải đảo</w:t>
            </w:r>
          </w:p>
        </w:tc>
        <w:tc>
          <w:tcPr>
            <w:tcW w:type="dxa" w:w="3120"/>
          </w:tcPr>
          <w:p>
            <w:pPr>
              <w:spacing w:before="60" w:after="60"/>
            </w:pPr>
            <w:r>
              <w:rPr>
                <w:rFonts w:ascii="Times New Roman" w:hAnsi="Times New Roman"/>
                <w:sz w:val="20"/>
              </w:rPr>
              <w:t>20%</w:t>
            </w:r>
          </w:p>
        </w:tc>
        <w:tc>
          <w:tcPr>
            <w:tcW w:type="dxa" w:w="3120"/>
          </w:tcPr>
          <w:p>
            <w:pPr>
              <w:spacing w:before="60" w:after="60"/>
            </w:pPr>
            <w:r>
              <w:rPr>
                <w:rFonts w:ascii="Times New Roman" w:hAnsi="Times New Roman"/>
                <w:sz w:val="20"/>
              </w:rPr>
              <w:t>Phú Quốc có đặc thù logistic, khí hậu, chuỗi cung ứng khác đất liền</w:t>
            </w:r>
          </w:p>
        </w:tc>
      </w:tr>
      <w:tr>
        <w:tc>
          <w:tcPr>
            <w:tcW w:type="dxa" w:w="3120"/>
          </w:tcPr>
          <w:p>
            <w:pPr>
              <w:spacing w:before="60" w:after="60"/>
            </w:pPr>
            <w:r>
              <w:rPr>
                <w:rFonts w:ascii="Times New Roman" w:hAnsi="Times New Roman"/>
                <w:sz w:val="20"/>
              </w:rPr>
              <w:t>Cam kết ESG và uy tín quốc tế</w:t>
            </w:r>
          </w:p>
        </w:tc>
        <w:tc>
          <w:tcPr>
            <w:tcW w:type="dxa" w:w="3120"/>
          </w:tcPr>
          <w:p>
            <w:pPr>
              <w:spacing w:before="60" w:after="60"/>
            </w:pPr>
            <w:r>
              <w:rPr>
                <w:rFonts w:ascii="Times New Roman" w:hAnsi="Times New Roman"/>
                <w:sz w:val="20"/>
              </w:rPr>
              <w:t>15%</w:t>
            </w:r>
          </w:p>
        </w:tc>
        <w:tc>
          <w:tcPr>
            <w:tcW w:type="dxa" w:w="3120"/>
          </w:tcPr>
          <w:p>
            <w:pPr>
              <w:spacing w:before="60" w:after="60"/>
            </w:pPr>
            <w:r>
              <w:rPr>
                <w:rFonts w:ascii="Times New Roman" w:hAnsi="Times New Roman"/>
                <w:sz w:val="20"/>
              </w:rPr>
              <w:t>Phải phù hợp với tiêu chuẩn 13 thương hiệu 5 sao quốc tế</w:t>
            </w:r>
          </w:p>
        </w:tc>
      </w:tr>
      <w:tr>
        <w:tc>
          <w:tcPr>
            <w:tcW w:type="dxa" w:w="3120"/>
          </w:tcPr>
          <w:p>
            <w:pPr>
              <w:spacing w:before="60" w:after="60"/>
            </w:pPr>
            <w:r>
              <w:rPr>
                <w:rFonts w:ascii="Times New Roman" w:hAnsi="Times New Roman"/>
                <w:sz w:val="20"/>
              </w:rPr>
              <w:t>Hiện diện tại Việt Nam</w:t>
            </w:r>
          </w:p>
        </w:tc>
        <w:tc>
          <w:tcPr>
            <w:tcW w:type="dxa" w:w="3120"/>
          </w:tcPr>
          <w:p>
            <w:pPr>
              <w:spacing w:before="60" w:after="60"/>
            </w:pPr>
            <w:r>
              <w:rPr>
                <w:rFonts w:ascii="Times New Roman" w:hAnsi="Times New Roman"/>
                <w:sz w:val="20"/>
              </w:rPr>
              <w:t>10%</w:t>
            </w:r>
          </w:p>
        </w:tc>
        <w:tc>
          <w:tcPr>
            <w:tcW w:type="dxa" w:w="3120"/>
          </w:tcPr>
          <w:p>
            <w:pPr>
              <w:spacing w:before="60" w:after="60"/>
            </w:pPr>
            <w:r>
              <w:rPr>
                <w:rFonts w:ascii="Times New Roman" w:hAnsi="Times New Roman"/>
                <w:sz w:val="20"/>
              </w:rPr>
              <w:t>Tốc độ triển khai — đối tác đã có văn phòng và nhân sự tại VN sẽ nhanh hơn</w:t>
            </w:r>
          </w:p>
        </w:tc>
      </w:tr>
    </w:tbl>
    <w:p>
      <w:pPr>
        <w:spacing w:before="0" w:after="80"/>
      </w:pPr>
    </w:p>
    <w:p>
      <w:pPr>
        <w:pStyle w:val="Heading3"/>
        <w:spacing w:before="240" w:after="160"/>
      </w:pPr>
      <w:r>
        <w:rPr>
          <w:rFonts w:ascii="Times New Roman" w:hAnsi="Times New Roman" w:eastAsia="Times New Roman"/>
          <w:color w:val="1A1A2E"/>
          <w:sz w:val="32"/>
        </w:rPr>
        <w:t>5.2. CLP Holdings — Hồ sơ năng lực</w:t>
      </w:r>
    </w:p>
    <w:p>
      <w:r>
        <w:t>CLP nổi lên là ứng viên hàng đầu theo tất cả các tiêu chí. Dưới đây là đánh giá chi tiết dựa trên thông tin từ bản ghi nhớ ngày 23/02/2026[^3] và nguồn công khai.</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Tiêu chí</w:t>
            </w:r>
          </w:p>
        </w:tc>
        <w:tc>
          <w:tcPr>
            <w:tcW w:type="dxa" w:w="4680"/>
            <w:shd w:fill="E2E8F0" w:val="clear"/>
          </w:tcPr>
          <w:p>
            <w:pPr>
              <w:spacing w:before="60" w:after="60"/>
            </w:pPr>
            <w:r>
              <w:rPr>
                <w:rFonts w:ascii="Times New Roman" w:hAnsi="Times New Roman"/>
                <w:b/>
                <w:sz w:val="20"/>
              </w:rPr>
              <w:t>Đánh giá</w:t>
            </w:r>
          </w:p>
        </w:tc>
      </w:tr>
      <w:tr>
        <w:tc>
          <w:tcPr>
            <w:tcW w:type="dxa" w:w="4680"/>
          </w:tcPr>
          <w:p>
            <w:pPr>
              <w:spacing w:before="60" w:after="60"/>
            </w:pPr>
            <w:r>
              <w:rPr>
                <w:rFonts w:ascii="Times New Roman" w:hAnsi="Times New Roman"/>
                <w:sz w:val="20"/>
              </w:rPr>
              <w:t>Quy mô</w:t>
            </w:r>
          </w:p>
        </w:tc>
        <w:tc>
          <w:tcPr>
            <w:tcW w:type="dxa" w:w="4680"/>
          </w:tcPr>
          <w:p>
            <w:pPr>
              <w:spacing w:before="60" w:after="60"/>
            </w:pPr>
            <w:r>
              <w:rPr>
                <w:rFonts w:ascii="Times New Roman" w:hAnsi="Times New Roman"/>
                <w:sz w:val="20"/>
              </w:rPr>
              <w:t>~23.000 MW phát điện và lưu trữ tại 5 quốc gia/vùng lãnh thổ (Hồng Kông, Trung Quốc Đại lục, Úc, Ấn Độ, Đài Loan)[^3]</w:t>
            </w:r>
          </w:p>
        </w:tc>
      </w:tr>
      <w:tr>
        <w:tc>
          <w:tcPr>
            <w:tcW w:type="dxa" w:w="4680"/>
          </w:tcPr>
          <w:p>
            <w:pPr>
              <w:spacing w:before="60" w:after="60"/>
            </w:pPr>
            <w:r>
              <w:rPr>
                <w:rFonts w:ascii="Times New Roman" w:hAnsi="Times New Roman"/>
                <w:sz w:val="20"/>
              </w:rPr>
              <w:t>Kinh nghiệm BESS</w:t>
            </w:r>
          </w:p>
        </w:tc>
        <w:tc>
          <w:tcPr>
            <w:tcW w:type="dxa" w:w="4680"/>
          </w:tcPr>
          <w:p>
            <w:pPr>
              <w:spacing w:before="60" w:after="60"/>
            </w:pPr>
            <w:r>
              <w:rPr>
                <w:rFonts w:ascii="Times New Roman" w:hAnsi="Times New Roman"/>
                <w:sz w:val="20"/>
              </w:rPr>
              <w:t>Vận hành hệ thống BESS tại Úc, Hồng Kông — thị trường có yêu cầu kỹ thuật cao</w:t>
            </w:r>
          </w:p>
        </w:tc>
      </w:tr>
      <w:tr>
        <w:tc>
          <w:tcPr>
            <w:tcW w:type="dxa" w:w="4680"/>
          </w:tcPr>
          <w:p>
            <w:pPr>
              <w:spacing w:before="60" w:after="60"/>
            </w:pPr>
            <w:r>
              <w:rPr>
                <w:rFonts w:ascii="Times New Roman" w:hAnsi="Times New Roman"/>
                <w:sz w:val="20"/>
              </w:rPr>
              <w:t>Điện gió</w:t>
            </w:r>
          </w:p>
        </w:tc>
        <w:tc>
          <w:tcPr>
            <w:tcW w:type="dxa" w:w="4680"/>
          </w:tcPr>
          <w:p>
            <w:pPr>
              <w:spacing w:before="60" w:after="60"/>
            </w:pPr>
            <w:r>
              <w:rPr>
                <w:rFonts w:ascii="Times New Roman" w:hAnsi="Times New Roman"/>
                <w:sz w:val="20"/>
              </w:rPr>
              <w:t>2,5 GW tại Đài Loan; dự kiến hơn 300 MW tại Việt Nam năm 2027[^3]</w:t>
            </w:r>
          </w:p>
        </w:tc>
      </w:tr>
      <w:tr>
        <w:tc>
          <w:tcPr>
            <w:tcW w:type="dxa" w:w="4680"/>
          </w:tcPr>
          <w:p>
            <w:pPr>
              <w:spacing w:before="60" w:after="60"/>
            </w:pPr>
            <w:r>
              <w:rPr>
                <w:rFonts w:ascii="Times New Roman" w:hAnsi="Times New Roman"/>
                <w:sz w:val="20"/>
              </w:rPr>
              <w:t>Tài chính</w:t>
            </w:r>
          </w:p>
        </w:tc>
        <w:tc>
          <w:tcPr>
            <w:tcW w:type="dxa" w:w="4680"/>
          </w:tcPr>
          <w:p>
            <w:pPr>
              <w:spacing w:before="60" w:after="60"/>
            </w:pPr>
            <w:r>
              <w:rPr>
                <w:rFonts w:ascii="Times New Roman" w:hAnsi="Times New Roman"/>
                <w:sz w:val="20"/>
              </w:rPr>
              <w:t>Niêm yết HKEX, vốn hóa &gt;100 tỷ HKD, xếp hạng tín dụng A — đủ năng lực Project Finance</w:t>
            </w:r>
          </w:p>
        </w:tc>
      </w:tr>
      <w:tr>
        <w:tc>
          <w:tcPr>
            <w:tcW w:type="dxa" w:w="4680"/>
          </w:tcPr>
          <w:p>
            <w:pPr>
              <w:spacing w:before="60" w:after="60"/>
            </w:pPr>
            <w:r>
              <w:rPr>
                <w:rFonts w:ascii="Times New Roman" w:hAnsi="Times New Roman"/>
                <w:sz w:val="20"/>
              </w:rPr>
              <w:t>Lịch sử</w:t>
            </w:r>
          </w:p>
        </w:tc>
        <w:tc>
          <w:tcPr>
            <w:tcW w:type="dxa" w:w="4680"/>
          </w:tcPr>
          <w:p>
            <w:pPr>
              <w:spacing w:before="60" w:after="60"/>
            </w:pPr>
            <w:r>
              <w:rPr>
                <w:rFonts w:ascii="Times New Roman" w:hAnsi="Times New Roman"/>
                <w:sz w:val="20"/>
              </w:rPr>
              <w:t>125 năm hoạt động liên tục (thành lập 1901), thuộc top 5 doanh nghiệp điện lực Châu Á - TBD</w:t>
            </w:r>
          </w:p>
        </w:tc>
      </w:tr>
      <w:tr>
        <w:tc>
          <w:tcPr>
            <w:tcW w:type="dxa" w:w="4680"/>
          </w:tcPr>
          <w:p>
            <w:pPr>
              <w:spacing w:before="60" w:after="60"/>
            </w:pPr>
            <w:r>
              <w:rPr>
                <w:rFonts w:ascii="Times New Roman" w:hAnsi="Times New Roman"/>
                <w:sz w:val="20"/>
              </w:rPr>
              <w:t>Tại Việt Nam</w:t>
            </w:r>
          </w:p>
        </w:tc>
        <w:tc>
          <w:tcPr>
            <w:tcW w:type="dxa" w:w="4680"/>
          </w:tcPr>
          <w:p>
            <w:pPr>
              <w:spacing w:before="60" w:after="60"/>
            </w:pPr>
            <w:r>
              <w:rPr>
                <w:rFonts w:ascii="Times New Roman" w:hAnsi="Times New Roman"/>
                <w:sz w:val="20"/>
              </w:rPr>
              <w:t>Đại diện: Hàn Thế Phong — Phó Giám đốc Thị trường Việt Nam &amp; Lào, CLP SEA Infrastructure Limited[^3]</w:t>
            </w:r>
          </w:p>
        </w:tc>
      </w:tr>
    </w:tbl>
    <w:p>
      <w:pPr>
        <w:spacing w:before="0" w:after="80"/>
      </w:pPr>
    </w:p>
    <w:p>
      <w:r>
        <w:t xml:space="preserve">Điểm khác biệt quan trọng của CLP so với các đối tác khác nằm ở </w:t>
      </w:r>
      <w:r>
        <w:rPr>
          <w:b/>
        </w:rPr>
        <w:t>bộ năng lực tích hợp</w:t>
      </w:r>
      <w:r>
        <w:t>: pin lưu trữ + năng lượng tái tạo quy mô lớn + tài chính dự án quốc tế + kinh nghiệm vận hành lưới điện đảo (Hồng Kông)[^3]. Rất ít đối tác toàn cầu hội tụ đủ cả bốn yếu tố cùng lúc.</w:t>
      </w:r>
    </w:p>
    <w:p>
      <w:pPr>
        <w:pStyle w:val="Heading3"/>
        <w:spacing w:before="240" w:after="160"/>
      </w:pPr>
      <w:r>
        <w:rPr>
          <w:rFonts w:ascii="Times New Roman" w:hAnsi="Times New Roman" w:eastAsia="Times New Roman"/>
          <w:color w:val="1A1A2E"/>
          <w:sz w:val="32"/>
        </w:rPr>
        <w:t>5.3. Các đối tác tiềm năng khác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Đối tác</w:t>
            </w:r>
          </w:p>
        </w:tc>
        <w:tc>
          <w:tcPr>
            <w:tcW w:type="dxa" w:w="3120"/>
            <w:shd w:fill="E2E8F0" w:val="clear"/>
          </w:tcPr>
          <w:p>
            <w:pPr>
              <w:spacing w:before="60" w:after="60"/>
            </w:pPr>
            <w:r>
              <w:rPr>
                <w:rFonts w:ascii="Times New Roman" w:hAnsi="Times New Roman"/>
                <w:b/>
                <w:sz w:val="20"/>
              </w:rPr>
              <w:t>Thế mạnh</w:t>
            </w:r>
          </w:p>
        </w:tc>
        <w:tc>
          <w:tcPr>
            <w:tcW w:type="dxa" w:w="3120"/>
            <w:shd w:fill="E2E8F0" w:val="clear"/>
          </w:tcPr>
          <w:p>
            <w:pPr>
              <w:spacing w:before="60" w:after="60"/>
            </w:pPr>
            <w:r>
              <w:rPr>
                <w:rFonts w:ascii="Times New Roman" w:hAnsi="Times New Roman"/>
                <w:b/>
                <w:sz w:val="20"/>
              </w:rPr>
              <w:t>Hạn chế</w:t>
            </w:r>
          </w:p>
        </w:tc>
      </w:tr>
      <w:tr>
        <w:tc>
          <w:tcPr>
            <w:tcW w:type="dxa" w:w="3120"/>
          </w:tcPr>
          <w:p>
            <w:pPr>
              <w:spacing w:before="60" w:after="60"/>
            </w:pPr>
            <w:r>
              <w:rPr>
                <w:rFonts w:ascii="Times New Roman" w:hAnsi="Times New Roman"/>
                <w:sz w:val="20"/>
              </w:rPr>
              <w:t>Marubeni(Nhật Bản)</w:t>
            </w:r>
          </w:p>
        </w:tc>
        <w:tc>
          <w:tcPr>
            <w:tcW w:type="dxa" w:w="3120"/>
          </w:tcPr>
          <w:p>
            <w:pPr>
              <w:spacing w:before="60" w:after="60"/>
            </w:pPr>
            <w:r>
              <w:rPr>
                <w:rFonts w:ascii="Times New Roman" w:hAnsi="Times New Roman"/>
                <w:sz w:val="20"/>
              </w:rPr>
              <w:t>Đã triển khai BESS tại Vinpearl Hòn Tre[^20]; có quan hệ với VinFast Energy</w:t>
            </w:r>
          </w:p>
        </w:tc>
        <w:tc>
          <w:tcPr>
            <w:tcW w:type="dxa" w:w="3120"/>
          </w:tcPr>
          <w:p>
            <w:pPr>
              <w:spacing w:before="60" w:after="60"/>
            </w:pPr>
            <w:r>
              <w:rPr>
                <w:rFonts w:ascii="Times New Roman" w:hAnsi="Times New Roman"/>
                <w:sz w:val="20"/>
              </w:rPr>
              <w:t>Quy mô BESS còn nhỏ (1,8 MW) — cần đánh giá khả năng scale-up</w:t>
            </w:r>
          </w:p>
        </w:tc>
      </w:tr>
      <w:tr>
        <w:tc>
          <w:tcPr>
            <w:tcW w:type="dxa" w:w="3120"/>
          </w:tcPr>
          <w:p>
            <w:pPr>
              <w:spacing w:before="60" w:after="60"/>
            </w:pPr>
            <w:r>
              <w:rPr>
                <w:rFonts w:ascii="Times New Roman" w:hAnsi="Times New Roman"/>
                <w:sz w:val="20"/>
              </w:rPr>
              <w:t>Fluence(Siemens-AES)</w:t>
            </w:r>
          </w:p>
        </w:tc>
        <w:tc>
          <w:tcPr>
            <w:tcW w:type="dxa" w:w="3120"/>
          </w:tcPr>
          <w:p>
            <w:pPr>
              <w:spacing w:before="60" w:after="60"/>
            </w:pPr>
            <w:r>
              <w:rPr>
                <w:rFonts w:ascii="Times New Roman" w:hAnsi="Times New Roman"/>
                <w:sz w:val="20"/>
              </w:rPr>
              <w:t>Nhà máy pin 35 GWh/năm tại Bắc Giang[^21]; chuỗi cung ứng nội địa</w:t>
            </w:r>
          </w:p>
        </w:tc>
        <w:tc>
          <w:tcPr>
            <w:tcW w:type="dxa" w:w="3120"/>
          </w:tcPr>
          <w:p>
            <w:pPr>
              <w:spacing w:before="60" w:after="60"/>
            </w:pPr>
            <w:r>
              <w:rPr>
                <w:rFonts w:ascii="Times New Roman" w:hAnsi="Times New Roman"/>
                <w:sz w:val="20"/>
              </w:rPr>
              <w:t>Chủ yếu sản xuất thiết bị, chưa có kinh nghiệm Project Finance tại VN</w:t>
            </w:r>
          </w:p>
        </w:tc>
      </w:tr>
      <w:tr>
        <w:tc>
          <w:tcPr>
            <w:tcW w:type="dxa" w:w="3120"/>
          </w:tcPr>
          <w:p>
            <w:pPr>
              <w:spacing w:before="60" w:after="60"/>
            </w:pPr>
            <w:r>
              <w:rPr>
                <w:rFonts w:ascii="Times New Roman" w:hAnsi="Times New Roman"/>
                <w:sz w:val="20"/>
              </w:rPr>
              <w:t>JERA(Nhật Bản)</w:t>
            </w:r>
          </w:p>
        </w:tc>
        <w:tc>
          <w:tcPr>
            <w:tcW w:type="dxa" w:w="3120"/>
          </w:tcPr>
          <w:p>
            <w:pPr>
              <w:spacing w:before="60" w:after="60"/>
            </w:pPr>
            <w:r>
              <w:rPr>
                <w:rFonts w:ascii="Times New Roman" w:hAnsi="Times New Roman"/>
                <w:sz w:val="20"/>
              </w:rPr>
              <w:t>Tập đoàn điện lớn nhất Nhật Bản; kinh nghiệm nhiệt điện VN</w:t>
            </w:r>
          </w:p>
        </w:tc>
        <w:tc>
          <w:tcPr>
            <w:tcW w:type="dxa" w:w="3120"/>
          </w:tcPr>
          <w:p>
            <w:pPr>
              <w:spacing w:before="60" w:after="60"/>
            </w:pPr>
            <w:r>
              <w:rPr>
                <w:rFonts w:ascii="Times New Roman" w:hAnsi="Times New Roman"/>
                <w:sz w:val="20"/>
              </w:rPr>
              <w:t>Chưa mạnh về BESS và năng lượng tái tạo tại Đông Nam Á</w:t>
            </w:r>
          </w:p>
        </w:tc>
      </w:tr>
      <w:tr>
        <w:tc>
          <w:tcPr>
            <w:tcW w:type="dxa" w:w="3120"/>
          </w:tcPr>
          <w:p>
            <w:pPr>
              <w:spacing w:before="60" w:after="60"/>
            </w:pPr>
            <w:r>
              <w:rPr>
                <w:rFonts w:ascii="Times New Roman" w:hAnsi="Times New Roman"/>
                <w:sz w:val="20"/>
              </w:rPr>
              <w:t>EDF Renewables(Pháp)</w:t>
            </w:r>
          </w:p>
        </w:tc>
        <w:tc>
          <w:tcPr>
            <w:tcW w:type="dxa" w:w="3120"/>
          </w:tcPr>
          <w:p>
            <w:pPr>
              <w:spacing w:before="60" w:after="60"/>
            </w:pPr>
            <w:r>
              <w:rPr>
                <w:rFonts w:ascii="Times New Roman" w:hAnsi="Times New Roman"/>
                <w:sz w:val="20"/>
              </w:rPr>
              <w:t>Kinh nghiệm gió ngoài khơi Châu Âu; uy tín ESG cao</w:t>
            </w:r>
          </w:p>
        </w:tc>
        <w:tc>
          <w:tcPr>
            <w:tcW w:type="dxa" w:w="3120"/>
          </w:tcPr>
          <w:p>
            <w:pPr>
              <w:spacing w:before="60" w:after="60"/>
            </w:pPr>
            <w:r>
              <w:rPr>
                <w:rFonts w:ascii="Times New Roman" w:hAnsi="Times New Roman"/>
                <w:sz w:val="20"/>
              </w:rPr>
              <w:t>Chưa có dự án BESS tại Đông Nam Á</w:t>
            </w:r>
          </w:p>
        </w:tc>
      </w:tr>
    </w:tbl>
    <w:p>
      <w:pPr>
        <w:spacing w:before="0" w:after="80"/>
      </w:pPr>
    </w:p>
    <w:p>
      <w:pPr>
        <w:pStyle w:val="Heading3"/>
        <w:spacing w:before="240" w:after="160"/>
      </w:pPr>
      <w:r>
        <w:rPr>
          <w:rFonts w:ascii="Times New Roman" w:hAnsi="Times New Roman" w:eastAsia="Times New Roman"/>
          <w:color w:val="1A1A2E"/>
          <w:sz w:val="32"/>
        </w:rPr>
        <w:t>5.4. Đề xuất chiến lược đối tác</w:t>
      </w:r>
    </w:p>
    <w:p>
      <w:r>
        <w:t>Khuyến nghị tiếp cận theo thứ tự ưu tiên:</w:t>
      </w:r>
    </w:p>
    <w:p>
      <w:pPr>
        <w:spacing w:after="40" w:before="20"/>
        <w:ind w:left="720" w:hanging="357"/>
      </w:pPr>
      <w:r>
        <w:t xml:space="preserve">1. </w:t>
      </w:r>
      <w:r>
        <w:rPr>
          <w:b/>
        </w:rPr>
        <w:t>CLP Holdings (Ưu tiên #1):</w:t>
      </w:r>
      <w:r>
        <w:t>Đàm phán thăm dò non-binding theo đề xuất từ bản ghi nhớ ngày 23/02/2026[^3]. CLP đã chủ động bày tỏ quan tâm — đây là cơ hội không nên bỏ lỡ.</w:t>
      </w:r>
    </w:p>
    <w:p>
      <w:pPr>
        <w:spacing w:after="40" w:before="20"/>
        <w:ind w:left="720" w:hanging="357"/>
      </w:pPr>
      <w:r>
        <w:t xml:space="preserve">2. </w:t>
      </w:r>
      <w:r>
        <w:rPr>
          <w:b/>
        </w:rPr>
        <w:t>Marubeni (Song song):</w:t>
      </w:r>
      <w:r>
        <w:t>Đã có tiền lệ Vinpearl — có thể mở rộng hợp tác từ mô hình đã kiểm chứng.</w:t>
      </w:r>
    </w:p>
    <w:p>
      <w:pPr>
        <w:spacing w:after="40" w:before="20"/>
        <w:ind w:left="720" w:hanging="357"/>
      </w:pPr>
      <w:r>
        <w:t xml:space="preserve">3. </w:t>
      </w:r>
      <w:r>
        <w:rPr>
          <w:b/>
        </w:rPr>
        <w:t>Fluence (Chuỗi cung ứng):</w:t>
      </w:r>
      <w:r>
        <w:t>Dù không phải đối tác Project Finance, Fluence là nhà cung cấp pin lưu trữ nội địa tiềm năng — có thể tham gia chuỗi cung ứng bất kể đối tác chính là ai.</w:t>
      </w:r>
    </w:p>
    <w:p>
      <w:r>
        <w:t>Việc đàm phán song song với nhiều đối tác không chỉ tăng lợi thế thương lượng mà còn giảm rủi ro phụ thuộc vào một bên duy nhất.</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6. Lợi ích kép — An ninh năng lượng + ESG + Thương hiệu</w:t>
      </w:r>
    </w:p>
    <w:p>
      <w:pPr>
        <w:pStyle w:val="Heading3"/>
        <w:spacing w:before="240" w:after="160"/>
      </w:pPr>
      <w:r>
        <w:rPr>
          <w:rFonts w:ascii="Times New Roman" w:hAnsi="Times New Roman" w:eastAsia="Times New Roman"/>
          <w:color w:val="1A1A2E"/>
          <w:sz w:val="32"/>
        </w:rPr>
        <w:t>6.1. Yêu cầu từ 13 thương hiệu quốc tế — Không còn là “nice-to-have”</w:t>
      </w:r>
    </w:p>
    <w:p>
      <w:r>
        <w:t xml:space="preserve">13 thương hiệu khách sạn tại Bãi Đất Đỏ đến từ 5 tập đoàn quản lý khách sạn hàng đầu thế giới[^3]. Tất cả đều đã công bố cam kết giảm phát thải theo </w:t>
      </w:r>
      <w:r>
        <w:rPr>
          <w:b/>
        </w:rPr>
        <w:t>Science Based Targets initiative (SBTi)</w:t>
      </w:r>
      <w:r>
        <w:t xml:space="preserve"> — và quan trọng hơn, tất cả đều </w:t>
      </w:r>
      <w:r>
        <w:rPr>
          <w:b/>
        </w:rPr>
        <w:t>đang áp dụng các cam kết này xuống từng cơ sở vận hành</w:t>
      </w:r>
      <w:r>
        <w: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Tập đoàn</w:t>
            </w:r>
          </w:p>
        </w:tc>
        <w:tc>
          <w:tcPr>
            <w:tcW w:type="dxa" w:w="3120"/>
            <w:shd w:fill="E2E8F0" w:val="clear"/>
          </w:tcPr>
          <w:p>
            <w:pPr>
              <w:spacing w:before="60" w:after="60"/>
            </w:pPr>
            <w:r>
              <w:rPr>
                <w:rFonts w:ascii="Times New Roman" w:hAnsi="Times New Roman"/>
                <w:b/>
                <w:sz w:val="20"/>
              </w:rPr>
              <w:t>Cam kết</w:t>
            </w:r>
          </w:p>
        </w:tc>
        <w:tc>
          <w:tcPr>
            <w:tcW w:type="dxa" w:w="3120"/>
            <w:shd w:fill="E2E8F0" w:val="clear"/>
          </w:tcPr>
          <w:p>
            <w:pPr>
              <w:spacing w:before="60" w:after="60"/>
            </w:pPr>
            <w:r>
              <w:rPr>
                <w:rFonts w:ascii="Times New Roman" w:hAnsi="Times New Roman"/>
                <w:b/>
                <w:sz w:val="20"/>
              </w:rPr>
              <w:t>Hệ quả cho Sun Group</w:t>
            </w:r>
          </w:p>
        </w:tc>
      </w:tr>
      <w:tr>
        <w:tc>
          <w:tcPr>
            <w:tcW w:type="dxa" w:w="3120"/>
          </w:tcPr>
          <w:p>
            <w:pPr>
              <w:spacing w:before="60" w:after="60"/>
            </w:pPr>
            <w:r>
              <w:rPr>
                <w:rFonts w:ascii="Times New Roman" w:hAnsi="Times New Roman"/>
                <w:sz w:val="20"/>
              </w:rPr>
              <w:t>Accor</w:t>
            </w:r>
          </w:p>
        </w:tc>
        <w:tc>
          <w:tcPr>
            <w:tcW w:type="dxa" w:w="3120"/>
          </w:tcPr>
          <w:p>
            <w:pPr>
              <w:spacing w:before="60" w:after="60"/>
            </w:pPr>
            <w:r>
              <w:rPr>
                <w:rFonts w:ascii="Times New Roman" w:hAnsi="Times New Roman"/>
                <w:sz w:val="20"/>
              </w:rPr>
              <w:t>100% eco-certified cuối 2026</w:t>
            </w:r>
          </w:p>
        </w:tc>
        <w:tc>
          <w:tcPr>
            <w:tcW w:type="dxa" w:w="3120"/>
          </w:tcPr>
          <w:p>
            <w:pPr>
              <w:spacing w:before="60" w:after="60"/>
            </w:pPr>
            <w:r>
              <w:rPr>
                <w:rFonts w:ascii="Times New Roman" w:hAnsi="Times New Roman"/>
                <w:sz w:val="20"/>
              </w:rPr>
              <w:t>Chứng minh nguồn năng lượng sạch cho từng khách sạn</w:t>
            </w:r>
          </w:p>
        </w:tc>
      </w:tr>
      <w:tr>
        <w:tc>
          <w:tcPr>
            <w:tcW w:type="dxa" w:w="3120"/>
          </w:tcPr>
          <w:p>
            <w:pPr>
              <w:spacing w:before="60" w:after="60"/>
            </w:pPr>
            <w:r>
              <w:rPr>
                <w:rFonts w:ascii="Times New Roman" w:hAnsi="Times New Roman"/>
                <w:sz w:val="20"/>
              </w:rPr>
              <w:t>IHG</w:t>
            </w:r>
          </w:p>
        </w:tc>
        <w:tc>
          <w:tcPr>
            <w:tcW w:type="dxa" w:w="3120"/>
          </w:tcPr>
          <w:p>
            <w:pPr>
              <w:spacing w:before="60" w:after="60"/>
            </w:pPr>
            <w:r>
              <w:rPr>
                <w:rFonts w:ascii="Times New Roman" w:hAnsi="Times New Roman"/>
                <w:sz w:val="20"/>
              </w:rPr>
              <w:t>Net Zero 2050, giảm 46% đến 2030</w:t>
            </w:r>
          </w:p>
        </w:tc>
        <w:tc>
          <w:tcPr>
            <w:tcW w:type="dxa" w:w="3120"/>
          </w:tcPr>
          <w:p>
            <w:pPr>
              <w:spacing w:before="60" w:after="60"/>
            </w:pPr>
            <w:r>
              <w:rPr>
                <w:rFonts w:ascii="Times New Roman" w:hAnsi="Times New Roman"/>
                <w:sz w:val="20"/>
              </w:rPr>
              <w:t>Yêu cầu báo cáo tỷ lệ năng lượng tái tạo</w:t>
            </w:r>
          </w:p>
        </w:tc>
      </w:tr>
      <w:tr>
        <w:tc>
          <w:tcPr>
            <w:tcW w:type="dxa" w:w="3120"/>
          </w:tcPr>
          <w:p>
            <w:pPr>
              <w:spacing w:before="60" w:after="60"/>
            </w:pPr>
            <w:r>
              <w:rPr>
                <w:rFonts w:ascii="Times New Roman" w:hAnsi="Times New Roman"/>
                <w:sz w:val="20"/>
              </w:rPr>
              <w:t>Marriott</w:t>
            </w:r>
          </w:p>
        </w:tc>
        <w:tc>
          <w:tcPr>
            <w:tcW w:type="dxa" w:w="3120"/>
          </w:tcPr>
          <w:p>
            <w:pPr>
              <w:spacing w:before="60" w:after="60"/>
            </w:pPr>
            <w:r>
              <w:rPr>
                <w:rFonts w:ascii="Times New Roman" w:hAnsi="Times New Roman"/>
                <w:sz w:val="20"/>
              </w:rPr>
              <w:t>Giảm 50% carbon đến 2025</w:t>
            </w:r>
          </w:p>
        </w:tc>
        <w:tc>
          <w:tcPr>
            <w:tcW w:type="dxa" w:w="3120"/>
          </w:tcPr>
          <w:p>
            <w:pPr>
              <w:spacing w:before="60" w:after="60"/>
            </w:pPr>
            <w:r>
              <w:rPr>
                <w:rFonts w:ascii="Times New Roman" w:hAnsi="Times New Roman"/>
                <w:sz w:val="20"/>
              </w:rPr>
              <w:t>Báo cáo carbon footprint cơ sở hằng năm</w:t>
            </w:r>
          </w:p>
        </w:tc>
      </w:tr>
      <w:tr>
        <w:tc>
          <w:tcPr>
            <w:tcW w:type="dxa" w:w="3120"/>
          </w:tcPr>
          <w:p>
            <w:pPr>
              <w:spacing w:before="60" w:after="60"/>
            </w:pPr>
            <w:r>
              <w:rPr>
                <w:rFonts w:ascii="Times New Roman" w:hAnsi="Times New Roman"/>
                <w:sz w:val="20"/>
              </w:rPr>
              <w:t>Hilton</w:t>
            </w:r>
          </w:p>
        </w:tc>
        <w:tc>
          <w:tcPr>
            <w:tcW w:type="dxa" w:w="3120"/>
          </w:tcPr>
          <w:p>
            <w:pPr>
              <w:spacing w:before="60" w:after="60"/>
            </w:pPr>
            <w:r>
              <w:rPr>
                <w:rFonts w:ascii="Times New Roman" w:hAnsi="Times New Roman"/>
                <w:sz w:val="20"/>
              </w:rPr>
              <w:t>Cắt giảm 61% đến 2030</w:t>
            </w:r>
          </w:p>
        </w:tc>
        <w:tc>
          <w:tcPr>
            <w:tcW w:type="dxa" w:w="3120"/>
          </w:tcPr>
          <w:p>
            <w:pPr>
              <w:spacing w:before="60" w:after="60"/>
            </w:pPr>
            <w:r>
              <w:rPr>
                <w:rFonts w:ascii="Times New Roman" w:hAnsi="Times New Roman"/>
                <w:sz w:val="20"/>
              </w:rPr>
              <w:t>ESG audit hằng năm theo chuẩn LEED</w:t>
            </w:r>
          </w:p>
        </w:tc>
      </w:tr>
      <w:tr>
        <w:tc>
          <w:tcPr>
            <w:tcW w:type="dxa" w:w="3120"/>
          </w:tcPr>
          <w:p>
            <w:pPr>
              <w:spacing w:before="60" w:after="60"/>
            </w:pPr>
            <w:r>
              <w:rPr>
                <w:rFonts w:ascii="Times New Roman" w:hAnsi="Times New Roman"/>
                <w:sz w:val="20"/>
              </w:rPr>
              <w:t>Hyatt</w:t>
            </w:r>
          </w:p>
        </w:tc>
        <w:tc>
          <w:tcPr>
            <w:tcW w:type="dxa" w:w="3120"/>
          </w:tcPr>
          <w:p>
            <w:pPr>
              <w:spacing w:before="60" w:after="60"/>
            </w:pPr>
            <w:r>
              <w:rPr>
                <w:rFonts w:ascii="Times New Roman" w:hAnsi="Times New Roman"/>
                <w:sz w:val="20"/>
              </w:rPr>
              <w:t>Science-based targets đã xác nhận</w:t>
            </w:r>
          </w:p>
        </w:tc>
        <w:tc>
          <w:tcPr>
            <w:tcW w:type="dxa" w:w="3120"/>
          </w:tcPr>
          <w:p>
            <w:pPr>
              <w:spacing w:before="60" w:after="60"/>
            </w:pPr>
            <w:r>
              <w:rPr>
                <w:rFonts w:ascii="Times New Roman" w:hAnsi="Times New Roman"/>
                <w:sz w:val="20"/>
              </w:rPr>
              <w:t>Chứng chỉ LEED/Green Building cho cơ sở mới</w:t>
            </w:r>
          </w:p>
        </w:tc>
      </w:tr>
    </w:tbl>
    <w:p>
      <w:pPr>
        <w:spacing w:before="0" w:after="80"/>
      </w:pPr>
    </w:p>
    <w:p>
      <w:r>
        <w:t xml:space="preserve">Đây không còn là khuyến nghị mà là </w:t>
      </w:r>
      <w:r>
        <w:rPr>
          <w:b/>
        </w:rPr>
        <w:t>điều kiện hợp đồng</w:t>
      </w:r>
      <w:r>
        <w:t>. Sun Group với tư cách chủ đầu tư sẽ cần chứng minh nguồn năng lượng sạch cho từng cơ sở — nếu không, các thương hiệu có quyền yêu cầu giảm phí hoặc thậm chí rút khỏi hợp đồng quản lý. Giải pháp an ninh năng lượng dựa trên BESS + solar + wind, do đó, đồng thời giải quyết luôn bài toán ESG — như bản ghi nhớ CLP nhận định: “một khoản đầu tư, hai mục đích”[^3].</w:t>
      </w:r>
    </w:p>
    <w:p>
      <w:pPr>
        <w:pStyle w:val="Heading3"/>
        <w:spacing w:before="240" w:after="160"/>
      </w:pPr>
      <w:r>
        <w:rPr>
          <w:rFonts w:ascii="Times New Roman" w:hAnsi="Times New Roman" w:eastAsia="Times New Roman"/>
          <w:color w:val="1A1A2E"/>
          <w:sz w:val="32"/>
        </w:rPr>
        <w:t>6.2. “APEC xanh” — Thông điệp trước 21 nền kinh tế</w:t>
      </w:r>
    </w:p>
    <w:p>
      <w:r>
        <w:t xml:space="preserve">APEC 2027 tại Phú Quốc không chỉ là sự kiện ngoại giao — đây là cơ hội thương hiệu quốc gia. Nếu Trung tâm Hội nghị APEC vận hành bằng </w:t>
      </w:r>
      <w:r>
        <w:rPr>
          <w:b/>
        </w:rPr>
        <w:t>100% năng lượng tái tạo tại chỗ</w:t>
      </w:r>
      <w:r>
        <w:t>, đây sẽ là câu chuyện truyền thông quốc tế ấn tượng — “Việt Nam tổ chức APEC xanh nhất lịch sử” — và Sun Group đứng ở trung tâm câu chuyện đó.</w:t>
      </w:r>
    </w:p>
    <w:p>
      <w:r>
        <w:t>Ngược lại, nếu APEC 2027 gặp sự cố mất điện tương tự tháng 11/2025, hình ảnh quốc gia sẽ bị ảnh hưởng nghiêm trọng trước giới truyền thông 21 nền kinh tế. Đây là rủi ro mà Chính phủ chắc chắn muốn tránh — và Sun Group có thể chủ động đề xuất giải pháp thay vì chờ đợi.</w:t>
      </w:r>
    </w:p>
    <w:p>
      <w:pPr>
        <w:pStyle w:val="Heading3"/>
        <w:spacing w:before="240" w:after="160"/>
      </w:pPr>
      <w:r>
        <w:rPr>
          <w:rFonts w:ascii="Times New Roman" w:hAnsi="Times New Roman" w:eastAsia="Times New Roman"/>
          <w:color w:val="1A1A2E"/>
          <w:sz w:val="32"/>
        </w:rPr>
        <w:t>6.3. Mô hình nhân rộng — Giá trị vượt xa Phú Quốc</w:t>
      </w:r>
    </w:p>
    <w:p>
      <w:r>
        <w:t>Nếu thành công tại Phú Quốc, mô hình an ninh năng lượng có thể nhân rộng cho toàn bộ danh mục Sun Group trên cả nước — mỗi địa điểm đều có những thách thức năng lượng riêng mà giải pháp BESS + tái tạo có thể giải quyết:</w:t>
      </w:r>
    </w:p>
    <w:p>
      <w:pPr>
        <w:spacing w:after="40" w:before="20"/>
        <w:ind w:left="720" w:hanging="357"/>
      </w:pPr>
      <w:r>
        <w:rPr>
          <w:sz w:val="20"/>
        </w:rPr>
        <w:t xml:space="preserve">• </w:t>
      </w:r>
      <w:r>
        <w:rPr>
          <w:b/>
        </w:rPr>
        <w:t>Đà Nẵng:</w:t>
      </w:r>
      <w:r>
        <w:t>InterContinental, JW Marriott, Novotel — nhu cầu chứng nhận xanh từ cùng các tập đoàn</w:t>
      </w:r>
    </w:p>
    <w:p>
      <w:pPr>
        <w:spacing w:after="40" w:before="20"/>
        <w:ind w:left="720" w:hanging="357"/>
      </w:pPr>
      <w:r>
        <w:rPr>
          <w:sz w:val="20"/>
        </w:rPr>
        <w:t xml:space="preserve">• </w:t>
      </w:r>
      <w:r>
        <w:rPr>
          <w:b/>
        </w:rPr>
        <w:t>Hạ Long:</w:t>
      </w:r>
      <w:r>
        <w:t>Sun World, cáp treo, khách sạn — lưới điện vùng đảo tương tự Phú Quốc</w:t>
      </w:r>
    </w:p>
    <w:p>
      <w:pPr>
        <w:spacing w:after="40" w:before="20"/>
        <w:ind w:left="720" w:hanging="357"/>
      </w:pPr>
      <w:r>
        <w:rPr>
          <w:sz w:val="20"/>
        </w:rPr>
        <w:t xml:space="preserve">• </w:t>
      </w:r>
      <w:r>
        <w:rPr>
          <w:b/>
        </w:rPr>
        <w:t>Sa Pa:</w:t>
      </w:r>
      <w:r>
        <w:t>Sun World Fansipan, khách sạn Mường Hoa — lưới yếu vùng núi cao</w:t>
      </w:r>
    </w:p>
    <w:p>
      <w:pPr>
        <w:spacing w:after="40" w:before="20"/>
        <w:ind w:left="720" w:hanging="357"/>
      </w:pPr>
      <w:r>
        <w:rPr>
          <w:sz w:val="20"/>
        </w:rPr>
        <w:t xml:space="preserve">• </w:t>
      </w:r>
      <w:r>
        <w:rPr>
          <w:b/>
        </w:rPr>
        <w:t>Vân Phong:</w:t>
      </w:r>
      <w:r>
        <w:t>Dự án resort mới — cơ hội tích hợp từ giai đoạn thiết kế</w:t>
      </w:r>
    </w:p>
    <w:p>
      <w:r>
        <w:t xml:space="preserve">Nói cách khác, Phú Quốc là </w:t>
      </w:r>
      <w:r>
        <w:rPr>
          <w:b/>
        </w:rPr>
        <w:t>pilot project</w:t>
      </w:r>
      <w:r>
        <w:t xml:space="preserve"> — nhưng giá trị chiến lược nằm ở khả năng nhân rộng trên toàn danh mục.</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7. Lộ trình triển khai đề xuất</w:t>
      </w:r>
    </w:p>
    <w:p>
      <w:pPr>
        <w:pStyle w:val="Heading3"/>
        <w:spacing w:before="240" w:after="160"/>
      </w:pPr>
      <w:r>
        <w:rPr>
          <w:rFonts w:ascii="Times New Roman" w:hAnsi="Times New Roman" w:eastAsia="Times New Roman"/>
          <w:color w:val="1A1A2E"/>
          <w:sz w:val="32"/>
        </w:rPr>
        <w:t>7.1. Phân pha theo ưu tiên</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Phase</w:t>
            </w:r>
          </w:p>
        </w:tc>
        <w:tc>
          <w:tcPr>
            <w:tcW w:type="dxa" w:w="2340"/>
            <w:shd w:fill="E2E8F0" w:val="clear"/>
          </w:tcPr>
          <w:p>
            <w:pPr>
              <w:spacing w:before="60" w:after="60"/>
            </w:pPr>
            <w:r>
              <w:rPr>
                <w:rFonts w:ascii="Times New Roman" w:hAnsi="Times New Roman"/>
                <w:b/>
                <w:sz w:val="20"/>
              </w:rPr>
              <w:t>Thời gian</w:t>
            </w:r>
          </w:p>
        </w:tc>
        <w:tc>
          <w:tcPr>
            <w:tcW w:type="dxa" w:w="2340"/>
            <w:shd w:fill="E2E8F0" w:val="clear"/>
          </w:tcPr>
          <w:p>
            <w:pPr>
              <w:spacing w:before="60" w:after="60"/>
            </w:pPr>
            <w:r>
              <w:rPr>
                <w:rFonts w:ascii="Times New Roman" w:hAnsi="Times New Roman"/>
                <w:b/>
                <w:sz w:val="20"/>
              </w:rPr>
              <w:t>Nội dung</w:t>
            </w:r>
          </w:p>
        </w:tc>
        <w:tc>
          <w:tcPr>
            <w:tcW w:type="dxa" w:w="2340"/>
            <w:shd w:fill="E2E8F0" w:val="clear"/>
          </w:tcPr>
          <w:p>
            <w:pPr>
              <w:spacing w:before="60" w:after="60"/>
            </w:pPr>
            <w:r>
              <w:rPr>
                <w:rFonts w:ascii="Times New Roman" w:hAnsi="Times New Roman"/>
                <w:b/>
                <w:sz w:val="20"/>
              </w:rPr>
              <w:t>Đầu ra</w:t>
            </w:r>
          </w:p>
        </w:tc>
      </w:tr>
      <w:tr>
        <w:tc>
          <w:tcPr>
            <w:tcW w:type="dxa" w:w="2340"/>
          </w:tcPr>
          <w:p>
            <w:pPr>
              <w:spacing w:before="60" w:after="60"/>
            </w:pPr>
            <w:r>
              <w:rPr>
                <w:rFonts w:ascii="Times New Roman" w:hAnsi="Times New Roman"/>
                <w:sz w:val="20"/>
              </w:rPr>
              <w:t>Phase 0— Khảo sát</w:t>
            </w:r>
          </w:p>
        </w:tc>
        <w:tc>
          <w:tcPr>
            <w:tcW w:type="dxa" w:w="2340"/>
          </w:tcPr>
          <w:p>
            <w:pPr>
              <w:spacing w:before="60" w:after="60"/>
            </w:pPr>
            <w:r>
              <w:rPr>
                <w:rFonts w:ascii="Times New Roman" w:hAnsi="Times New Roman"/>
                <w:sz w:val="20"/>
              </w:rPr>
              <w:t>T3–T5/2026</w:t>
            </w:r>
          </w:p>
        </w:tc>
        <w:tc>
          <w:tcPr>
            <w:tcW w:type="dxa" w:w="2340"/>
          </w:tcPr>
          <w:p>
            <w:pPr>
              <w:spacing w:before="60" w:after="60"/>
            </w:pPr>
            <w:r>
              <w:rPr>
                <w:rFonts w:ascii="Times New Roman" w:hAnsi="Times New Roman"/>
                <w:sz w:val="20"/>
              </w:rPr>
              <w:t>Họp khởi đầu CLP + đội ngũ Sun Group; khảo sát thực địa sân bay, Bãi Đất Đỏ, TTHH APEC; đánh giá nhu cầu điện chi tiết</w:t>
            </w:r>
          </w:p>
        </w:tc>
        <w:tc>
          <w:tcPr>
            <w:tcW w:type="dxa" w:w="2340"/>
          </w:tcPr>
          <w:p>
            <w:pPr>
              <w:spacing w:before="60" w:after="60"/>
            </w:pPr>
            <w:r>
              <w:rPr>
                <w:rFonts w:ascii="Times New Roman" w:hAnsi="Times New Roman"/>
                <w:sz w:val="20"/>
              </w:rPr>
              <w:t>Báo cáo khả thi + bài toán kinh tế</w:t>
            </w:r>
          </w:p>
        </w:tc>
      </w:tr>
      <w:tr>
        <w:tc>
          <w:tcPr>
            <w:tcW w:type="dxa" w:w="2340"/>
          </w:tcPr>
          <w:p>
            <w:pPr>
              <w:spacing w:before="60" w:after="60"/>
            </w:pPr>
            <w:r>
              <w:rPr>
                <w:rFonts w:ascii="Times New Roman" w:hAnsi="Times New Roman"/>
                <w:sz w:val="20"/>
              </w:rPr>
              <w:t>Phase 1— Trọng yếu</w:t>
            </w:r>
          </w:p>
        </w:tc>
        <w:tc>
          <w:tcPr>
            <w:tcW w:type="dxa" w:w="2340"/>
          </w:tcPr>
          <w:p>
            <w:pPr>
              <w:spacing w:before="60" w:after="60"/>
            </w:pPr>
            <w:r>
              <w:rPr>
                <w:rFonts w:ascii="Times New Roman" w:hAnsi="Times New Roman"/>
                <w:sz w:val="20"/>
              </w:rPr>
              <w:t>T6/2026 – T9/2027</w:t>
            </w:r>
          </w:p>
        </w:tc>
        <w:tc>
          <w:tcPr>
            <w:tcW w:type="dxa" w:w="2340"/>
          </w:tcPr>
          <w:p>
            <w:pPr>
              <w:spacing w:before="60" w:after="60"/>
            </w:pPr>
            <w:r>
              <w:rPr>
                <w:rFonts w:ascii="Times New Roman" w:hAnsi="Times New Roman"/>
                <w:sz w:val="20"/>
              </w:rPr>
              <w:t>BESS + solar cho sân bay, TTHH APEC, khách sạn trọng điểm; hạ tầng sạc EV tích hợp</w:t>
            </w:r>
          </w:p>
        </w:tc>
        <w:tc>
          <w:tcPr>
            <w:tcW w:type="dxa" w:w="2340"/>
          </w:tcPr>
          <w:p>
            <w:pPr>
              <w:spacing w:before="60" w:after="60"/>
            </w:pPr>
            <w:r>
              <w:rPr>
                <w:rFonts w:ascii="Times New Roman" w:hAnsi="Times New Roman"/>
                <w:sz w:val="20"/>
              </w:rPr>
              <w:t>Hệ thống sẵn sàng trước APEC 11/2027</w:t>
            </w:r>
          </w:p>
        </w:tc>
      </w:tr>
      <w:tr>
        <w:tc>
          <w:tcPr>
            <w:tcW w:type="dxa" w:w="2340"/>
          </w:tcPr>
          <w:p>
            <w:pPr>
              <w:spacing w:before="60" w:after="60"/>
            </w:pPr>
            <w:r>
              <w:rPr>
                <w:rFonts w:ascii="Times New Roman" w:hAnsi="Times New Roman"/>
                <w:sz w:val="20"/>
              </w:rPr>
              <w:t>Phase 2— Mở rộng</w:t>
            </w:r>
          </w:p>
        </w:tc>
        <w:tc>
          <w:tcPr>
            <w:tcW w:type="dxa" w:w="2340"/>
          </w:tcPr>
          <w:p>
            <w:pPr>
              <w:spacing w:before="60" w:after="60"/>
            </w:pPr>
            <w:r>
              <w:rPr>
                <w:rFonts w:ascii="Times New Roman" w:hAnsi="Times New Roman"/>
                <w:sz w:val="20"/>
              </w:rPr>
              <w:t>2027–2030</w:t>
            </w:r>
          </w:p>
        </w:tc>
        <w:tc>
          <w:tcPr>
            <w:tcW w:type="dxa" w:w="2340"/>
          </w:tcPr>
          <w:p>
            <w:pPr>
              <w:spacing w:before="60" w:after="60"/>
            </w:pPr>
            <w:r>
              <w:rPr>
                <w:rFonts w:ascii="Times New Roman" w:hAnsi="Times New Roman"/>
                <w:sz w:val="20"/>
              </w:rPr>
              <w:t>Toàn bộ danh mục Phú Quốc; điện gió ven bờ; DPPA dài hạn; mở rộng hạ tầng sạc EV</w:t>
            </w:r>
          </w:p>
        </w:tc>
        <w:tc>
          <w:tcPr>
            <w:tcW w:type="dxa" w:w="2340"/>
          </w:tcPr>
          <w:p>
            <w:pPr>
              <w:spacing w:before="60" w:after="60"/>
            </w:pPr>
            <w:r>
              <w:rPr>
                <w:rFonts w:ascii="Times New Roman" w:hAnsi="Times New Roman"/>
                <w:sz w:val="20"/>
              </w:rPr>
              <w:t>Tự chủ 50%+ năng lượng</w:t>
            </w:r>
          </w:p>
        </w:tc>
      </w:tr>
      <w:tr>
        <w:tc>
          <w:tcPr>
            <w:tcW w:type="dxa" w:w="2340"/>
          </w:tcPr>
          <w:p>
            <w:pPr>
              <w:spacing w:before="60" w:after="60"/>
            </w:pPr>
            <w:r>
              <w:rPr>
                <w:rFonts w:ascii="Times New Roman" w:hAnsi="Times New Roman"/>
                <w:sz w:val="20"/>
              </w:rPr>
              <w:t>Phase 3— Tự chủ</w:t>
            </w:r>
          </w:p>
        </w:tc>
        <w:tc>
          <w:tcPr>
            <w:tcW w:type="dxa" w:w="2340"/>
          </w:tcPr>
          <w:p>
            <w:pPr>
              <w:spacing w:before="60" w:after="60"/>
            </w:pPr>
            <w:r>
              <w:rPr>
                <w:rFonts w:ascii="Times New Roman" w:hAnsi="Times New Roman"/>
                <w:sz w:val="20"/>
              </w:rPr>
              <w:t>2030+</w:t>
            </w:r>
          </w:p>
        </w:tc>
        <w:tc>
          <w:tcPr>
            <w:tcW w:type="dxa" w:w="2340"/>
          </w:tcPr>
          <w:p>
            <w:pPr>
              <w:spacing w:before="60" w:after="60"/>
            </w:pPr>
            <w:r>
              <w:rPr>
                <w:rFonts w:ascii="Times New Roman" w:hAnsi="Times New Roman"/>
                <w:sz w:val="20"/>
              </w:rPr>
              <w:t>Điện gió ngoài khơi; microgrid toàn đảo; nhân rộng toàn quốc</w:t>
            </w:r>
          </w:p>
        </w:tc>
        <w:tc>
          <w:tcPr>
            <w:tcW w:type="dxa" w:w="2340"/>
          </w:tcPr>
          <w:p>
            <w:pPr>
              <w:spacing w:before="60" w:after="60"/>
            </w:pPr>
            <w:r>
              <w:rPr>
                <w:rFonts w:ascii="Times New Roman" w:hAnsi="Times New Roman"/>
                <w:sz w:val="20"/>
              </w:rPr>
              <w:t>Phú Quốc trở thành đảo tự chủ năng lượng</w:t>
            </w:r>
          </w:p>
        </w:tc>
      </w:tr>
    </w:tbl>
    <w:p>
      <w:pPr>
        <w:spacing w:before="0" w:after="80"/>
      </w:pPr>
    </w:p>
    <w:p>
      <w:pPr>
        <w:pStyle w:val="Heading3"/>
        <w:spacing w:before="240" w:after="160"/>
      </w:pPr>
      <w:r>
        <w:rPr>
          <w:rFonts w:ascii="Times New Roman" w:hAnsi="Times New Roman" w:eastAsia="Times New Roman"/>
          <w:color w:val="1A1A2E"/>
          <w:sz w:val="32"/>
        </w:rPr>
        <w:t>7.2. Các mốc quan trọng (Critical milestones)</w:t>
      </w:r>
    </w:p>
    <w:p>
      <w:pPr>
        <w:spacing w:after="40" w:before="20"/>
        <w:ind w:left="720" w:hanging="357"/>
      </w:pPr>
      <w:r>
        <w:rPr>
          <w:sz w:val="20"/>
        </w:rPr>
        <w:t xml:space="preserve">• </w:t>
      </w:r>
      <w:r>
        <w:rPr>
          <w:b/>
        </w:rPr>
        <w:t>Q1/2026:</w:t>
      </w:r>
      <w:r>
        <w:t>Ban Tổng giám đốc phê duyệt chủ trương + ngân sách Phase 0</w:t>
      </w:r>
    </w:p>
    <w:p>
      <w:pPr>
        <w:spacing w:after="40" w:before="20"/>
        <w:ind w:left="720" w:hanging="357"/>
      </w:pPr>
      <w:r>
        <w:rPr>
          <w:sz w:val="20"/>
        </w:rPr>
        <w:t xml:space="preserve">• </w:t>
      </w:r>
      <w:r>
        <w:rPr>
          <w:b/>
        </w:rPr>
        <w:t>Q2/2026:</w:t>
      </w:r>
      <w:r>
        <w:t>Hoàn thành khảo sát thực địa + ký MOU (Biên bản ghi nhớ) với đối tác</w:t>
      </w:r>
    </w:p>
    <w:p>
      <w:pPr>
        <w:spacing w:after="40" w:before="20"/>
        <w:ind w:left="720" w:hanging="357"/>
      </w:pPr>
      <w:r>
        <w:rPr>
          <w:sz w:val="20"/>
        </w:rPr>
        <w:t xml:space="preserve">• </w:t>
      </w:r>
      <w:r>
        <w:rPr>
          <w:b/>
        </w:rPr>
        <w:t>Q3/2026:</w:t>
      </w:r>
      <w:r>
        <w:t>Khởi công Phase 1 (BESS + solar tại sân bay và TTHH APEC)</w:t>
      </w:r>
    </w:p>
    <w:p>
      <w:pPr>
        <w:spacing w:after="40" w:before="20"/>
        <w:ind w:left="720" w:hanging="357"/>
      </w:pPr>
      <w:r>
        <w:rPr>
          <w:sz w:val="20"/>
        </w:rPr>
        <w:t xml:space="preserve">• </w:t>
      </w:r>
      <w:r>
        <w:rPr>
          <w:b/>
        </w:rPr>
        <w:t>Q3/2027:</w:t>
      </w:r>
      <w:r>
        <w:t>Nghiệm thu Phase 1 — hệ thống sẵn sàng cho APEC 11/2027</w:t>
      </w:r>
    </w:p>
    <w:p>
      <w:pPr>
        <w:spacing w:after="40" w:before="20"/>
        <w:ind w:left="720" w:hanging="357"/>
      </w:pPr>
      <w:r>
        <w:rPr>
          <w:sz w:val="20"/>
        </w:rPr>
        <w:t xml:space="preserve">• </w:t>
      </w:r>
      <w:r>
        <w:rPr>
          <w:b/>
        </w:rPr>
        <w:t>Q4/2027:</w:t>
      </w:r>
      <w:r>
        <w:t>Khởi động Phase 2 — mở rộng toàn bộ danh mục</w:t>
      </w:r>
    </w:p>
    <w:p>
      <w:r>
        <w:rPr>
          <w:b/>
        </w:rPr>
        <w:t>Lưu ý về timeline:</w:t>
      </w:r>
      <w:r>
        <w:t xml:space="preserve"> Theo bản ghi nhớ CLP, “hệ thống BESS và điện mặt trời cần 6–12 tháng từ quyết định đến vận hành”[^3]. Nếu quyết định được đưa ra vào Q1/2026 (tháng 3), thì Phase 1 có thể hoàn thành sớm nhất vào Q1/2027 — còn đủ thời gian test và nghiệm thu trước APEC. Tuy nhiên, mỗi tháng trì hoãn đều làm tăng rủi ro không kịp tiến độ.</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Phần 8. Kiến nghị phê duyệt</w:t>
      </w:r>
    </w:p>
    <w:p>
      <w:r>
        <w:t>Căn cứ toàn bộ phân tích tại các phần trên — từ hiện trạng lưới điện yếu kém (Phần 1), rủi ro nghiêm trọng cho danh mục 100.000 tỷ VND (Phần 2), giải pháp đã được chứng minh khả thi (Phần 3), tính kinh tế thuận lợi (Phần 4), đối tác sẵn sàng (Phần 5), đến lợi ích ESG và thương hiệu (Phần 6) — Nhóm Chiến lược Hạ tầng kính đề nghị Ban Tổng giám đốc xem xét và phê duyệt các nội dung sau:</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w:t>
            </w:r>
          </w:p>
        </w:tc>
        <w:tc>
          <w:tcPr>
            <w:tcW w:type="dxa" w:w="2340"/>
            <w:shd w:fill="E2E8F0" w:val="clear"/>
          </w:tcPr>
          <w:p>
            <w:pPr>
              <w:spacing w:before="60" w:after="60"/>
            </w:pPr>
            <w:r>
              <w:rPr>
                <w:rFonts w:ascii="Times New Roman" w:hAnsi="Times New Roman"/>
                <w:b/>
                <w:sz w:val="20"/>
              </w:rPr>
              <w:t>Nội dung kiến nghị</w:t>
            </w:r>
          </w:p>
        </w:tc>
        <w:tc>
          <w:tcPr>
            <w:tcW w:type="dxa" w:w="2340"/>
            <w:shd w:fill="E2E8F0" w:val="clear"/>
          </w:tcPr>
          <w:p>
            <w:pPr>
              <w:spacing w:before="60" w:after="60"/>
            </w:pPr>
            <w:r>
              <w:rPr>
                <w:rFonts w:ascii="Times New Roman" w:hAnsi="Times New Roman"/>
                <w:b/>
                <w:sz w:val="20"/>
              </w:rPr>
              <w:t>Ưu tiên</w:t>
            </w:r>
          </w:p>
        </w:tc>
        <w:tc>
          <w:tcPr>
            <w:tcW w:type="dxa" w:w="2340"/>
            <w:shd w:fill="E2E8F0" w:val="clear"/>
          </w:tcPr>
          <w:p>
            <w:pPr>
              <w:spacing w:before="60" w:after="60"/>
            </w:pPr>
            <w:r>
              <w:rPr>
                <w:rFonts w:ascii="Times New Roman" w:hAnsi="Times New Roman"/>
                <w:b/>
                <w:sz w:val="20"/>
              </w:rPr>
              <w:t>Deadline</w:t>
            </w:r>
          </w:p>
        </w:tc>
      </w:tr>
      <w:tr>
        <w:tc>
          <w:tcPr>
            <w:tcW w:type="dxa" w:w="2340"/>
          </w:tcPr>
          <w:p>
            <w:pPr>
              <w:spacing w:before="60" w:after="60"/>
            </w:pPr>
            <w:r>
              <w:rPr>
                <w:rFonts w:ascii="Times New Roman" w:hAnsi="Times New Roman"/>
                <w:sz w:val="20"/>
              </w:rPr>
              <w:t>1</w:t>
            </w:r>
          </w:p>
        </w:tc>
        <w:tc>
          <w:tcPr>
            <w:tcW w:type="dxa" w:w="2340"/>
          </w:tcPr>
          <w:p>
            <w:pPr>
              <w:spacing w:before="60" w:after="60"/>
            </w:pPr>
            <w:r>
              <w:rPr>
                <w:rFonts w:ascii="Times New Roman" w:hAnsi="Times New Roman"/>
                <w:sz w:val="20"/>
              </w:rPr>
              <w:t>Phê duyệtchủ trươngxây dựng chiến lược an ninh năng lượng riêng cho danh mục Phú Quốc</w:t>
            </w:r>
          </w:p>
        </w:tc>
        <w:tc>
          <w:tcPr>
            <w:tcW w:type="dxa" w:w="2340"/>
          </w:tcPr>
          <w:p>
            <w:pPr>
              <w:spacing w:before="60" w:after="60"/>
            </w:pPr>
            <w:r>
              <w:rPr>
                <w:rFonts w:ascii="Times New Roman" w:hAnsi="Times New Roman"/>
                <w:sz w:val="20"/>
              </w:rPr>
              <w:t>Khẩn cấp</w:t>
            </w:r>
          </w:p>
        </w:tc>
        <w:tc>
          <w:tcPr>
            <w:tcW w:type="dxa" w:w="2340"/>
          </w:tcPr>
          <w:p>
            <w:pPr>
              <w:spacing w:before="60" w:after="60"/>
            </w:pPr>
            <w:r>
              <w:rPr>
                <w:rFonts w:ascii="Times New Roman" w:hAnsi="Times New Roman"/>
                <w:sz w:val="20"/>
              </w:rPr>
              <w:t>Trước 15/3/2026</w:t>
            </w:r>
          </w:p>
        </w:tc>
      </w:tr>
      <w:tr>
        <w:tc>
          <w:tcPr>
            <w:tcW w:type="dxa" w:w="2340"/>
          </w:tcPr>
          <w:p>
            <w:pPr>
              <w:spacing w:before="60" w:after="60"/>
            </w:pPr>
            <w:r>
              <w:rPr>
                <w:rFonts w:ascii="Times New Roman" w:hAnsi="Times New Roman"/>
                <w:sz w:val="20"/>
              </w:rPr>
              <w:t>2</w:t>
            </w:r>
          </w:p>
        </w:tc>
        <w:tc>
          <w:tcPr>
            <w:tcW w:type="dxa" w:w="2340"/>
          </w:tcPr>
          <w:p>
            <w:pPr>
              <w:spacing w:before="60" w:after="60"/>
            </w:pPr>
            <w:r>
              <w:rPr>
                <w:rFonts w:ascii="Times New Roman" w:hAnsi="Times New Roman"/>
                <w:sz w:val="20"/>
              </w:rPr>
              <w:t>Cho phépđàm phán thăm dò(non-binding) với CLP Holdings và Marubeni</w:t>
            </w:r>
          </w:p>
        </w:tc>
        <w:tc>
          <w:tcPr>
            <w:tcW w:type="dxa" w:w="2340"/>
          </w:tcPr>
          <w:p>
            <w:pPr>
              <w:spacing w:before="60" w:after="60"/>
            </w:pPr>
            <w:r>
              <w:rPr>
                <w:rFonts w:ascii="Times New Roman" w:hAnsi="Times New Roman"/>
                <w:sz w:val="20"/>
              </w:rPr>
              <w:t>Cao</w:t>
            </w:r>
          </w:p>
        </w:tc>
        <w:tc>
          <w:tcPr>
            <w:tcW w:type="dxa" w:w="2340"/>
          </w:tcPr>
          <w:p>
            <w:pPr>
              <w:spacing w:before="60" w:after="60"/>
            </w:pPr>
            <w:r>
              <w:rPr>
                <w:rFonts w:ascii="Times New Roman" w:hAnsi="Times New Roman"/>
                <w:sz w:val="20"/>
              </w:rPr>
              <w:t>Trước 31/3/2026</w:t>
            </w:r>
          </w:p>
        </w:tc>
      </w:tr>
      <w:tr>
        <w:tc>
          <w:tcPr>
            <w:tcW w:type="dxa" w:w="2340"/>
          </w:tcPr>
          <w:p>
            <w:pPr>
              <w:spacing w:before="60" w:after="60"/>
            </w:pPr>
            <w:r>
              <w:rPr>
                <w:rFonts w:ascii="Times New Roman" w:hAnsi="Times New Roman"/>
                <w:sz w:val="20"/>
              </w:rPr>
              <w:t>3</w:t>
            </w:r>
          </w:p>
        </w:tc>
        <w:tc>
          <w:tcPr>
            <w:tcW w:type="dxa" w:w="2340"/>
          </w:tcPr>
          <w:p>
            <w:pPr>
              <w:spacing w:before="60" w:after="60"/>
            </w:pPr>
            <w:r>
              <w:rPr>
                <w:rFonts w:ascii="Times New Roman" w:hAnsi="Times New Roman"/>
                <w:sz w:val="20"/>
              </w:rPr>
              <w:t>Phê duyệtngân sách Phase 0— khảo sát thực địa (~2–3 tỷ VND)</w:t>
            </w:r>
          </w:p>
        </w:tc>
        <w:tc>
          <w:tcPr>
            <w:tcW w:type="dxa" w:w="2340"/>
          </w:tcPr>
          <w:p>
            <w:pPr>
              <w:spacing w:before="60" w:after="60"/>
            </w:pPr>
            <w:r>
              <w:rPr>
                <w:rFonts w:ascii="Times New Roman" w:hAnsi="Times New Roman"/>
                <w:sz w:val="20"/>
              </w:rPr>
              <w:t>Cao</w:t>
            </w:r>
          </w:p>
        </w:tc>
        <w:tc>
          <w:tcPr>
            <w:tcW w:type="dxa" w:w="2340"/>
          </w:tcPr>
          <w:p>
            <w:pPr>
              <w:spacing w:before="60" w:after="60"/>
            </w:pPr>
            <w:r>
              <w:rPr>
                <w:rFonts w:ascii="Times New Roman" w:hAnsi="Times New Roman"/>
                <w:sz w:val="20"/>
              </w:rPr>
              <w:t>Trước 31/3/2026</w:t>
            </w:r>
          </w:p>
        </w:tc>
      </w:tr>
      <w:tr>
        <w:tc>
          <w:tcPr>
            <w:tcW w:type="dxa" w:w="2340"/>
          </w:tcPr>
          <w:p>
            <w:pPr>
              <w:spacing w:before="60" w:after="60"/>
            </w:pPr>
            <w:r>
              <w:rPr>
                <w:rFonts w:ascii="Times New Roman" w:hAnsi="Times New Roman"/>
                <w:sz w:val="20"/>
              </w:rPr>
              <w:t>4</w:t>
            </w:r>
          </w:p>
        </w:tc>
        <w:tc>
          <w:tcPr>
            <w:tcW w:type="dxa" w:w="2340"/>
          </w:tcPr>
          <w:p>
            <w:pPr>
              <w:spacing w:before="60" w:after="60"/>
            </w:pPr>
            <w:r>
              <w:rPr>
                <w:rFonts w:ascii="Times New Roman" w:hAnsi="Times New Roman"/>
                <w:sz w:val="20"/>
              </w:rPr>
              <w:t>GiaoNhóm Chiến lược Hạ tầngchủ trì phối hợp với VNDA, Sun Airport, Ban Phát triển Dự án</w:t>
            </w:r>
          </w:p>
        </w:tc>
        <w:tc>
          <w:tcPr>
            <w:tcW w:type="dxa" w:w="2340"/>
          </w:tcPr>
          <w:p>
            <w:pPr>
              <w:spacing w:before="60" w:after="60"/>
            </w:pPr>
            <w:r>
              <w:rPr>
                <w:rFonts w:ascii="Times New Roman" w:hAnsi="Times New Roman"/>
                <w:sz w:val="20"/>
              </w:rPr>
              <w:t>Trung bình</w:t>
            </w:r>
          </w:p>
        </w:tc>
        <w:tc>
          <w:tcPr>
            <w:tcW w:type="dxa" w:w="2340"/>
          </w:tcPr>
          <w:p>
            <w:pPr>
              <w:spacing w:before="60" w:after="60"/>
            </w:pPr>
            <w:r>
              <w:rPr>
                <w:rFonts w:ascii="Times New Roman" w:hAnsi="Times New Roman"/>
                <w:sz w:val="20"/>
              </w:rPr>
              <w:t>Khi mục 1 được duyệt</w:t>
            </w:r>
          </w:p>
        </w:tc>
      </w:tr>
      <w:tr>
        <w:tc>
          <w:tcPr>
            <w:tcW w:type="dxa" w:w="2340"/>
          </w:tcPr>
          <w:p>
            <w:pPr>
              <w:spacing w:before="60" w:after="60"/>
            </w:pPr>
            <w:r>
              <w:rPr>
                <w:rFonts w:ascii="Times New Roman" w:hAnsi="Times New Roman"/>
                <w:sz w:val="20"/>
              </w:rPr>
              <w:t>5</w:t>
            </w:r>
          </w:p>
        </w:tc>
        <w:tc>
          <w:tcPr>
            <w:tcW w:type="dxa" w:w="2340"/>
          </w:tcPr>
          <w:p>
            <w:pPr>
              <w:spacing w:before="60" w:after="60"/>
            </w:pPr>
            <w:r>
              <w:rPr>
                <w:rFonts w:ascii="Times New Roman" w:hAnsi="Times New Roman"/>
                <w:sz w:val="20"/>
              </w:rPr>
              <w:t>Báo cáo tiến độ Phase 0 tại cuộc họp Ban Tổng giám đốctháng 6/2026</w:t>
            </w:r>
          </w:p>
        </w:tc>
        <w:tc>
          <w:tcPr>
            <w:tcW w:type="dxa" w:w="2340"/>
          </w:tcPr>
          <w:p>
            <w:pPr>
              <w:spacing w:before="60" w:after="60"/>
            </w:pPr>
            <w:r>
              <w:rPr>
                <w:rFonts w:ascii="Times New Roman" w:hAnsi="Times New Roman"/>
                <w:sz w:val="20"/>
              </w:rPr>
              <w:t>Trung bình</w:t>
            </w:r>
          </w:p>
        </w:tc>
        <w:tc>
          <w:tcPr>
            <w:tcW w:type="dxa" w:w="2340"/>
          </w:tcPr>
          <w:p>
            <w:pPr>
              <w:spacing w:before="60" w:after="60"/>
            </w:pPr>
            <w:r>
              <w:rPr>
                <w:rFonts w:ascii="Times New Roman" w:hAnsi="Times New Roman"/>
                <w:sz w:val="20"/>
              </w:rPr>
              <w:t>30/6/2026</w:t>
            </w:r>
          </w:p>
        </w:tc>
      </w:tr>
    </w:tbl>
    <w:p>
      <w:pPr>
        <w:spacing w:before="0" w:after="80"/>
      </w:pPr>
    </w:p>
    <w:p>
      <w:pPr>
        <w:pStyle w:val="Heading2"/>
        <w:spacing w:before="360" w:after="160"/>
      </w:pPr>
      <w:r>
        <w:rPr>
          <w:rFonts w:ascii="Times New Roman" w:hAnsi="Times New Roman" w:eastAsia="Times New Roman"/>
          <w:color w:val="1A1A2E"/>
          <w:sz w:val="36"/>
        </w:rPr>
        <w:t xml:space="preserve">&gt; </w:t>
      </w:r>
      <w:r>
        <w:rPr>
          <w:rFonts w:ascii="Times New Roman" w:hAnsi="Times New Roman" w:eastAsia="Times New Roman"/>
          <w:b/>
          <w:color w:val="1A1A2E"/>
          <w:sz w:val="36"/>
        </w:rPr>
        <w:t>Nhắc lại áp lực thời gian:</w:t>
      </w:r>
      <w:r>
        <w:rPr>
          <w:rFonts w:ascii="Times New Roman" w:hAnsi="Times New Roman" w:eastAsia="Times New Roman"/>
          <w:color w:val="1A1A2E"/>
          <w:sz w:val="36"/>
        </w:rPr>
        <w:t xml:space="preserve"> APEC dự kiến tháng 11/2027 — còn khoảng 20 tháng. Hệ thống BESS + solar cần 6–12 tháng từ quyết định đến vận hành[^3]. Trạm biến áp 220 kV mới nhất của EVN dự kiến hoàn thành Q4/2026, đường dây 110 kV nội đảo vẫn đang chậm tiến độ[^3]. </w:t>
      </w:r>
      <w:r>
        <w:rPr>
          <w:rFonts w:ascii="Times New Roman" w:hAnsi="Times New Roman" w:eastAsia="Times New Roman"/>
          <w:b/>
          <w:color w:val="1A1A2E"/>
          <w:sz w:val="36"/>
        </w:rPr>
        <w:t>Mỗi tháng trì hoãn là một tháng rủi ro tăng thêm.</w:t>
      </w:r>
      <w:r>
        <w:rPr>
          <w:rFonts w:ascii="Times New Roman" w:hAnsi="Times New Roman" w:eastAsia="Times New Roman"/>
          <w:color w:val="1A1A2E"/>
          <w:sz w:val="36"/>
        </w:rPr>
        <w:t xml:space="preserve"> Quyết định cần được đưa ra trong Q1/2026.</w:t>
      </w:r>
    </w:p>
    <w:p>
      <w:pPr>
        <w:pStyle w:val="Heading2"/>
        <w:spacing w:before="360" w:after="160"/>
      </w:pPr>
      <w:r>
        <w:rPr>
          <w:rFonts w:ascii="Times New Roman" w:hAnsi="Times New Roman" w:eastAsia="Times New Roman"/>
          <w:color w:val="1A1A2E"/>
          <w:sz w:val="36"/>
        </w:rPr>
        <w:t>Phụ lục</w:t>
      </w:r>
    </w:p>
    <w:p>
      <w:pPr>
        <w:pStyle w:val="Heading3"/>
        <w:spacing w:before="240" w:after="160"/>
      </w:pPr>
      <w:r>
        <w:rPr>
          <w:rFonts w:ascii="Times New Roman" w:hAnsi="Times New Roman" w:eastAsia="Times New Roman"/>
          <w:color w:val="1A1A2E"/>
          <w:sz w:val="32"/>
        </w:rPr>
        <w:t>Phụ lục A — Dữ liệu lưới điện Phú Quốc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Đỉnh phụ tải 2025</w:t>
            </w:r>
          </w:p>
        </w:tc>
        <w:tc>
          <w:tcPr>
            <w:tcW w:type="dxa" w:w="3120"/>
          </w:tcPr>
          <w:p>
            <w:pPr>
              <w:spacing w:before="60" w:after="60"/>
            </w:pPr>
            <w:r>
              <w:rPr>
                <w:rFonts w:ascii="Times New Roman" w:hAnsi="Times New Roman"/>
                <w:sz w:val="20"/>
              </w:rPr>
              <w:t>110 MW</w:t>
            </w:r>
          </w:p>
        </w:tc>
        <w:tc>
          <w:tcPr>
            <w:tcW w:type="dxa" w:w="3120"/>
          </w:tcPr>
          <w:p>
            <w:pPr>
              <w:spacing w:before="60" w:after="60"/>
            </w:pPr>
            <w:r>
              <w:rPr>
                <w:rFonts w:ascii="Times New Roman" w:hAnsi="Times New Roman"/>
                <w:sz w:val="20"/>
              </w:rPr>
              <w:t>Bản ghi nhớ CLP 23/02/2026, mục “Phụ tải và tiêu thụ”[^3]</w:t>
            </w:r>
          </w:p>
        </w:tc>
      </w:tr>
      <w:tr>
        <w:tc>
          <w:tcPr>
            <w:tcW w:type="dxa" w:w="3120"/>
          </w:tcPr>
          <w:p>
            <w:pPr>
              <w:spacing w:before="60" w:after="60"/>
            </w:pPr>
            <w:r>
              <w:rPr>
                <w:rFonts w:ascii="Times New Roman" w:hAnsi="Times New Roman"/>
                <w:sz w:val="20"/>
              </w:rPr>
              <w:t>Sản lượng tiêu thụ 2025</w:t>
            </w:r>
          </w:p>
        </w:tc>
        <w:tc>
          <w:tcPr>
            <w:tcW w:type="dxa" w:w="3120"/>
          </w:tcPr>
          <w:p>
            <w:pPr>
              <w:spacing w:before="60" w:after="60"/>
            </w:pPr>
            <w:r>
              <w:rPr>
                <w:rFonts w:ascii="Times New Roman" w:hAnsi="Times New Roman"/>
                <w:sz w:val="20"/>
              </w:rPr>
              <w:t>782 triệu kWh</w:t>
            </w:r>
          </w:p>
        </w:tc>
        <w:tc>
          <w:tcPr>
            <w:tcW w:type="dxa" w:w="3120"/>
          </w:tcPr>
          <w:p>
            <w:pPr>
              <w:spacing w:before="60" w:after="60"/>
            </w:pPr>
            <w:r>
              <w:rPr>
                <w:rFonts w:ascii="Times New Roman" w:hAnsi="Times New Roman"/>
                <w:sz w:val="20"/>
              </w:rPr>
              <w:t>Bản ghi nhớ CLP 23/02/2026, mục “Phụ tải và tiêu thụ”[^3]</w:t>
            </w:r>
          </w:p>
        </w:tc>
      </w:tr>
      <w:tr>
        <w:tc>
          <w:tcPr>
            <w:tcW w:type="dxa" w:w="3120"/>
          </w:tcPr>
          <w:p>
            <w:pPr>
              <w:spacing w:before="60" w:after="60"/>
            </w:pPr>
            <w:r>
              <w:rPr>
                <w:rFonts w:ascii="Times New Roman" w:hAnsi="Times New Roman"/>
                <w:sz w:val="20"/>
              </w:rPr>
              <w:t>Tốc độ tăng trưởng</w:t>
            </w:r>
          </w:p>
        </w:tc>
        <w:tc>
          <w:tcPr>
            <w:tcW w:type="dxa" w:w="3120"/>
          </w:tcPr>
          <w:p>
            <w:pPr>
              <w:spacing w:before="60" w:after="60"/>
            </w:pPr>
            <w:r>
              <w:rPr>
                <w:rFonts w:ascii="Times New Roman" w:hAnsi="Times New Roman"/>
                <w:sz w:val="20"/>
              </w:rPr>
              <w:t>11%/năm</w:t>
            </w:r>
          </w:p>
        </w:tc>
        <w:tc>
          <w:tcPr>
            <w:tcW w:type="dxa" w:w="3120"/>
          </w:tcPr>
          <w:p>
            <w:pPr>
              <w:spacing w:before="60" w:after="60"/>
            </w:pPr>
            <w:r>
              <w:rPr>
                <w:rFonts w:ascii="Times New Roman" w:hAnsi="Times New Roman"/>
                <w:sz w:val="20"/>
              </w:rPr>
              <w:t>Bản ghi nhớ CLP 23/02/2026, đoạn mở đầu[^3]</w:t>
            </w:r>
          </w:p>
        </w:tc>
      </w:tr>
      <w:tr>
        <w:tc>
          <w:tcPr>
            <w:tcW w:type="dxa" w:w="3120"/>
          </w:tcPr>
          <w:p>
            <w:pPr>
              <w:spacing w:before="60" w:after="60"/>
            </w:pPr>
            <w:r>
              <w:rPr>
                <w:rFonts w:ascii="Times New Roman" w:hAnsi="Times New Roman"/>
                <w:sz w:val="20"/>
              </w:rPr>
              <w:t>Số hộ sử dụng điện</w:t>
            </w:r>
          </w:p>
        </w:tc>
        <w:tc>
          <w:tcPr>
            <w:tcW w:type="dxa" w:w="3120"/>
          </w:tcPr>
          <w:p>
            <w:pPr>
              <w:spacing w:before="60" w:after="60"/>
            </w:pPr>
            <w:r>
              <w:rPr>
                <w:rFonts w:ascii="Times New Roman" w:hAnsi="Times New Roman"/>
                <w:sz w:val="20"/>
              </w:rPr>
              <w:t>~30.000</w:t>
            </w:r>
          </w:p>
        </w:tc>
        <w:tc>
          <w:tcPr>
            <w:tcW w:type="dxa" w:w="3120"/>
          </w:tcPr>
          <w:p>
            <w:pPr>
              <w:spacing w:before="60" w:after="60"/>
            </w:pPr>
            <w:r>
              <w:rPr>
                <w:rFonts w:ascii="Times New Roman" w:hAnsi="Times New Roman"/>
                <w:sz w:val="20"/>
              </w:rPr>
              <w:t>VnExpress 29/11/2025[^1]</w:t>
            </w:r>
          </w:p>
        </w:tc>
      </w:tr>
      <w:tr>
        <w:tc>
          <w:tcPr>
            <w:tcW w:type="dxa" w:w="3120"/>
          </w:tcPr>
          <w:p>
            <w:pPr>
              <w:spacing w:before="60" w:after="60"/>
            </w:pPr>
            <w:r>
              <w:rPr>
                <w:rFonts w:ascii="Times New Roman" w:hAnsi="Times New Roman"/>
                <w:sz w:val="20"/>
              </w:rPr>
              <w:t>Tổng đầu tư EVNSPC cho Phú Quốc</w:t>
            </w:r>
          </w:p>
        </w:tc>
        <w:tc>
          <w:tcPr>
            <w:tcW w:type="dxa" w:w="3120"/>
          </w:tcPr>
          <w:p>
            <w:pPr>
              <w:spacing w:before="60" w:after="60"/>
            </w:pPr>
            <w:r>
              <w:rPr>
                <w:rFonts w:ascii="Times New Roman" w:hAnsi="Times New Roman"/>
                <w:sz w:val="20"/>
              </w:rPr>
              <w:t>9.160 tỷ VND</w:t>
            </w:r>
          </w:p>
        </w:tc>
        <w:tc>
          <w:tcPr>
            <w:tcW w:type="dxa" w:w="3120"/>
          </w:tcPr>
          <w:p>
            <w:pPr>
              <w:spacing w:before="60" w:after="60"/>
            </w:pPr>
            <w:r>
              <w:rPr>
                <w:rFonts w:ascii="Times New Roman" w:hAnsi="Times New Roman"/>
                <w:sz w:val="20"/>
              </w:rPr>
              <w:t>EVN.com.vn 12/2025[^4]</w:t>
            </w:r>
          </w:p>
        </w:tc>
      </w:tr>
      <w:tr>
        <w:tc>
          <w:tcPr>
            <w:tcW w:type="dxa" w:w="3120"/>
          </w:tcPr>
          <w:p>
            <w:pPr>
              <w:spacing w:before="60" w:after="60"/>
            </w:pPr>
            <w:r>
              <w:rPr>
                <w:rFonts w:ascii="Times New Roman" w:hAnsi="Times New Roman"/>
                <w:sz w:val="20"/>
              </w:rPr>
              <w:t>Dung lượng tuyến 220 kV mới</w:t>
            </w:r>
          </w:p>
        </w:tc>
        <w:tc>
          <w:tcPr>
            <w:tcW w:type="dxa" w:w="3120"/>
          </w:tcPr>
          <w:p>
            <w:pPr>
              <w:spacing w:before="60" w:after="60"/>
            </w:pPr>
            <w:r>
              <w:rPr>
                <w:rFonts w:ascii="Times New Roman" w:hAnsi="Times New Roman"/>
                <w:sz w:val="20"/>
              </w:rPr>
              <w:t>Gấp 5 lần tuyến 110 kV cũ</w:t>
            </w:r>
          </w:p>
        </w:tc>
        <w:tc>
          <w:tcPr>
            <w:tcW w:type="dxa" w:w="3120"/>
          </w:tcPr>
          <w:p>
            <w:pPr>
              <w:spacing w:before="60" w:after="60"/>
            </w:pPr>
            <w:r>
              <w:rPr>
                <w:rFonts w:ascii="Times New Roman" w:hAnsi="Times New Roman"/>
                <w:sz w:val="20"/>
              </w:rPr>
              <w:t>TheInvestor.vn[^6]</w:t>
            </w:r>
          </w:p>
        </w:tc>
      </w:tr>
    </w:tbl>
    <w:p>
      <w:pPr>
        <w:spacing w:before="0" w:after="80"/>
      </w:pPr>
    </w:p>
    <w:p>
      <w:pPr>
        <w:pStyle w:val="Heading3"/>
        <w:spacing w:before="240" w:after="160"/>
      </w:pPr>
      <w:r>
        <w:rPr>
          <w:rFonts w:ascii="Times New Roman" w:hAnsi="Times New Roman" w:eastAsia="Times New Roman"/>
          <w:color w:val="1A1A2E"/>
          <w:sz w:val="32"/>
        </w:rPr>
        <w:t>Phụ lục B — Hồ sơ năng lực CLP (tóm tắt)</w:t>
      </w:r>
    </w:p>
    <w:p>
      <w:pPr>
        <w:spacing w:after="40" w:before="20"/>
        <w:ind w:left="720" w:hanging="357"/>
      </w:pPr>
      <w:r>
        <w:rPr>
          <w:sz w:val="20"/>
        </w:rPr>
        <w:t xml:space="preserve">• </w:t>
      </w:r>
      <w:r>
        <w:rPr>
          <w:b/>
        </w:rPr>
        <w:t>Tên đầy đủ:</w:t>
      </w:r>
      <w:r>
        <w:t>CLP Holdings Limited</w:t>
      </w:r>
    </w:p>
    <w:p>
      <w:pPr>
        <w:spacing w:after="40" w:before="20"/>
        <w:ind w:left="720" w:hanging="357"/>
      </w:pPr>
      <w:r>
        <w:rPr>
          <w:sz w:val="20"/>
        </w:rPr>
        <w:t xml:space="preserve">• </w:t>
      </w:r>
      <w:r>
        <w:rPr>
          <w:b/>
        </w:rPr>
        <w:t>Thành lập:</w:t>
      </w:r>
      <w:r>
        <w:t>1901 (125 năm hoạt động liên tục)</w:t>
      </w:r>
    </w:p>
    <w:p>
      <w:pPr>
        <w:spacing w:after="40" w:before="20"/>
        <w:ind w:left="720" w:hanging="357"/>
      </w:pPr>
      <w:r>
        <w:rPr>
          <w:sz w:val="20"/>
        </w:rPr>
        <w:t xml:space="preserve">• </w:t>
      </w:r>
      <w:r>
        <w:rPr>
          <w:b/>
        </w:rPr>
        <w:t>Trụ sở:</w:t>
      </w:r>
      <w:r>
        <w:t>Hồng Kông</w:t>
      </w:r>
    </w:p>
    <w:p>
      <w:pPr>
        <w:spacing w:after="40" w:before="20"/>
        <w:ind w:left="720" w:hanging="357"/>
      </w:pPr>
      <w:r>
        <w:rPr>
          <w:sz w:val="20"/>
        </w:rPr>
        <w:t xml:space="preserve">• </w:t>
      </w:r>
      <w:r>
        <w:rPr>
          <w:b/>
        </w:rPr>
        <w:t>Công suất:</w:t>
      </w:r>
      <w:r>
        <w:t>~23.000 MW phát điện và lưu trữ[^3]</w:t>
      </w:r>
    </w:p>
    <w:p>
      <w:pPr>
        <w:spacing w:after="40" w:before="20"/>
        <w:ind w:left="720" w:hanging="357"/>
      </w:pPr>
      <w:r>
        <w:rPr>
          <w:sz w:val="20"/>
        </w:rPr>
        <w:t xml:space="preserve">• </w:t>
      </w:r>
      <w:r>
        <w:rPr>
          <w:b/>
        </w:rPr>
        <w:t>Phạm vi hoạt động:</w:t>
      </w:r>
      <w:r>
        <w:t>Hồng Kông, Trung Quốc Đại lục, Úc, Ấn Độ, Đài Loan</w:t>
      </w:r>
    </w:p>
    <w:p>
      <w:pPr>
        <w:spacing w:after="40" w:before="20"/>
        <w:ind w:left="720" w:hanging="357"/>
      </w:pPr>
      <w:r>
        <w:rPr>
          <w:sz w:val="20"/>
        </w:rPr>
        <w:t xml:space="preserve">• </w:t>
      </w:r>
      <w:r>
        <w:rPr>
          <w:b/>
        </w:rPr>
        <w:t>Điện gió:</w:t>
      </w:r>
      <w:r>
        <w:t>2,5 GW tại Đài Loan; dự kiến &gt;300 MW tại Việt Nam 2027[^3]</w:t>
      </w:r>
    </w:p>
    <w:p>
      <w:pPr>
        <w:spacing w:after="40" w:before="20"/>
        <w:ind w:left="720" w:hanging="357"/>
      </w:pPr>
      <w:r>
        <w:rPr>
          <w:sz w:val="20"/>
        </w:rPr>
        <w:t xml:space="preserve">• </w:t>
      </w:r>
      <w:r>
        <w:rPr>
          <w:b/>
        </w:rPr>
        <w:t>Niêm yết:</w:t>
      </w:r>
      <w:r>
        <w:t>HKEX, vốn hóa &gt;100 tỷ HKD, xếp hạng tín dụng A</w:t>
      </w:r>
    </w:p>
    <w:p>
      <w:pPr>
        <w:spacing w:after="40" w:before="20"/>
        <w:ind w:left="720" w:hanging="357"/>
      </w:pPr>
      <w:r>
        <w:rPr>
          <w:sz w:val="20"/>
        </w:rPr>
        <w:t xml:space="preserve">• </w:t>
      </w:r>
      <w:r>
        <w:rPr>
          <w:b/>
        </w:rPr>
        <w:t>Đại diện VN:</w:t>
      </w:r>
      <w:r>
        <w:t>Hàn Thế Phong — Phó Giám đốc Thị trường Việt Nam &amp; Lào, CLP SEA Infrastructure Limited[^3]</w:t>
      </w:r>
    </w:p>
    <w:p>
      <w:pPr>
        <w:spacing w:after="40" w:before="20"/>
        <w:ind w:left="720" w:hanging="357"/>
      </w:pPr>
      <w:r>
        <w:rPr>
          <w:sz w:val="20"/>
        </w:rPr>
        <w:t xml:space="preserve">• </w:t>
      </w:r>
      <w:r>
        <w:rPr>
          <w:b/>
        </w:rPr>
        <w:t>Liên hệ:</w:t>
      </w:r>
      <w:r>
        <w:t>0933 668 466 / phong.han@clp.com.hk[^3]</w:t>
      </w:r>
    </w:p>
    <w:p>
      <w:pPr>
        <w:pStyle w:val="Heading3"/>
        <w:spacing w:before="240" w:after="160"/>
      </w:pPr>
      <w:r>
        <w:rPr>
          <w:rFonts w:ascii="Times New Roman" w:hAnsi="Times New Roman" w:eastAsia="Times New Roman"/>
          <w:color w:val="1A1A2E"/>
          <w:sz w:val="32"/>
        </w:rPr>
        <w:t>Phụ lục C — Khung pháp lý năng lượng tái tạo</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Văn bản</w:t>
            </w:r>
          </w:p>
        </w:tc>
        <w:tc>
          <w:tcPr>
            <w:tcW w:type="dxa" w:w="4680"/>
            <w:shd w:fill="E2E8F0" w:val="clear"/>
          </w:tcPr>
          <w:p>
            <w:pPr>
              <w:spacing w:before="60" w:after="60"/>
            </w:pPr>
            <w:r>
              <w:rPr>
                <w:rFonts w:ascii="Times New Roman" w:hAnsi="Times New Roman"/>
                <w:b/>
                <w:sz w:val="20"/>
              </w:rPr>
              <w:t>Nội dung liên quan</w:t>
            </w:r>
          </w:p>
        </w:tc>
      </w:tr>
      <w:tr>
        <w:tc>
          <w:tcPr>
            <w:tcW w:type="dxa" w:w="4680"/>
          </w:tcPr>
          <w:p>
            <w:pPr>
              <w:spacing w:before="60" w:after="60"/>
            </w:pPr>
            <w:r>
              <w:rPr>
                <w:rFonts w:ascii="Times New Roman" w:hAnsi="Times New Roman"/>
                <w:sz w:val="20"/>
              </w:rPr>
              <w:t>Quy hoạch Điện VIII(QĐ 500/QĐ-TTg, 15/5/2023)</w:t>
            </w:r>
          </w:p>
        </w:tc>
        <w:tc>
          <w:tcPr>
            <w:tcW w:type="dxa" w:w="4680"/>
          </w:tcPr>
          <w:p>
            <w:pPr>
              <w:spacing w:before="60" w:after="60"/>
            </w:pPr>
            <w:r>
              <w:rPr>
                <w:rFonts w:ascii="Times New Roman" w:hAnsi="Times New Roman"/>
                <w:sz w:val="20"/>
              </w:rPr>
              <w:t>Mục tiêu 2030: 15.000 MW điện gió; phát triển điện mặt trời mái nhà phân tán; vùng biển Phú Quốc/Kiên Giang trong quy hoạch gió[^25]</w:t>
            </w:r>
          </w:p>
        </w:tc>
      </w:tr>
      <w:tr>
        <w:tc>
          <w:tcPr>
            <w:tcW w:type="dxa" w:w="4680"/>
          </w:tcPr>
          <w:p>
            <w:pPr>
              <w:spacing w:before="60" w:after="60"/>
            </w:pPr>
            <w:r>
              <w:rPr>
                <w:rFonts w:ascii="Times New Roman" w:hAnsi="Times New Roman"/>
                <w:sz w:val="20"/>
              </w:rPr>
              <w:t>Nghị định 80/2024/NĐ-CP</w:t>
            </w:r>
          </w:p>
        </w:tc>
        <w:tc>
          <w:tcPr>
            <w:tcW w:type="dxa" w:w="4680"/>
          </w:tcPr>
          <w:p>
            <w:pPr>
              <w:spacing w:before="60" w:after="60"/>
            </w:pPr>
            <w:r>
              <w:rPr>
                <w:rFonts w:ascii="Times New Roman" w:hAnsi="Times New Roman"/>
                <w:sz w:val="20"/>
              </w:rPr>
              <w:t>Cơ chế mua bán điện trực tiếp (DPPA) giữa nguồn phát NLTT và khách hàng lớn — cho phép mô hình PPA đề xuất tại Phần 4</w:t>
            </w:r>
          </w:p>
        </w:tc>
      </w:tr>
      <w:tr>
        <w:tc>
          <w:tcPr>
            <w:tcW w:type="dxa" w:w="4680"/>
          </w:tcPr>
          <w:p>
            <w:pPr>
              <w:spacing w:before="60" w:after="60"/>
            </w:pPr>
            <w:r>
              <w:rPr>
                <w:rFonts w:ascii="Times New Roman" w:hAnsi="Times New Roman"/>
                <w:sz w:val="20"/>
              </w:rPr>
              <w:t>Luật Điện lực (sửa đổi 2024)</w:t>
            </w:r>
          </w:p>
        </w:tc>
        <w:tc>
          <w:tcPr>
            <w:tcW w:type="dxa" w:w="4680"/>
          </w:tcPr>
          <w:p>
            <w:pPr>
              <w:spacing w:before="60" w:after="60"/>
            </w:pPr>
            <w:r>
              <w:rPr>
                <w:rFonts w:ascii="Times New Roman" w:hAnsi="Times New Roman"/>
                <w:sz w:val="20"/>
              </w:rPr>
              <w:t>Cho phép tư nhân đầu tư phát điện, truyền tải — tạo cơ sở pháp lý cho Sun Group và đối tác triển khai nguồn phát tại chỗ</w:t>
            </w:r>
          </w:p>
        </w:tc>
      </w:tr>
    </w:tbl>
    <w:p>
      <w:pPr>
        <w:spacing w:before="0" w:after="80"/>
      </w:pPr>
    </w:p>
    <w:p>
      <w:pPr>
        <w:pStyle w:val="Heading3"/>
        <w:spacing w:before="240" w:after="160"/>
      </w:pPr>
      <w:r>
        <w:rPr>
          <w:rFonts w:ascii="Times New Roman" w:hAnsi="Times New Roman" w:eastAsia="Times New Roman"/>
          <w:color w:val="1A1A2E"/>
          <w:sz w:val="32"/>
        </w:rPr>
        <w:t>Phụ lục D — Bảng thuật ngữ</w:t>
      </w:r>
    </w:p>
    <w:p>
      <w:pPr>
        <w:spacing w:before="80" w:after="0"/>
      </w:pPr>
    </w:p>
    <w:tbl>
      <w:tblPr>
        <w:tblStyle w:val="TableGrid"/>
        <w:tblW w:type="auto" w:w="0"/>
        <w:jc w:val="center"/>
        <w:tblLook w:firstColumn="1" w:firstRow="1" w:lastColumn="0" w:lastRow="0" w:noHBand="0" w:noVBand="1" w:val="04A0"/>
      </w:tblPr>
      <w:tblGrid>
        <w:gridCol w:w="4680"/>
        <w:gridCol w:w="4680"/>
      </w:tblGrid>
      <w:tr>
        <w:tc>
          <w:tcPr>
            <w:tcW w:type="dxa" w:w="4680"/>
            <w:shd w:fill="E2E8F0" w:val="clear"/>
          </w:tcPr>
          <w:p>
            <w:pPr>
              <w:spacing w:before="60" w:after="60"/>
            </w:pPr>
            <w:r>
              <w:rPr>
                <w:rFonts w:ascii="Times New Roman" w:hAnsi="Times New Roman"/>
                <w:b/>
                <w:sz w:val="20"/>
              </w:rPr>
              <w:t>Thuật ngữ</w:t>
            </w:r>
          </w:p>
        </w:tc>
        <w:tc>
          <w:tcPr>
            <w:tcW w:type="dxa" w:w="4680"/>
            <w:shd w:fill="E2E8F0" w:val="clear"/>
          </w:tcPr>
          <w:p>
            <w:pPr>
              <w:spacing w:before="60" w:after="60"/>
            </w:pPr>
            <w:r>
              <w:rPr>
                <w:rFonts w:ascii="Times New Roman" w:hAnsi="Times New Roman"/>
                <w:b/>
                <w:sz w:val="20"/>
              </w:rPr>
              <w:t>Giải nghĩa</w:t>
            </w:r>
          </w:p>
        </w:tc>
      </w:tr>
      <w:tr>
        <w:tc>
          <w:tcPr>
            <w:tcW w:type="dxa" w:w="4680"/>
          </w:tcPr>
          <w:p>
            <w:pPr>
              <w:spacing w:before="60" w:after="60"/>
            </w:pPr>
            <w:r>
              <w:rPr>
                <w:rFonts w:ascii="Times New Roman" w:hAnsi="Times New Roman"/>
                <w:sz w:val="20"/>
              </w:rPr>
              <w:t>BESS</w:t>
            </w:r>
          </w:p>
        </w:tc>
        <w:tc>
          <w:tcPr>
            <w:tcW w:type="dxa" w:w="4680"/>
          </w:tcPr>
          <w:p>
            <w:pPr>
              <w:spacing w:before="60" w:after="60"/>
            </w:pPr>
            <w:r>
              <w:rPr>
                <w:rFonts w:ascii="Times New Roman" w:hAnsi="Times New Roman"/>
                <w:sz w:val="20"/>
              </w:rPr>
              <w:t>Battery Energy Storage System — Hệ thống pin lưu trữ năng lượng</w:t>
            </w:r>
          </w:p>
        </w:tc>
      </w:tr>
      <w:tr>
        <w:tc>
          <w:tcPr>
            <w:tcW w:type="dxa" w:w="4680"/>
          </w:tcPr>
          <w:p>
            <w:pPr>
              <w:spacing w:before="60" w:after="60"/>
            </w:pPr>
            <w:r>
              <w:rPr>
                <w:rFonts w:ascii="Times New Roman" w:hAnsi="Times New Roman"/>
                <w:sz w:val="20"/>
              </w:rPr>
              <w:t>DPPA</w:t>
            </w:r>
          </w:p>
        </w:tc>
        <w:tc>
          <w:tcPr>
            <w:tcW w:type="dxa" w:w="4680"/>
          </w:tcPr>
          <w:p>
            <w:pPr>
              <w:spacing w:before="60" w:after="60"/>
            </w:pPr>
            <w:r>
              <w:rPr>
                <w:rFonts w:ascii="Times New Roman" w:hAnsi="Times New Roman"/>
                <w:sz w:val="20"/>
              </w:rPr>
              <w:t>Direct Power Purchase Agreement — Hợp đồng mua điện trực tiếp</w:t>
            </w:r>
          </w:p>
        </w:tc>
      </w:tr>
      <w:tr>
        <w:tc>
          <w:tcPr>
            <w:tcW w:type="dxa" w:w="4680"/>
          </w:tcPr>
          <w:p>
            <w:pPr>
              <w:spacing w:before="60" w:after="60"/>
            </w:pPr>
            <w:r>
              <w:rPr>
                <w:rFonts w:ascii="Times New Roman" w:hAnsi="Times New Roman"/>
                <w:sz w:val="20"/>
              </w:rPr>
              <w:t>PPA</w:t>
            </w:r>
          </w:p>
        </w:tc>
        <w:tc>
          <w:tcPr>
            <w:tcW w:type="dxa" w:w="4680"/>
          </w:tcPr>
          <w:p>
            <w:pPr>
              <w:spacing w:before="60" w:after="60"/>
            </w:pPr>
            <w:r>
              <w:rPr>
                <w:rFonts w:ascii="Times New Roman" w:hAnsi="Times New Roman"/>
                <w:sz w:val="20"/>
              </w:rPr>
              <w:t>Power Purchase Agreement — Hợp đồng mua bán điện</w:t>
            </w:r>
          </w:p>
        </w:tc>
      </w:tr>
      <w:tr>
        <w:tc>
          <w:tcPr>
            <w:tcW w:type="dxa" w:w="4680"/>
          </w:tcPr>
          <w:p>
            <w:pPr>
              <w:spacing w:before="60" w:after="60"/>
            </w:pPr>
            <w:r>
              <w:rPr>
                <w:rFonts w:ascii="Times New Roman" w:hAnsi="Times New Roman"/>
                <w:sz w:val="20"/>
              </w:rPr>
              <w:t>Microgrid</w:t>
            </w:r>
          </w:p>
        </w:tc>
        <w:tc>
          <w:tcPr>
            <w:tcW w:type="dxa" w:w="4680"/>
          </w:tcPr>
          <w:p>
            <w:pPr>
              <w:spacing w:before="60" w:after="60"/>
            </w:pPr>
            <w:r>
              <w:rPr>
                <w:rFonts w:ascii="Times New Roman" w:hAnsi="Times New Roman"/>
                <w:sz w:val="20"/>
              </w:rPr>
              <w:t>Lưới điện siêu nhỏ có khả năng vận hành độc lập khỏi lưới chính</w:t>
            </w:r>
          </w:p>
        </w:tc>
      </w:tr>
      <w:tr>
        <w:tc>
          <w:tcPr>
            <w:tcW w:type="dxa" w:w="4680"/>
          </w:tcPr>
          <w:p>
            <w:pPr>
              <w:spacing w:before="60" w:after="60"/>
            </w:pPr>
            <w:r>
              <w:rPr>
                <w:rFonts w:ascii="Times New Roman" w:hAnsi="Times New Roman"/>
                <w:sz w:val="20"/>
              </w:rPr>
              <w:t>LCOE</w:t>
            </w:r>
          </w:p>
        </w:tc>
        <w:tc>
          <w:tcPr>
            <w:tcW w:type="dxa" w:w="4680"/>
          </w:tcPr>
          <w:p>
            <w:pPr>
              <w:spacing w:before="60" w:after="60"/>
            </w:pPr>
            <w:r>
              <w:rPr>
                <w:rFonts w:ascii="Times New Roman" w:hAnsi="Times New Roman"/>
                <w:sz w:val="20"/>
              </w:rPr>
              <w:t>Levelized Cost of Energy — Chi phí bình quân toàn vòng đời</w:t>
            </w:r>
          </w:p>
        </w:tc>
      </w:tr>
      <w:tr>
        <w:tc>
          <w:tcPr>
            <w:tcW w:type="dxa" w:w="4680"/>
          </w:tcPr>
          <w:p>
            <w:pPr>
              <w:spacing w:before="60" w:after="60"/>
            </w:pPr>
            <w:r>
              <w:rPr>
                <w:rFonts w:ascii="Times New Roman" w:hAnsi="Times New Roman"/>
                <w:sz w:val="20"/>
              </w:rPr>
              <w:t>MWp</w:t>
            </w:r>
          </w:p>
        </w:tc>
        <w:tc>
          <w:tcPr>
            <w:tcW w:type="dxa" w:w="4680"/>
          </w:tcPr>
          <w:p>
            <w:pPr>
              <w:spacing w:before="60" w:after="60"/>
            </w:pPr>
            <w:r>
              <w:rPr>
                <w:rFonts w:ascii="Times New Roman" w:hAnsi="Times New Roman"/>
                <w:sz w:val="20"/>
              </w:rPr>
              <w:t>Megawatt-peak — Công suất đỉnh (điện mặt trời)</w:t>
            </w:r>
          </w:p>
        </w:tc>
      </w:tr>
      <w:tr>
        <w:tc>
          <w:tcPr>
            <w:tcW w:type="dxa" w:w="4680"/>
          </w:tcPr>
          <w:p>
            <w:pPr>
              <w:spacing w:before="60" w:after="60"/>
            </w:pPr>
            <w:r>
              <w:rPr>
                <w:rFonts w:ascii="Times New Roman" w:hAnsi="Times New Roman"/>
                <w:sz w:val="20"/>
              </w:rPr>
              <w:t>EUI</w:t>
            </w:r>
          </w:p>
        </w:tc>
        <w:tc>
          <w:tcPr>
            <w:tcW w:type="dxa" w:w="4680"/>
          </w:tcPr>
          <w:p>
            <w:pPr>
              <w:spacing w:before="60" w:after="60"/>
            </w:pPr>
            <w:r>
              <w:rPr>
                <w:rFonts w:ascii="Times New Roman" w:hAnsi="Times New Roman"/>
                <w:sz w:val="20"/>
              </w:rPr>
              <w:t>Energy Use Intensity — Cường độ sử dụng năng lượng (kWh/m²/năm)</w:t>
            </w:r>
          </w:p>
        </w:tc>
      </w:tr>
      <w:tr>
        <w:tc>
          <w:tcPr>
            <w:tcW w:type="dxa" w:w="4680"/>
          </w:tcPr>
          <w:p>
            <w:pPr>
              <w:spacing w:before="60" w:after="60"/>
            </w:pPr>
            <w:r>
              <w:rPr>
                <w:rFonts w:ascii="Times New Roman" w:hAnsi="Times New Roman"/>
                <w:sz w:val="20"/>
              </w:rPr>
              <w:t>ESG</w:t>
            </w:r>
          </w:p>
        </w:tc>
        <w:tc>
          <w:tcPr>
            <w:tcW w:type="dxa" w:w="4680"/>
          </w:tcPr>
          <w:p>
            <w:pPr>
              <w:spacing w:before="60" w:after="60"/>
            </w:pPr>
            <w:r>
              <w:rPr>
                <w:rFonts w:ascii="Times New Roman" w:hAnsi="Times New Roman"/>
                <w:sz w:val="20"/>
              </w:rPr>
              <w:t>Environmental, Social, Governance — Tiêu chuẩn bền vững</w:t>
            </w:r>
          </w:p>
        </w:tc>
      </w:tr>
      <w:tr>
        <w:tc>
          <w:tcPr>
            <w:tcW w:type="dxa" w:w="4680"/>
          </w:tcPr>
          <w:p>
            <w:pPr>
              <w:spacing w:before="60" w:after="60"/>
            </w:pPr>
            <w:r>
              <w:rPr>
                <w:rFonts w:ascii="Times New Roman" w:hAnsi="Times New Roman"/>
                <w:sz w:val="20"/>
              </w:rPr>
              <w:t>SBTi</w:t>
            </w:r>
          </w:p>
        </w:tc>
        <w:tc>
          <w:tcPr>
            <w:tcW w:type="dxa" w:w="4680"/>
          </w:tcPr>
          <w:p>
            <w:pPr>
              <w:spacing w:before="60" w:after="60"/>
            </w:pPr>
            <w:r>
              <w:rPr>
                <w:rFonts w:ascii="Times New Roman" w:hAnsi="Times New Roman"/>
                <w:sz w:val="20"/>
              </w:rPr>
              <w:t>Science Based Targets initiative — Cam kết giảm phát thải dựa trên khoa học</w:t>
            </w:r>
          </w:p>
        </w:tc>
      </w:tr>
      <w:tr>
        <w:tc>
          <w:tcPr>
            <w:tcW w:type="dxa" w:w="4680"/>
          </w:tcPr>
          <w:p>
            <w:pPr>
              <w:spacing w:before="60" w:after="60"/>
            </w:pPr>
            <w:r>
              <w:rPr>
                <w:rFonts w:ascii="Times New Roman" w:hAnsi="Times New Roman"/>
                <w:sz w:val="20"/>
              </w:rPr>
              <w:t>EVNSPC</w:t>
            </w:r>
          </w:p>
        </w:tc>
        <w:tc>
          <w:tcPr>
            <w:tcW w:type="dxa" w:w="4680"/>
          </w:tcPr>
          <w:p>
            <w:pPr>
              <w:spacing w:before="60" w:after="60"/>
            </w:pPr>
            <w:r>
              <w:rPr>
                <w:rFonts w:ascii="Times New Roman" w:hAnsi="Times New Roman"/>
                <w:sz w:val="20"/>
              </w:rPr>
              <w:t>Tổng công ty Điện lực miền Nam</w:t>
            </w:r>
          </w:p>
        </w:tc>
      </w:tr>
      <w:tr>
        <w:tc>
          <w:tcPr>
            <w:tcW w:type="dxa" w:w="4680"/>
          </w:tcPr>
          <w:p>
            <w:pPr>
              <w:spacing w:before="60" w:after="60"/>
            </w:pPr>
            <w:r>
              <w:rPr>
                <w:rFonts w:ascii="Times New Roman" w:hAnsi="Times New Roman"/>
                <w:sz w:val="20"/>
              </w:rPr>
              <w:t>ATS</w:t>
            </w:r>
          </w:p>
        </w:tc>
        <w:tc>
          <w:tcPr>
            <w:tcW w:type="dxa" w:w="4680"/>
          </w:tcPr>
          <w:p>
            <w:pPr>
              <w:spacing w:before="60" w:after="60"/>
            </w:pPr>
            <w:r>
              <w:rPr>
                <w:rFonts w:ascii="Times New Roman" w:hAnsi="Times New Roman"/>
                <w:sz w:val="20"/>
              </w:rPr>
              <w:t>Automatic Transfer Switch — Bộ chuyển mạch tự động</w:t>
            </w:r>
          </w:p>
        </w:tc>
      </w:tr>
      <w:tr>
        <w:tc>
          <w:tcPr>
            <w:tcW w:type="dxa" w:w="4680"/>
          </w:tcPr>
          <w:p>
            <w:pPr>
              <w:spacing w:before="60" w:after="60"/>
            </w:pPr>
            <w:r>
              <w:rPr>
                <w:rFonts w:ascii="Times New Roman" w:hAnsi="Times New Roman"/>
                <w:sz w:val="20"/>
              </w:rPr>
              <w:t>EV</w:t>
            </w:r>
          </w:p>
        </w:tc>
        <w:tc>
          <w:tcPr>
            <w:tcW w:type="dxa" w:w="4680"/>
          </w:tcPr>
          <w:p>
            <w:pPr>
              <w:spacing w:before="60" w:after="60"/>
            </w:pPr>
            <w:r>
              <w:rPr>
                <w:rFonts w:ascii="Times New Roman" w:hAnsi="Times New Roman"/>
                <w:sz w:val="20"/>
              </w:rPr>
              <w:t>Electric Vehicle — Xe điện</w:t>
            </w:r>
          </w:p>
        </w:tc>
      </w:tr>
    </w:tbl>
    <w:p>
      <w:pPr>
        <w:spacing w:before="0" w:after="80"/>
      </w:pPr>
    </w:p>
    <w:p>
      <w:pPr>
        <w:pStyle w:val="Heading3"/>
        <w:spacing w:before="240" w:after="160"/>
      </w:pPr>
      <w:r>
        <w:rPr>
          <w:rFonts w:ascii="Times New Roman" w:hAnsi="Times New Roman" w:eastAsia="Times New Roman"/>
          <w:color w:val="1A1A2E"/>
          <w:sz w:val="32"/>
        </w:rPr>
        <w:t>Phụ lục E — Cơ sở tính toán nhu cầu điện (Electricity Needs Computation)</w:t>
      </w:r>
    </w:p>
    <w:p>
      <w:pPr>
        <w:pStyle w:val="Heading4"/>
        <w:spacing w:before="240" w:after="160"/>
      </w:pPr>
      <w:r>
        <w:rPr>
          <w:rFonts w:ascii="Times New Roman" w:hAnsi="Times New Roman" w:eastAsia="Times New Roman"/>
          <w:color w:val="1A1A2E"/>
          <w:sz w:val="28"/>
        </w:rPr>
        <w:t>E.1. Phương pháp tính toán</w:t>
      </w:r>
    </w:p>
    <w:p>
      <w:r>
        <w:t xml:space="preserve">Nhu cầu điện được ước tính dựa trên </w:t>
      </w:r>
      <w:r>
        <w:rPr>
          <w:b/>
        </w:rPr>
        <w:t>benchmark quốc tế</w:t>
      </w:r>
      <w:r>
        <w:t xml:space="preserve"> cho từng loại cơ sở, sử dụng hai chỉ số chính:</w:t>
        <w:br/>
        <w:t xml:space="preserve">- </w:t>
      </w:r>
      <w:r>
        <w:rPr>
          <w:b/>
        </w:rPr>
        <w:t>Công suất đỉnh (Peak demand, kW):</w:t>
      </w:r>
      <w:r>
        <w:t xml:space="preserve"> Lượng điện tối đa cần tại bất kỳ thời điểm nào</w:t>
        <w:br/>
        <w:t xml:space="preserve">- </w:t>
      </w:r>
      <w:r>
        <w:rPr>
          <w:b/>
        </w:rPr>
        <w:t>Sản lượng tiêu thụ (Annual consumption, kWh/năm):</w:t>
      </w:r>
      <w:r>
        <w:t xml:space="preserve"> Tổng điện tiêu thụ trong năm</w:t>
      </w:r>
    </w:p>
    <w:p>
      <w:pPr>
        <w:pStyle w:val="Heading4"/>
        <w:spacing w:before="240" w:after="160"/>
      </w:pPr>
      <w:r>
        <w:rPr>
          <w:rFonts w:ascii="Times New Roman" w:hAnsi="Times New Roman" w:eastAsia="Times New Roman"/>
          <w:color w:val="1A1A2E"/>
          <w:sz w:val="28"/>
        </w:rPr>
        <w:t>E.2. Khách sạn 5 sao — 12.000 phòng mới</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Benchmark quốc tế: khách sạn 5 sao vùng nhiệt đới</w:t>
            </w:r>
          </w:p>
        </w:tc>
        <w:tc>
          <w:tcPr>
            <w:tcW w:type="dxa" w:w="3120"/>
          </w:tcPr>
          <w:p>
            <w:pPr>
              <w:spacing w:before="60" w:after="60"/>
            </w:pPr>
            <w:r>
              <w:rPr>
                <w:rFonts w:ascii="Times New Roman" w:hAnsi="Times New Roman"/>
                <w:sz w:val="20"/>
              </w:rPr>
              <w:t>12.000–15.000 kWh/phòng/năm</w:t>
            </w:r>
          </w:p>
        </w:tc>
        <w:tc>
          <w:tcPr>
            <w:tcW w:type="dxa" w:w="3120"/>
          </w:tcPr>
          <w:p>
            <w:pPr>
              <w:spacing w:before="60" w:after="60"/>
            </w:pPr>
            <w:r>
              <w:rPr>
                <w:rFonts w:ascii="Times New Roman" w:hAnsi="Times New Roman"/>
                <w:sz w:val="20"/>
              </w:rPr>
              <w:t>AEMACO Energy Audit Report[^15]</w:t>
            </w:r>
          </w:p>
        </w:tc>
      </w:tr>
      <w:tr>
        <w:tc>
          <w:tcPr>
            <w:tcW w:type="dxa" w:w="3120"/>
          </w:tcPr>
          <w:p>
            <w:pPr>
              <w:spacing w:before="60" w:after="60"/>
            </w:pPr>
            <w:r>
              <w:rPr>
                <w:rFonts w:ascii="Times New Roman" w:hAnsi="Times New Roman"/>
                <w:sz w:val="20"/>
              </w:rPr>
              <w:t>Benchmark Malta (4-5 sao)</w:t>
            </w:r>
          </w:p>
        </w:tc>
        <w:tc>
          <w:tcPr>
            <w:tcW w:type="dxa" w:w="3120"/>
          </w:tcPr>
          <w:p>
            <w:pPr>
              <w:spacing w:before="60" w:after="60"/>
            </w:pPr>
            <w:r>
              <w:rPr>
                <w:rFonts w:ascii="Times New Roman" w:hAnsi="Times New Roman"/>
                <w:sz w:val="20"/>
              </w:rPr>
              <w:t>35.867 kWh/phòng/năm</w:t>
            </w:r>
          </w:p>
        </w:tc>
        <w:tc>
          <w:tcPr>
            <w:tcW w:type="dxa" w:w="3120"/>
          </w:tcPr>
          <w:p>
            <w:pPr>
              <w:spacing w:before="60" w:after="60"/>
            </w:pPr>
            <w:r>
              <w:rPr>
                <w:rFonts w:ascii="Times New Roman" w:hAnsi="Times New Roman"/>
                <w:sz w:val="20"/>
              </w:rPr>
              <w:t>Government of Mauritius[^15]</w:t>
            </w:r>
          </w:p>
        </w:tc>
      </w:tr>
      <w:tr>
        <w:tc>
          <w:tcPr>
            <w:tcW w:type="dxa" w:w="3120"/>
          </w:tcPr>
          <w:p>
            <w:pPr>
              <w:spacing w:before="60" w:after="60"/>
            </w:pPr>
            <w:r>
              <w:rPr>
                <w:rFonts w:ascii="Times New Roman" w:hAnsi="Times New Roman"/>
                <w:sz w:val="20"/>
              </w:rPr>
              <w:t>Peak demand factor (công suất đỉnh/trung bình)</w:t>
            </w:r>
          </w:p>
        </w:tc>
        <w:tc>
          <w:tcPr>
            <w:tcW w:type="dxa" w:w="3120"/>
          </w:tcPr>
          <w:p>
            <w:pPr>
              <w:spacing w:before="60" w:after="60"/>
            </w:pPr>
            <w:r>
              <w:rPr>
                <w:rFonts w:ascii="Times New Roman" w:hAnsi="Times New Roman"/>
                <w:sz w:val="20"/>
              </w:rPr>
              <w:t>2,5–3,0x</w:t>
            </w:r>
          </w:p>
        </w:tc>
        <w:tc>
          <w:tcPr>
            <w:tcW w:type="dxa" w:w="3120"/>
          </w:tcPr>
          <w:p>
            <w:pPr>
              <w:spacing w:before="60" w:after="60"/>
            </w:pPr>
            <w:r>
              <w:rPr>
                <w:rFonts w:ascii="Times New Roman" w:hAnsi="Times New Roman"/>
                <w:sz w:val="20"/>
              </w:rPr>
              <w:t>Industry standard</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Tiêu thụ/năm = 12.000 phòng × 12.000 kWh/phòng/năm = 144 triệu kWh</w:t>
      </w:r>
      <w:r>
        <w:br/>
      </w:r>
      <w:r>
        <w:rPr>
          <w:rFonts w:ascii="Consolas" w:hAnsi="Consolas"/>
          <w:color w:val="333333"/>
          <w:sz w:val="18"/>
        </w:rPr>
        <w:t xml:space="preserve">              → đến × 15.000 kWh/phòng/năm = 180 triệu kWh</w:t>
      </w:r>
      <w:r>
        <w:br/>
      </w:r>
      <w:r>
        <w:rPr>
          <w:rFonts w:ascii="Consolas" w:hAnsi="Consolas"/>
          <w:color w:val="333333"/>
          <w:sz w:val="18"/>
        </w:rPr>
      </w:r>
      <w:r>
        <w:br/>
      </w:r>
      <w:r>
        <w:rPr>
          <w:rFonts w:ascii="Consolas" w:hAnsi="Consolas"/>
          <w:color w:val="333333"/>
          <w:sz w:val="18"/>
        </w:rPr>
        <w:t>Công suất trung bình = 144.000.000 kWh ÷ 8.760 giờ/năm = 16,4 MW</w:t>
      </w:r>
      <w:r>
        <w:br/>
      </w:r>
      <w:r>
        <w:rPr>
          <w:rFonts w:ascii="Consolas" w:hAnsi="Consolas"/>
          <w:color w:val="333333"/>
          <w:sz w:val="18"/>
        </w:rPr>
        <w:t>Công suất đỉnh = 16,4 MW × 2,2 (peak factor) ≈ 36 MW</w:t>
      </w:r>
      <w:r>
        <w:br/>
      </w:r>
      <w:r>
        <w:rPr>
          <w:rFonts w:ascii="Consolas" w:hAnsi="Consolas"/>
          <w:color w:val="333333"/>
          <w:sz w:val="18"/>
        </w:rPr>
        <w:t xml:space="preserve">              → đến 20,5 MW × 2,3 ≈ 48 MW</w:t>
      </w:r>
      <w:r>
        <w:br/>
      </w:r>
      <w:r>
        <w:rPr>
          <w:rFonts w:ascii="Consolas" w:hAnsi="Consolas"/>
          <w:color w:val="333333"/>
          <w:sz w:val="18"/>
        </w:rPr>
      </w:r>
      <w:r>
        <w:br/>
      </w:r>
      <w:r>
        <w:rPr>
          <w:rFonts w:ascii="Consolas" w:hAnsi="Consolas"/>
          <w:color w:val="333333"/>
          <w:sz w:val="18"/>
        </w:rPr>
        <w:t>Kết luận: 36–48 MW peak | 144–180 triệu kWh/năm</w:t>
      </w:r>
    </w:p>
    <w:p>
      <w:r>
        <w:rPr>
          <w:i/>
        </w:rPr>
        <w:t>Ghi chú: Bao gồm HVAC (50–70% tổng tiêu thụ), chiếu sáng (10–20%), nước nóng (15–25%), bể bơi, spa, nhà hàng, bếp, giặt là.[^15]</w:t>
      </w:r>
    </w:p>
    <w:p>
      <w:pPr>
        <w:pStyle w:val="Heading4"/>
        <w:spacing w:before="240" w:after="160"/>
      </w:pPr>
      <w:r>
        <w:rPr>
          <w:rFonts w:ascii="Times New Roman" w:hAnsi="Times New Roman" w:eastAsia="Times New Roman"/>
          <w:color w:val="1A1A2E"/>
          <w:sz w:val="28"/>
        </w:rPr>
        <w:t>E.3. Sân bay Phú Quốc (mở rộng)</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EUI nhà ga sân bay (Trung Quốc hub)</w:t>
            </w:r>
          </w:p>
        </w:tc>
        <w:tc>
          <w:tcPr>
            <w:tcW w:type="dxa" w:w="3120"/>
          </w:tcPr>
          <w:p>
            <w:pPr>
              <w:spacing w:before="60" w:after="60"/>
            </w:pPr>
            <w:r>
              <w:rPr>
                <w:rFonts w:ascii="Times New Roman" w:hAnsi="Times New Roman"/>
                <w:sz w:val="20"/>
              </w:rPr>
              <w:t>177 kWh/m²/năm</w:t>
            </w:r>
          </w:p>
        </w:tc>
        <w:tc>
          <w:tcPr>
            <w:tcW w:type="dxa" w:w="3120"/>
          </w:tcPr>
          <w:p>
            <w:pPr>
              <w:spacing w:before="60" w:after="60"/>
            </w:pPr>
            <w:r>
              <w:rPr>
                <w:rFonts w:ascii="Times New Roman" w:hAnsi="Times New Roman"/>
                <w:sz w:val="20"/>
              </w:rPr>
              <w:t>University of Reading[^16]</w:t>
            </w:r>
          </w:p>
        </w:tc>
      </w:tr>
      <w:tr>
        <w:tc>
          <w:tcPr>
            <w:tcW w:type="dxa" w:w="3120"/>
          </w:tcPr>
          <w:p>
            <w:pPr>
              <w:spacing w:before="60" w:after="60"/>
            </w:pPr>
            <w:r>
              <w:rPr>
                <w:rFonts w:ascii="Times New Roman" w:hAnsi="Times New Roman"/>
                <w:sz w:val="20"/>
              </w:rPr>
              <w:t>EUI sân bay Hồng Kông</w:t>
            </w:r>
          </w:p>
        </w:tc>
        <w:tc>
          <w:tcPr>
            <w:tcW w:type="dxa" w:w="3120"/>
          </w:tcPr>
          <w:p>
            <w:pPr>
              <w:spacing w:before="60" w:after="60"/>
            </w:pPr>
            <w:r>
              <w:rPr>
                <w:rFonts w:ascii="Times New Roman" w:hAnsi="Times New Roman"/>
                <w:sz w:val="20"/>
              </w:rPr>
              <w:t>371–374 kWh/m²/năm</w:t>
            </w:r>
          </w:p>
        </w:tc>
        <w:tc>
          <w:tcPr>
            <w:tcW w:type="dxa" w:w="3120"/>
          </w:tcPr>
          <w:p>
            <w:pPr>
              <w:spacing w:before="60" w:after="60"/>
            </w:pPr>
            <w:r>
              <w:rPr>
                <w:rFonts w:ascii="Times New Roman" w:hAnsi="Times New Roman"/>
                <w:sz w:val="20"/>
              </w:rPr>
              <w:t>CIBSE[^16]</w:t>
            </w:r>
          </w:p>
        </w:tc>
      </w:tr>
      <w:tr>
        <w:tc>
          <w:tcPr>
            <w:tcW w:type="dxa" w:w="3120"/>
          </w:tcPr>
          <w:p>
            <w:pPr>
              <w:spacing w:before="60" w:after="60"/>
            </w:pPr>
            <w:r>
              <w:rPr>
                <w:rFonts w:ascii="Times New Roman" w:hAnsi="Times New Roman"/>
                <w:sz w:val="20"/>
              </w:rPr>
              <w:t>EUI sân bay Hy Lạp</w:t>
            </w:r>
          </w:p>
        </w:tc>
        <w:tc>
          <w:tcPr>
            <w:tcW w:type="dxa" w:w="3120"/>
          </w:tcPr>
          <w:p>
            <w:pPr>
              <w:spacing w:before="60" w:after="60"/>
            </w:pPr>
            <w:r>
              <w:rPr>
                <w:rFonts w:ascii="Times New Roman" w:hAnsi="Times New Roman"/>
                <w:sz w:val="20"/>
              </w:rPr>
              <w:t>200–270 kWh/m²/năm</w:t>
            </w:r>
          </w:p>
        </w:tc>
        <w:tc>
          <w:tcPr>
            <w:tcW w:type="dxa" w:w="3120"/>
          </w:tcPr>
          <w:p>
            <w:pPr>
              <w:spacing w:before="60" w:after="60"/>
            </w:pPr>
            <w:r>
              <w:rPr>
                <w:rFonts w:ascii="Times New Roman" w:hAnsi="Times New Roman"/>
                <w:sz w:val="20"/>
              </w:rPr>
              <w:t>Medium / Research[^16]</w:t>
            </w:r>
          </w:p>
        </w:tc>
      </w:tr>
      <w:tr>
        <w:tc>
          <w:tcPr>
            <w:tcW w:type="dxa" w:w="3120"/>
          </w:tcPr>
          <w:p>
            <w:pPr>
              <w:spacing w:before="60" w:after="60"/>
            </w:pPr>
            <w:r>
              <w:rPr>
                <w:rFonts w:ascii="Times New Roman" w:hAnsi="Times New Roman"/>
                <w:sz w:val="20"/>
              </w:rPr>
              <w:t>Diện tích T2 + hạ tầng ước tính</w:t>
            </w:r>
          </w:p>
        </w:tc>
        <w:tc>
          <w:tcPr>
            <w:tcW w:type="dxa" w:w="3120"/>
          </w:tcPr>
          <w:p>
            <w:pPr>
              <w:spacing w:before="60" w:after="60"/>
            </w:pPr>
            <w:r>
              <w:rPr>
                <w:rFonts w:ascii="Times New Roman" w:hAnsi="Times New Roman"/>
                <w:sz w:val="20"/>
              </w:rPr>
              <w:t>~120.000 m²</w:t>
            </w:r>
          </w:p>
        </w:tc>
        <w:tc>
          <w:tcPr>
            <w:tcW w:type="dxa" w:w="3120"/>
          </w:tcPr>
          <w:p>
            <w:pPr>
              <w:spacing w:before="60" w:after="60"/>
            </w:pPr>
            <w:r>
              <w:rPr>
                <w:rFonts w:ascii="Times New Roman" w:hAnsi="Times New Roman"/>
                <w:sz w:val="20"/>
              </w:rPr>
              <w:t>Ước tính từ quy mô dự án</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Scenario thấp: 120.000 m² × 200 kWh/m²/năm = 24 triệu kWh → Peak ≈ 8 MW</w:t>
      </w:r>
      <w:r>
        <w:br/>
      </w:r>
      <w:r>
        <w:rPr>
          <w:rFonts w:ascii="Consolas" w:hAnsi="Consolas"/>
          <w:color w:val="333333"/>
          <w:sz w:val="18"/>
        </w:rPr>
        <w:t>Scenario cao:  120.000 m² × 350 kWh/m²/năm = 42 triệu kWh → Peak ≈ 12 MW</w:t>
      </w:r>
      <w:r>
        <w:br/>
      </w:r>
      <w:r>
        <w:rPr>
          <w:rFonts w:ascii="Consolas" w:hAnsi="Consolas"/>
          <w:color w:val="333333"/>
          <w:sz w:val="18"/>
        </w:rPr>
      </w:r>
      <w:r>
        <w:br/>
      </w:r>
      <w:r>
        <w:rPr>
          <w:rFonts w:ascii="Consolas" w:hAnsi="Consolas"/>
          <w:color w:val="333333"/>
          <w:sz w:val="18"/>
        </w:rPr>
        <w:t>Kết luận: 8–12 MW peak | 28–42 triệu kWh/năm</w:t>
      </w:r>
    </w:p>
    <w:p>
      <w:r>
        <w:rPr>
          <w:i/>
        </w:rPr>
        <w:t>Ghi chú: Bao gồm hệ thống điều hòa (30–60% tổng tiêu thụ), chiếu sáng nhà ga 24/7, hệ thống an ninh, băng chuyền hành lý, radar-dẫn đường, đường băng.[^16]</w:t>
      </w:r>
    </w:p>
    <w:p>
      <w:pPr>
        <w:pStyle w:val="Heading4"/>
        <w:spacing w:before="240" w:after="160"/>
      </w:pPr>
      <w:r>
        <w:rPr>
          <w:rFonts w:ascii="Times New Roman" w:hAnsi="Times New Roman" w:eastAsia="Times New Roman"/>
          <w:color w:val="1A1A2E"/>
          <w:sz w:val="28"/>
        </w:rPr>
        <w:t>E.4. Trung tâm Hội nghị APEC 6.500 chỗ + Nhà hát 4.000 chỗ</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HVAC: cooling capacity</w:t>
            </w:r>
          </w:p>
        </w:tc>
        <w:tc>
          <w:tcPr>
            <w:tcW w:type="dxa" w:w="3120"/>
          </w:tcPr>
          <w:p>
            <w:pPr>
              <w:spacing w:before="60" w:after="60"/>
            </w:pPr>
            <w:r>
              <w:rPr>
                <w:rFonts w:ascii="Times New Roman" w:hAnsi="Times New Roman"/>
                <w:sz w:val="20"/>
              </w:rPr>
              <w:t>0,04–0,4 kW/chỗ</w:t>
            </w:r>
          </w:p>
        </w:tc>
        <w:tc>
          <w:tcPr>
            <w:tcW w:type="dxa" w:w="3120"/>
          </w:tcPr>
          <w:p>
            <w:pPr>
              <w:spacing w:before="60" w:after="60"/>
            </w:pPr>
            <w:r>
              <w:rPr>
                <w:rFonts w:ascii="Times New Roman" w:hAnsi="Times New Roman"/>
                <w:sz w:val="20"/>
              </w:rPr>
              <w:t>Ingener.by / ASHRAE[^17]</w:t>
            </w:r>
          </w:p>
        </w:tc>
      </w:tr>
      <w:tr>
        <w:tc>
          <w:tcPr>
            <w:tcW w:type="dxa" w:w="3120"/>
          </w:tcPr>
          <w:p>
            <w:pPr>
              <w:spacing w:before="60" w:after="60"/>
            </w:pPr>
            <w:r>
              <w:rPr>
                <w:rFonts w:ascii="Times New Roman" w:hAnsi="Times New Roman"/>
                <w:sz w:val="20"/>
              </w:rPr>
              <w:t>Lighting power density</w:t>
            </w:r>
          </w:p>
        </w:tc>
        <w:tc>
          <w:tcPr>
            <w:tcW w:type="dxa" w:w="3120"/>
          </w:tcPr>
          <w:p>
            <w:pPr>
              <w:spacing w:before="60" w:after="60"/>
            </w:pPr>
            <w:r>
              <w:rPr>
                <w:rFonts w:ascii="Times New Roman" w:hAnsi="Times New Roman"/>
                <w:sz w:val="20"/>
              </w:rPr>
              <w:t>0,004–0,015 kW/chỗ</w:t>
            </w:r>
          </w:p>
        </w:tc>
        <w:tc>
          <w:tcPr>
            <w:tcW w:type="dxa" w:w="3120"/>
          </w:tcPr>
          <w:p>
            <w:pPr>
              <w:spacing w:before="60" w:after="60"/>
            </w:pPr>
            <w:r>
              <w:rPr>
                <w:rFonts w:ascii="Times New Roman" w:hAnsi="Times New Roman"/>
                <w:sz w:val="20"/>
              </w:rPr>
              <w:t>PSU / ASHRAE[^17]</w:t>
            </w:r>
          </w:p>
        </w:tc>
      </w:tr>
      <w:tr>
        <w:tc>
          <w:tcPr>
            <w:tcW w:type="dxa" w:w="3120"/>
          </w:tcPr>
          <w:p>
            <w:pPr>
              <w:spacing w:before="60" w:after="60"/>
            </w:pPr>
            <w:r>
              <w:rPr>
                <w:rFonts w:ascii="Times New Roman" w:hAnsi="Times New Roman"/>
                <w:sz w:val="20"/>
              </w:rPr>
              <w:t>Audio/Visual peak load</w:t>
            </w:r>
          </w:p>
        </w:tc>
        <w:tc>
          <w:tcPr>
            <w:tcW w:type="dxa" w:w="3120"/>
          </w:tcPr>
          <w:p>
            <w:pPr>
              <w:spacing w:before="60" w:after="60"/>
            </w:pPr>
            <w:r>
              <w:rPr>
                <w:rFonts w:ascii="Times New Roman" w:hAnsi="Times New Roman"/>
                <w:sz w:val="20"/>
              </w:rPr>
              <w:t>4,4–11,7 kW/phòng hội nghị</w:t>
            </w:r>
          </w:p>
        </w:tc>
        <w:tc>
          <w:tcPr>
            <w:tcW w:type="dxa" w:w="3120"/>
          </w:tcPr>
          <w:p>
            <w:pPr>
              <w:spacing w:before="60" w:after="60"/>
            </w:pPr>
            <w:r>
              <w:rPr>
                <w:rFonts w:ascii="Times New Roman" w:hAnsi="Times New Roman"/>
                <w:sz w:val="20"/>
              </w:rPr>
              <w:t>Industry benchmark[^17]</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Tổng chỗ: 6.500 + 4.000 = 10.500 chỗ</w:t>
      </w:r>
      <w:r>
        <w:br/>
      </w:r>
      <w:r>
        <w:rPr>
          <w:rFonts w:ascii="Consolas" w:hAnsi="Consolas"/>
          <w:color w:val="333333"/>
          <w:sz w:val="18"/>
        </w:rPr>
        <w:t>Scenario thấp: 10.500 × 0,5 kW/chỗ = 5,25 MW</w:t>
      </w:r>
      <w:r>
        <w:br/>
      </w:r>
      <w:r>
        <w:rPr>
          <w:rFonts w:ascii="Consolas" w:hAnsi="Consolas"/>
          <w:color w:val="333333"/>
          <w:sz w:val="18"/>
        </w:rPr>
        <w:t>Scenario cao:  10.500 × 0,8 kW/chỗ = 8,4 MW</w:t>
      </w:r>
      <w:r>
        <w:br/>
      </w:r>
      <w:r>
        <w:rPr>
          <w:rFonts w:ascii="Consolas" w:hAnsi="Consolas"/>
          <w:color w:val="333333"/>
          <w:sz w:val="18"/>
        </w:rPr>
      </w:r>
      <w:r>
        <w:br/>
      </w:r>
      <w:r>
        <w:rPr>
          <w:rFonts w:ascii="Consolas" w:hAnsi="Consolas"/>
          <w:color w:val="333333"/>
          <w:sz w:val="18"/>
        </w:rPr>
        <w:t>Kết luận: 5–8 MW peak | 8–13 triệu kWh/năm (hoạt động ~1.600–2.000 giờ/năm)</w:t>
      </w:r>
    </w:p>
    <w:p>
      <w:pPr>
        <w:pStyle w:val="Heading4"/>
        <w:spacing w:before="240" w:after="160"/>
      </w:pPr>
      <w:r>
        <w:rPr>
          <w:rFonts w:ascii="Times New Roman" w:hAnsi="Times New Roman" w:eastAsia="Times New Roman"/>
          <w:color w:val="1A1A2E"/>
          <w:sz w:val="28"/>
        </w:rPr>
        <w:t>E.5. Tàu điện LRT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Công suất trạm biến áp LRT</w:t>
            </w:r>
          </w:p>
        </w:tc>
        <w:tc>
          <w:tcPr>
            <w:tcW w:type="dxa" w:w="3120"/>
          </w:tcPr>
          <w:p>
            <w:pPr>
              <w:spacing w:before="60" w:after="60"/>
            </w:pPr>
            <w:r>
              <w:rPr>
                <w:rFonts w:ascii="Times New Roman" w:hAnsi="Times New Roman"/>
                <w:sz w:val="20"/>
              </w:rPr>
              <w:t>1,5–5,5 MW/trạm</w:t>
            </w:r>
          </w:p>
        </w:tc>
        <w:tc>
          <w:tcPr>
            <w:tcW w:type="dxa" w:w="3120"/>
          </w:tcPr>
          <w:p>
            <w:pPr>
              <w:spacing w:before="60" w:after="60"/>
            </w:pPr>
            <w:r>
              <w:rPr>
                <w:rFonts w:ascii="Times New Roman" w:hAnsi="Times New Roman"/>
                <w:sz w:val="20"/>
              </w:rPr>
              <w:t>Valley Metro / TRB[^18]</w:t>
            </w:r>
          </w:p>
        </w:tc>
      </w:tr>
      <w:tr>
        <w:tc>
          <w:tcPr>
            <w:tcW w:type="dxa" w:w="3120"/>
          </w:tcPr>
          <w:p>
            <w:pPr>
              <w:spacing w:before="60" w:after="60"/>
            </w:pPr>
            <w:r>
              <w:rPr>
                <w:rFonts w:ascii="Times New Roman" w:hAnsi="Times New Roman"/>
                <w:sz w:val="20"/>
              </w:rPr>
              <w:t>Tiêu thụ năng lượng</w:t>
            </w:r>
          </w:p>
        </w:tc>
        <w:tc>
          <w:tcPr>
            <w:tcW w:type="dxa" w:w="3120"/>
          </w:tcPr>
          <w:p>
            <w:pPr>
              <w:spacing w:before="60" w:after="60"/>
            </w:pPr>
            <w:r>
              <w:rPr>
                <w:rFonts w:ascii="Times New Roman" w:hAnsi="Times New Roman"/>
                <w:sz w:val="20"/>
              </w:rPr>
              <w:t>7–8 kWh/vehicle-km</w:t>
            </w:r>
          </w:p>
        </w:tc>
        <w:tc>
          <w:tcPr>
            <w:tcW w:type="dxa" w:w="3120"/>
          </w:tcPr>
          <w:p>
            <w:pPr>
              <w:spacing w:before="60" w:after="60"/>
            </w:pPr>
            <w:r>
              <w:rPr>
                <w:rFonts w:ascii="Times New Roman" w:hAnsi="Times New Roman"/>
                <w:sz w:val="20"/>
              </w:rPr>
              <w:t>GCRTA Cleveland[^18]</w:t>
            </w:r>
          </w:p>
        </w:tc>
      </w:tr>
      <w:tr>
        <w:tc>
          <w:tcPr>
            <w:tcW w:type="dxa" w:w="3120"/>
          </w:tcPr>
          <w:p>
            <w:pPr>
              <w:spacing w:before="60" w:after="60"/>
            </w:pPr>
            <w:r>
              <w:rPr>
                <w:rFonts w:ascii="Times New Roman" w:hAnsi="Times New Roman"/>
                <w:sz w:val="20"/>
              </w:rPr>
              <w:t>Số trạm biến áp ước tính</w:t>
            </w:r>
          </w:p>
        </w:tc>
        <w:tc>
          <w:tcPr>
            <w:tcW w:type="dxa" w:w="3120"/>
          </w:tcPr>
          <w:p>
            <w:pPr>
              <w:spacing w:before="60" w:after="60"/>
            </w:pPr>
            <w:r>
              <w:rPr>
                <w:rFonts w:ascii="Times New Roman" w:hAnsi="Times New Roman"/>
                <w:sz w:val="20"/>
              </w:rPr>
              <w:t>2–3 trạm</w:t>
            </w:r>
          </w:p>
        </w:tc>
        <w:tc>
          <w:tcPr>
            <w:tcW w:type="dxa" w:w="3120"/>
          </w:tcPr>
          <w:p>
            <w:pPr>
              <w:spacing w:before="60" w:after="60"/>
            </w:pPr>
            <w:r>
              <w:rPr>
                <w:rFonts w:ascii="Times New Roman" w:hAnsi="Times New Roman"/>
                <w:sz w:val="20"/>
              </w:rPr>
              <w:t>Tùy chiều dài tuyến</w:t>
            </w:r>
          </w:p>
        </w:tc>
      </w:tr>
    </w:tbl>
    <w:p>
      <w:pPr>
        <w:spacing w:before="0" w:after="80"/>
      </w:pPr>
    </w:p>
    <w:p>
      <w:r>
        <w:rPr>
          <w:b/>
        </w:rPr>
        <w:t>Tính toán:</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Peak demand: 2 trạm × 2,5 MW/trạm = 5 MW (scenario cao)</w:t>
      </w:r>
      <w:r>
        <w:br/>
      </w:r>
      <w:r>
        <w:rPr>
          <w:rFonts w:ascii="Consolas" w:hAnsi="Consolas"/>
          <w:color w:val="333333"/>
          <w:sz w:val="18"/>
        </w:rPr>
        <w:t xml:space="preserve">           → 3 trạm × 1,5 MW/trạm = 4,5 MW</w:t>
      </w:r>
      <w:r>
        <w:br/>
      </w:r>
      <w:r>
        <w:rPr>
          <w:rFonts w:ascii="Consolas" w:hAnsi="Consolas"/>
          <w:color w:val="333333"/>
          <w:sz w:val="18"/>
        </w:rPr>
        <w:t>Tiêu thụ: ~10–16 triệu kWh/năm (tùy tần suất và chiều dài tuyến)</w:t>
      </w:r>
      <w:r>
        <w:br/>
      </w:r>
      <w:r>
        <w:rPr>
          <w:rFonts w:ascii="Consolas" w:hAnsi="Consolas"/>
          <w:color w:val="333333"/>
          <w:sz w:val="18"/>
        </w:rPr>
      </w:r>
      <w:r>
        <w:br/>
      </w:r>
      <w:r>
        <w:rPr>
          <w:rFonts w:ascii="Consolas" w:hAnsi="Consolas"/>
          <w:color w:val="333333"/>
          <w:sz w:val="18"/>
        </w:rPr>
        <w:t>Kết luận: 3–5 MW peak | 10–16 triệu kWh/năm</w:t>
      </w:r>
    </w:p>
    <w:p>
      <w:pPr>
        <w:pStyle w:val="Heading4"/>
        <w:spacing w:before="240" w:after="160"/>
      </w:pPr>
      <w:r>
        <w:rPr>
          <w:rFonts w:ascii="Times New Roman" w:hAnsi="Times New Roman" w:eastAsia="Times New Roman"/>
          <w:color w:val="1A1A2E"/>
          <w:sz w:val="28"/>
        </w:rPr>
        <w:t>E.6. Trạm sạc xe điện</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Thông số</w:t>
            </w:r>
          </w:p>
        </w:tc>
        <w:tc>
          <w:tcPr>
            <w:tcW w:type="dxa" w:w="3120"/>
            <w:shd w:fill="E2E8F0" w:val="clear"/>
          </w:tcPr>
          <w:p>
            <w:pPr>
              <w:spacing w:before="60" w:after="60"/>
            </w:pPr>
            <w:r>
              <w:rPr>
                <w:rFonts w:ascii="Times New Roman" w:hAnsi="Times New Roman"/>
                <w:b/>
                <w:sz w:val="20"/>
              </w:rPr>
              <w:t>Giá trị</w:t>
            </w:r>
          </w:p>
        </w:tc>
        <w:tc>
          <w:tcPr>
            <w:tcW w:type="dxa" w:w="3120"/>
            <w:shd w:fill="E2E8F0" w:val="clear"/>
          </w:tcPr>
          <w:p>
            <w:pPr>
              <w:spacing w:before="60" w:after="60"/>
            </w:pPr>
            <w:r>
              <w:rPr>
                <w:rFonts w:ascii="Times New Roman" w:hAnsi="Times New Roman"/>
                <w:b/>
                <w:sz w:val="20"/>
              </w:rPr>
              <w:t>Nguồn</w:t>
            </w:r>
          </w:p>
        </w:tc>
      </w:tr>
      <w:tr>
        <w:tc>
          <w:tcPr>
            <w:tcW w:type="dxa" w:w="3120"/>
          </w:tcPr>
          <w:p>
            <w:pPr>
              <w:spacing w:before="60" w:after="60"/>
            </w:pPr>
            <w:r>
              <w:rPr>
                <w:rFonts w:ascii="Times New Roman" w:hAnsi="Times New Roman"/>
                <w:sz w:val="20"/>
              </w:rPr>
              <w:t>Trạm sạc nhanh DC</w:t>
            </w:r>
          </w:p>
        </w:tc>
        <w:tc>
          <w:tcPr>
            <w:tcW w:type="dxa" w:w="3120"/>
          </w:tcPr>
          <w:p>
            <w:pPr>
              <w:spacing w:before="60" w:after="60"/>
            </w:pPr>
            <w:r>
              <w:rPr>
                <w:rFonts w:ascii="Times New Roman" w:hAnsi="Times New Roman"/>
                <w:sz w:val="20"/>
              </w:rPr>
              <w:t>50–150 kW/trạm</w:t>
            </w:r>
          </w:p>
        </w:tc>
        <w:tc>
          <w:tcPr>
            <w:tcW w:type="dxa" w:w="3120"/>
          </w:tcPr>
          <w:p>
            <w:pPr>
              <w:spacing w:before="60" w:after="60"/>
            </w:pPr>
            <w:r>
              <w:rPr>
                <w:rFonts w:ascii="Times New Roman" w:hAnsi="Times New Roman"/>
                <w:sz w:val="20"/>
              </w:rPr>
              <w:t>Tiêu chuẩn ngành (CCS/CHAdeMO)</w:t>
            </w:r>
          </w:p>
        </w:tc>
      </w:tr>
      <w:tr>
        <w:tc>
          <w:tcPr>
            <w:tcW w:type="dxa" w:w="3120"/>
          </w:tcPr>
          <w:p>
            <w:pPr>
              <w:spacing w:before="60" w:after="60"/>
            </w:pPr>
            <w:r>
              <w:rPr>
                <w:rFonts w:ascii="Times New Roman" w:hAnsi="Times New Roman"/>
                <w:sz w:val="20"/>
              </w:rPr>
              <w:t>Trạm sạc xe buýt điện</w:t>
            </w:r>
          </w:p>
        </w:tc>
        <w:tc>
          <w:tcPr>
            <w:tcW w:type="dxa" w:w="3120"/>
          </w:tcPr>
          <w:p>
            <w:pPr>
              <w:spacing w:before="60" w:after="60"/>
            </w:pPr>
            <w:r>
              <w:rPr>
                <w:rFonts w:ascii="Times New Roman" w:hAnsi="Times New Roman"/>
                <w:sz w:val="20"/>
              </w:rPr>
              <w:t>100–300 kW/trạm</w:t>
            </w:r>
          </w:p>
        </w:tc>
        <w:tc>
          <w:tcPr>
            <w:tcW w:type="dxa" w:w="3120"/>
          </w:tcPr>
          <w:p>
            <w:pPr>
              <w:spacing w:before="60" w:after="60"/>
            </w:pPr>
            <w:r>
              <w:rPr>
                <w:rFonts w:ascii="Times New Roman" w:hAnsi="Times New Roman"/>
                <w:sz w:val="20"/>
              </w:rPr>
              <w:t>VinBus specification[^19]</w:t>
            </w:r>
          </w:p>
        </w:tc>
      </w:tr>
      <w:tr>
        <w:tc>
          <w:tcPr>
            <w:tcW w:type="dxa" w:w="3120"/>
          </w:tcPr>
          <w:p>
            <w:pPr>
              <w:spacing w:before="60" w:after="60"/>
            </w:pPr>
            <w:r>
              <w:rPr>
                <w:rFonts w:ascii="Times New Roman" w:hAnsi="Times New Roman"/>
                <w:sz w:val="20"/>
              </w:rPr>
              <w:t>Số trạm Phase 1 ước tính</w:t>
            </w:r>
          </w:p>
        </w:tc>
        <w:tc>
          <w:tcPr>
            <w:tcW w:type="dxa" w:w="3120"/>
          </w:tcPr>
          <w:p>
            <w:pPr>
              <w:spacing w:before="60" w:after="60"/>
            </w:pPr>
            <w:r>
              <w:rPr>
                <w:rFonts w:ascii="Times New Roman" w:hAnsi="Times New Roman"/>
                <w:sz w:val="20"/>
              </w:rPr>
              <w:t>30–50 trạm</w:t>
            </w:r>
          </w:p>
        </w:tc>
        <w:tc>
          <w:tcPr>
            <w:tcW w:type="dxa" w:w="3120"/>
          </w:tcPr>
          <w:p>
            <w:pPr>
              <w:spacing w:before="60" w:after="60"/>
            </w:pPr>
            <w:r>
              <w:rPr>
                <w:rFonts w:ascii="Times New Roman" w:hAnsi="Times New Roman"/>
                <w:sz w:val="20"/>
              </w:rPr>
              <w:t>Ước tính từ 51 xe buýt + Xanh SM + cá nhân</w:t>
            </w:r>
          </w:p>
        </w:tc>
      </w:tr>
    </w:tbl>
    <w:p>
      <w:pPr>
        <w:spacing w:before="0" w:after="80"/>
      </w:pP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Peak: 50 trạm × 100 kW (trung bình) = 5 MW → diversity factor 0,6 = 3 MW</w:t>
      </w:r>
      <w:r>
        <w:br/>
      </w:r>
      <w:r>
        <w:rPr>
          <w:rFonts w:ascii="Consolas" w:hAnsi="Consolas"/>
          <w:color w:val="333333"/>
          <w:sz w:val="18"/>
        </w:rPr>
        <w:t>Kết luận: 2–4 MW peak | 5–10 triệu kWh/năm</w:t>
      </w:r>
    </w:p>
    <w:p>
      <w:r>
        <w:rPr>
          <w:i/>
        </w:rPr>
        <w:t>Ghi chú: Con số này chỉ tính Phase 1 (30–50 trạm). Khi Phú Quốc đạt mục tiêu 100% taxi điện (2025) và 100% phương tiện điện (2030)[^30], nhu cầu sạc sẽ tăng gấp 3–5 lần, đòi hỏi mở rộng hạ tầng sạc tương ứng.</w:t>
      </w:r>
    </w:p>
    <w:p>
      <w:pPr>
        <w:pStyle w:val="Heading4"/>
        <w:spacing w:before="240" w:after="160"/>
      </w:pPr>
      <w:r>
        <w:rPr>
          <w:rFonts w:ascii="Times New Roman" w:hAnsi="Times New Roman" w:eastAsia="Times New Roman"/>
          <w:color w:val="1A1A2E"/>
          <w:sz w:val="28"/>
        </w:rPr>
        <w:t>E.7. Tổng hợp nhu cầu điện toàn danh mục</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Cơ sở</w:t>
            </w:r>
          </w:p>
        </w:tc>
        <w:tc>
          <w:tcPr>
            <w:tcW w:type="dxa" w:w="1872"/>
            <w:shd w:fill="E2E8F0" w:val="clear"/>
          </w:tcPr>
          <w:p>
            <w:pPr>
              <w:spacing w:before="60" w:after="60"/>
            </w:pPr>
            <w:r>
              <w:rPr>
                <w:rFonts w:ascii="Times New Roman" w:hAnsi="Times New Roman"/>
                <w:b/>
                <w:sz w:val="20"/>
              </w:rPr>
              <w:t>MW peak (thấp)</w:t>
            </w:r>
          </w:p>
        </w:tc>
        <w:tc>
          <w:tcPr>
            <w:tcW w:type="dxa" w:w="1872"/>
            <w:shd w:fill="E2E8F0" w:val="clear"/>
          </w:tcPr>
          <w:p>
            <w:pPr>
              <w:spacing w:before="60" w:after="60"/>
            </w:pPr>
            <w:r>
              <w:rPr>
                <w:rFonts w:ascii="Times New Roman" w:hAnsi="Times New Roman"/>
                <w:b/>
                <w:sz w:val="20"/>
              </w:rPr>
              <w:t>MW peak (cao)</w:t>
            </w:r>
          </w:p>
        </w:tc>
        <w:tc>
          <w:tcPr>
            <w:tcW w:type="dxa" w:w="1872"/>
            <w:shd w:fill="E2E8F0" w:val="clear"/>
          </w:tcPr>
          <w:p>
            <w:pPr>
              <w:spacing w:before="60" w:after="60"/>
            </w:pPr>
            <w:r>
              <w:rPr>
                <w:rFonts w:ascii="Times New Roman" w:hAnsi="Times New Roman"/>
                <w:b/>
                <w:sz w:val="20"/>
              </w:rPr>
              <w:t>Triệu kWh/năm (thấp)</w:t>
            </w:r>
          </w:p>
        </w:tc>
        <w:tc>
          <w:tcPr>
            <w:tcW w:type="dxa" w:w="1872"/>
            <w:shd w:fill="E2E8F0" w:val="clear"/>
          </w:tcPr>
          <w:p>
            <w:pPr>
              <w:spacing w:before="60" w:after="60"/>
            </w:pPr>
            <w:r>
              <w:rPr>
                <w:rFonts w:ascii="Times New Roman" w:hAnsi="Times New Roman"/>
                <w:b/>
                <w:sz w:val="20"/>
              </w:rPr>
              <w:t>Triệu kWh/năm (cao)</w:t>
            </w:r>
          </w:p>
        </w:tc>
      </w:tr>
      <w:tr>
        <w:tc>
          <w:tcPr>
            <w:tcW w:type="dxa" w:w="1872"/>
          </w:tcPr>
          <w:p>
            <w:pPr>
              <w:spacing w:before="60" w:after="60"/>
            </w:pPr>
            <w:r>
              <w:rPr>
                <w:rFonts w:ascii="Times New Roman" w:hAnsi="Times New Roman"/>
                <w:sz w:val="20"/>
              </w:rPr>
              <w:t>Khách sạn 5 sao (12.000 phòng)</w:t>
            </w:r>
          </w:p>
        </w:tc>
        <w:tc>
          <w:tcPr>
            <w:tcW w:type="dxa" w:w="1872"/>
          </w:tcPr>
          <w:p>
            <w:pPr>
              <w:spacing w:before="60" w:after="60"/>
            </w:pPr>
            <w:r>
              <w:rPr>
                <w:rFonts w:ascii="Times New Roman" w:hAnsi="Times New Roman"/>
                <w:sz w:val="20"/>
              </w:rPr>
              <w:t>36</w:t>
            </w:r>
          </w:p>
        </w:tc>
        <w:tc>
          <w:tcPr>
            <w:tcW w:type="dxa" w:w="1872"/>
          </w:tcPr>
          <w:p>
            <w:pPr>
              <w:spacing w:before="60" w:after="60"/>
            </w:pPr>
            <w:r>
              <w:rPr>
                <w:rFonts w:ascii="Times New Roman" w:hAnsi="Times New Roman"/>
                <w:sz w:val="20"/>
              </w:rPr>
              <w:t>48</w:t>
            </w:r>
          </w:p>
        </w:tc>
        <w:tc>
          <w:tcPr>
            <w:tcW w:type="dxa" w:w="1872"/>
          </w:tcPr>
          <w:p>
            <w:pPr>
              <w:spacing w:before="60" w:after="60"/>
            </w:pPr>
            <w:r>
              <w:rPr>
                <w:rFonts w:ascii="Times New Roman" w:hAnsi="Times New Roman"/>
                <w:sz w:val="20"/>
              </w:rPr>
              <w:t>144</w:t>
            </w:r>
          </w:p>
        </w:tc>
        <w:tc>
          <w:tcPr>
            <w:tcW w:type="dxa" w:w="1872"/>
          </w:tcPr>
          <w:p>
            <w:pPr>
              <w:spacing w:before="60" w:after="60"/>
            </w:pPr>
            <w:r>
              <w:rPr>
                <w:rFonts w:ascii="Times New Roman" w:hAnsi="Times New Roman"/>
                <w:sz w:val="20"/>
              </w:rPr>
              <w:t>180</w:t>
            </w:r>
          </w:p>
        </w:tc>
      </w:tr>
      <w:tr>
        <w:tc>
          <w:tcPr>
            <w:tcW w:type="dxa" w:w="1872"/>
          </w:tcPr>
          <w:p>
            <w:pPr>
              <w:spacing w:before="60" w:after="60"/>
            </w:pPr>
            <w:r>
              <w:rPr>
                <w:rFonts w:ascii="Times New Roman" w:hAnsi="Times New Roman"/>
                <w:sz w:val="20"/>
              </w:rPr>
              <w:t>Sân bay mở rộng</w:t>
            </w:r>
          </w:p>
        </w:tc>
        <w:tc>
          <w:tcPr>
            <w:tcW w:type="dxa" w:w="1872"/>
          </w:tcPr>
          <w:p>
            <w:pPr>
              <w:spacing w:before="60" w:after="60"/>
            </w:pPr>
            <w:r>
              <w:rPr>
                <w:rFonts w:ascii="Times New Roman" w:hAnsi="Times New Roman"/>
                <w:sz w:val="20"/>
              </w:rPr>
              <w:t>8</w:t>
            </w:r>
          </w:p>
        </w:tc>
        <w:tc>
          <w:tcPr>
            <w:tcW w:type="dxa" w:w="1872"/>
          </w:tcPr>
          <w:p>
            <w:pPr>
              <w:spacing w:before="60" w:after="60"/>
            </w:pPr>
            <w:r>
              <w:rPr>
                <w:rFonts w:ascii="Times New Roman" w:hAnsi="Times New Roman"/>
                <w:sz w:val="20"/>
              </w:rPr>
              <w:t>12</w:t>
            </w:r>
          </w:p>
        </w:tc>
        <w:tc>
          <w:tcPr>
            <w:tcW w:type="dxa" w:w="1872"/>
          </w:tcPr>
          <w:p>
            <w:pPr>
              <w:spacing w:before="60" w:after="60"/>
            </w:pPr>
            <w:r>
              <w:rPr>
                <w:rFonts w:ascii="Times New Roman" w:hAnsi="Times New Roman"/>
                <w:sz w:val="20"/>
              </w:rPr>
              <w:t>28</w:t>
            </w:r>
          </w:p>
        </w:tc>
        <w:tc>
          <w:tcPr>
            <w:tcW w:type="dxa" w:w="1872"/>
          </w:tcPr>
          <w:p>
            <w:pPr>
              <w:spacing w:before="60" w:after="60"/>
            </w:pPr>
            <w:r>
              <w:rPr>
                <w:rFonts w:ascii="Times New Roman" w:hAnsi="Times New Roman"/>
                <w:sz w:val="20"/>
              </w:rPr>
              <w:t>42</w:t>
            </w:r>
          </w:p>
        </w:tc>
      </w:tr>
      <w:tr>
        <w:tc>
          <w:tcPr>
            <w:tcW w:type="dxa" w:w="1872"/>
          </w:tcPr>
          <w:p>
            <w:pPr>
              <w:spacing w:before="60" w:after="60"/>
            </w:pPr>
            <w:r>
              <w:rPr>
                <w:rFonts w:ascii="Times New Roman" w:hAnsi="Times New Roman"/>
                <w:sz w:val="20"/>
              </w:rPr>
              <w:t>TTHH APEC + Nhà hát</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8</w:t>
            </w:r>
          </w:p>
        </w:tc>
        <w:tc>
          <w:tcPr>
            <w:tcW w:type="dxa" w:w="1872"/>
          </w:tcPr>
          <w:p>
            <w:pPr>
              <w:spacing w:before="60" w:after="60"/>
            </w:pPr>
            <w:r>
              <w:rPr>
                <w:rFonts w:ascii="Times New Roman" w:hAnsi="Times New Roman"/>
                <w:sz w:val="20"/>
              </w:rPr>
              <w:t>8</w:t>
            </w:r>
          </w:p>
        </w:tc>
        <w:tc>
          <w:tcPr>
            <w:tcW w:type="dxa" w:w="1872"/>
          </w:tcPr>
          <w:p>
            <w:pPr>
              <w:spacing w:before="60" w:after="60"/>
            </w:pPr>
            <w:r>
              <w:rPr>
                <w:rFonts w:ascii="Times New Roman" w:hAnsi="Times New Roman"/>
                <w:sz w:val="20"/>
              </w:rPr>
              <w:t>13</w:t>
            </w:r>
          </w:p>
        </w:tc>
      </w:tr>
      <w:tr>
        <w:tc>
          <w:tcPr>
            <w:tcW w:type="dxa" w:w="1872"/>
          </w:tcPr>
          <w:p>
            <w:pPr>
              <w:spacing w:before="60" w:after="60"/>
            </w:pPr>
            <w:r>
              <w:rPr>
                <w:rFonts w:ascii="Times New Roman" w:hAnsi="Times New Roman"/>
                <w:sz w:val="20"/>
              </w:rPr>
              <w:t>Tàu điện LRT</w:t>
            </w:r>
          </w:p>
        </w:tc>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10</w:t>
            </w:r>
          </w:p>
        </w:tc>
        <w:tc>
          <w:tcPr>
            <w:tcW w:type="dxa" w:w="1872"/>
          </w:tcPr>
          <w:p>
            <w:pPr>
              <w:spacing w:before="60" w:after="60"/>
            </w:pPr>
            <w:r>
              <w:rPr>
                <w:rFonts w:ascii="Times New Roman" w:hAnsi="Times New Roman"/>
                <w:sz w:val="20"/>
              </w:rPr>
              <w:t>16</w:t>
            </w:r>
          </w:p>
        </w:tc>
      </w:tr>
      <w:tr>
        <w:tc>
          <w:tcPr>
            <w:tcW w:type="dxa" w:w="1872"/>
          </w:tcPr>
          <w:p>
            <w:pPr>
              <w:spacing w:before="60" w:after="60"/>
            </w:pPr>
            <w:r>
              <w:rPr>
                <w:rFonts w:ascii="Times New Roman" w:hAnsi="Times New Roman"/>
                <w:sz w:val="20"/>
              </w:rPr>
              <w:t>Trạm sạc EV</w:t>
            </w:r>
          </w:p>
        </w:tc>
        <w:tc>
          <w:tcPr>
            <w:tcW w:type="dxa" w:w="1872"/>
          </w:tcPr>
          <w:p>
            <w:pPr>
              <w:spacing w:before="60" w:after="60"/>
            </w:pPr>
            <w:r>
              <w:rPr>
                <w:rFonts w:ascii="Times New Roman" w:hAnsi="Times New Roman"/>
                <w:sz w:val="20"/>
              </w:rPr>
              <w:t>2</w:t>
            </w:r>
          </w:p>
        </w:tc>
        <w:tc>
          <w:tcPr>
            <w:tcW w:type="dxa" w:w="1872"/>
          </w:tcPr>
          <w:p>
            <w:pPr>
              <w:spacing w:before="60" w:after="60"/>
            </w:pPr>
            <w:r>
              <w:rPr>
                <w:rFonts w:ascii="Times New Roman" w:hAnsi="Times New Roman"/>
                <w:sz w:val="20"/>
              </w:rPr>
              <w:t>4</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10</w:t>
            </w:r>
          </w:p>
        </w:tc>
      </w:tr>
      <w:tr>
        <w:tc>
          <w:tcPr>
            <w:tcW w:type="dxa" w:w="1872"/>
          </w:tcPr>
          <w:p>
            <w:pPr>
              <w:spacing w:before="60" w:after="60"/>
            </w:pPr>
            <w:r>
              <w:rPr>
                <w:rFonts w:ascii="Times New Roman" w:hAnsi="Times New Roman"/>
                <w:sz w:val="20"/>
              </w:rPr>
              <w:t>Khu thương mại</w:t>
            </w:r>
          </w:p>
        </w:tc>
        <w:tc>
          <w:tcPr>
            <w:tcW w:type="dxa" w:w="1872"/>
          </w:tcPr>
          <w:p>
            <w:pPr>
              <w:spacing w:before="60" w:after="60"/>
            </w:pPr>
            <w:r>
              <w:rPr>
                <w:rFonts w:ascii="Times New Roman" w:hAnsi="Times New Roman"/>
                <w:sz w:val="20"/>
              </w:rPr>
              <w:t>3</w:t>
            </w:r>
          </w:p>
        </w:tc>
        <w:tc>
          <w:tcPr>
            <w:tcW w:type="dxa" w:w="1872"/>
          </w:tcPr>
          <w:p>
            <w:pPr>
              <w:spacing w:before="60" w:after="60"/>
            </w:pPr>
            <w:r>
              <w:rPr>
                <w:rFonts w:ascii="Times New Roman" w:hAnsi="Times New Roman"/>
                <w:sz w:val="20"/>
              </w:rPr>
              <w:t>5</w:t>
            </w:r>
          </w:p>
        </w:tc>
        <w:tc>
          <w:tcPr>
            <w:tcW w:type="dxa" w:w="1872"/>
          </w:tcPr>
          <w:p>
            <w:pPr>
              <w:spacing w:before="60" w:after="60"/>
            </w:pPr>
            <w:r>
              <w:rPr>
                <w:rFonts w:ascii="Times New Roman" w:hAnsi="Times New Roman"/>
                <w:sz w:val="20"/>
              </w:rPr>
              <w:t>10</w:t>
            </w:r>
          </w:p>
        </w:tc>
        <w:tc>
          <w:tcPr>
            <w:tcW w:type="dxa" w:w="1872"/>
          </w:tcPr>
          <w:p>
            <w:pPr>
              <w:spacing w:before="60" w:after="60"/>
            </w:pPr>
            <w:r>
              <w:rPr>
                <w:rFonts w:ascii="Times New Roman" w:hAnsi="Times New Roman"/>
                <w:sz w:val="20"/>
              </w:rPr>
              <w:t>16</w:t>
            </w:r>
          </w:p>
        </w:tc>
      </w:tr>
      <w:tr>
        <w:tc>
          <w:tcPr>
            <w:tcW w:type="dxa" w:w="1872"/>
          </w:tcPr>
          <w:p>
            <w:pPr>
              <w:spacing w:before="60" w:after="60"/>
            </w:pPr>
            <w:r>
              <w:rPr>
                <w:rFonts w:ascii="Times New Roman" w:hAnsi="Times New Roman"/>
                <w:sz w:val="20"/>
              </w:rPr>
              <w:t>Tổng bổ sung</w:t>
            </w:r>
          </w:p>
        </w:tc>
        <w:tc>
          <w:tcPr>
            <w:tcW w:type="dxa" w:w="1872"/>
          </w:tcPr>
          <w:p>
            <w:pPr>
              <w:spacing w:before="60" w:after="60"/>
            </w:pPr>
            <w:r>
              <w:rPr>
                <w:rFonts w:ascii="Times New Roman" w:hAnsi="Times New Roman"/>
                <w:sz w:val="20"/>
              </w:rPr>
              <w:t>57</w:t>
            </w:r>
          </w:p>
        </w:tc>
        <w:tc>
          <w:tcPr>
            <w:tcW w:type="dxa" w:w="1872"/>
          </w:tcPr>
          <w:p>
            <w:pPr>
              <w:spacing w:before="60" w:after="60"/>
            </w:pPr>
            <w:r>
              <w:rPr>
                <w:rFonts w:ascii="Times New Roman" w:hAnsi="Times New Roman"/>
                <w:sz w:val="20"/>
              </w:rPr>
              <w:t>82</w:t>
            </w:r>
          </w:p>
        </w:tc>
        <w:tc>
          <w:tcPr>
            <w:tcW w:type="dxa" w:w="1872"/>
          </w:tcPr>
          <w:p>
            <w:pPr>
              <w:spacing w:before="60" w:after="60"/>
            </w:pPr>
            <w:r>
              <w:rPr>
                <w:rFonts w:ascii="Times New Roman" w:hAnsi="Times New Roman"/>
                <w:sz w:val="20"/>
              </w:rPr>
              <w:t>205</w:t>
            </w:r>
          </w:p>
        </w:tc>
        <w:tc>
          <w:tcPr>
            <w:tcW w:type="dxa" w:w="1872"/>
          </w:tcPr>
          <w:p>
            <w:pPr>
              <w:spacing w:before="60" w:after="60"/>
            </w:pPr>
            <w:r>
              <w:rPr>
                <w:rFonts w:ascii="Times New Roman" w:hAnsi="Times New Roman"/>
                <w:sz w:val="20"/>
              </w:rPr>
              <w:t>277</w:t>
            </w:r>
          </w:p>
        </w:tc>
      </w:tr>
      <w:tr>
        <w:tc>
          <w:tcPr>
            <w:tcW w:type="dxa" w:w="1872"/>
          </w:tcPr>
          <w:p>
            <w:pPr>
              <w:spacing w:before="60" w:after="60"/>
            </w:pPr>
            <w:r>
              <w:rPr>
                <w:rFonts w:ascii="Times New Roman" w:hAnsi="Times New Roman"/>
                <w:sz w:val="20"/>
              </w:rPr>
              <w:t>+ Phụ tải hiện tại</w:t>
            </w:r>
          </w:p>
        </w:tc>
        <w:tc>
          <w:tcPr>
            <w:tcW w:type="dxa" w:w="1872"/>
          </w:tcPr>
          <w:p>
            <w:pPr>
              <w:spacing w:before="60" w:after="60"/>
            </w:pPr>
            <w:r>
              <w:rPr>
                <w:rFonts w:ascii="Times New Roman" w:hAnsi="Times New Roman"/>
                <w:sz w:val="20"/>
              </w:rPr>
              <w:t>167</w:t>
            </w:r>
          </w:p>
        </w:tc>
        <w:tc>
          <w:tcPr>
            <w:tcW w:type="dxa" w:w="1872"/>
          </w:tcPr>
          <w:p>
            <w:pPr>
              <w:spacing w:before="60" w:after="60"/>
            </w:pPr>
            <w:r>
              <w:rPr>
                <w:rFonts w:ascii="Times New Roman" w:hAnsi="Times New Roman"/>
                <w:sz w:val="20"/>
              </w:rPr>
              <w:t>192</w:t>
            </w:r>
          </w:p>
        </w:tc>
        <w:tc>
          <w:tcPr>
            <w:tcW w:type="dxa" w:w="1872"/>
          </w:tcPr>
          <w:p>
            <w:pPr>
              <w:spacing w:before="60" w:after="60"/>
            </w:pPr>
            <w:r>
              <w:rPr>
                <w:rFonts w:ascii="Times New Roman" w:hAnsi="Times New Roman"/>
                <w:sz w:val="20"/>
              </w:rPr>
              <w:t>987</w:t>
            </w:r>
          </w:p>
        </w:tc>
        <w:tc>
          <w:tcPr>
            <w:tcW w:type="dxa" w:w="1872"/>
          </w:tcPr>
          <w:p>
            <w:pPr>
              <w:spacing w:before="60" w:after="60"/>
            </w:pPr>
            <w:r>
              <w:rPr>
                <w:rFonts w:ascii="Times New Roman" w:hAnsi="Times New Roman"/>
                <w:sz w:val="20"/>
              </w:rPr>
              <w:t>1.059</w:t>
            </w:r>
          </w:p>
        </w:tc>
      </w:tr>
    </w:tbl>
    <w:p>
      <w:pPr>
        <w:spacing w:before="0" w:after="80"/>
      </w:pPr>
    </w:p>
    <w:p>
      <w:pPr>
        <w:spacing w:before="80" w:after="80"/>
        <w:ind w:left="850"/>
        <w:pBdr>
          <w:left w:val="single" w:sz="18" w:space="8" w:color="D0D7DE"/>
        </w:pBdr>
      </w:pPr>
      <w:r>
        <w:rPr>
          <w:b/>
          <w:color w:val="6A737D"/>
        </w:rPr>
        <w:t>So sánh:</w:t>
      </w:r>
      <w:r>
        <w:rPr>
          <w:color w:val="6A737D"/>
        </w:rPr>
        <w:t xml:space="preserve"> Đỉnh phụ tải hiện tại 110 MW → lên </w:t>
      </w:r>
      <w:r>
        <w:rPr>
          <w:b/>
          <w:color w:val="6A737D"/>
        </w:rPr>
        <w:t>167–192 MW</w:t>
      </w:r>
      <w:r>
        <w:rPr>
          <w:color w:val="6A737D"/>
        </w:rPr>
        <w:t xml:space="preserve"> (+52–75%). Đây là mức </w:t>
      </w:r>
      <w:r>
        <w:rPr>
          <w:b/>
          <w:color w:val="6A737D"/>
        </w:rPr>
        <w:t>tối thiểu</w:t>
      </w:r>
      <w:r>
        <w:rPr>
          <w:color w:val="6A737D"/>
        </w:rPr>
        <w:t xml:space="preserve"> — chưa tính tăng trưởng 11%/năm từ dân cư, du lịch ngoài Sun Group, và mở rộng đội xe điện theo mục tiêu đảo xanh.</w:t>
      </w:r>
    </w:p>
    <w:p>
      <w:pPr>
        <w:spacing w:before="120" w:after="120"/>
        <w:pBdr>
          <w:bottom w:val="single" w:sz="12" w:space="1" w:color="CCCCCC"/>
        </w:pBdr>
      </w:pPr>
    </w:p>
    <w:p>
      <w:pPr>
        <w:pStyle w:val="Heading3"/>
        <w:spacing w:before="240" w:after="160"/>
      </w:pPr>
      <w:r>
        <w:rPr>
          <w:rFonts w:ascii="Times New Roman" w:hAnsi="Times New Roman" w:eastAsia="Times New Roman"/>
          <w:color w:val="1A1A2E"/>
          <w:sz w:val="32"/>
        </w:rPr>
        <w:t>Danh mục trích dẫn nguồn</w:t>
      </w:r>
    </w:p>
    <w:p>
      <w:r>
        <w:t>[^1]: VnExpress, “Gần 30.000 hộ dân Phú Quốc mất điện do sự cố cáp ngầm,” vnexpress.net, 29/11/2025.</w:t>
        <w:br/>
        <w:t>[^2]: Bản ghi nhớ CLP - Sun Group, mục 1 “Phụ tải và tiêu thụ,” 23/02/2026. Đỉnh phụ tải 110 MW.</w:t>
        <w:br/>
        <w:t>[^3]: Hàn Thế Phong (CLP SEA Infrastructure Limited), “Bản ghi nhớ: Đảm bảo An ninh Năng lượng cho Danh mục Đầu tư Sun Group tại Phú Quốc,” 23/02/2026. Tài liệu cá nhân &amp; thăm dò — không phải đề xuất chính thức của CLP. Các trích dẫn cụ thể trong báo cáo này tham chiếu các mục sau của bản ghi nhớ: đoạn mở đầu (phụ tải 110 MW, 782 triệu kWh, 11%/năm, ~100.000 tỷ VND), mục 2 (bức xạ mặt trời, khung pháp lý), mục 3.1 (Sun Airport từ 01/01/2026, BESS/solar cho sân bay và TTHH), mục 3.2 (chi phí diesel 32 triệu VND/ngày), mục 3.3 (13 thương hiệu, 5 tập đoàn, SBTi), mục 4 (CLP ~23.000 MW, 2,5 GW gió Đài Loan, 300 MW VN), mục 5 (giai đoạn 2, VinBus 51 xe, DPPA, điện gió 300 MW), mục 6 (Hàn Thế Phong, Sandeep Sharma, timeline APEC).</w:t>
        <w:br/>
        <w:t>[^4]: EVN.com.vn, “EVNSPC vượt chỉ tiêu đầu tư xây dựng lưới điện năm 2025,” evn.com.vn, 12/2025. Tổng 3 công trình cấp điện Phú Quốc: 9.160 tỷ VND.</w:t>
        <w:br/>
        <w:t>[^5]: Bộ Công Thương / World Bank, “Vietnam Solar Radiation Atlas.” Phú Quốc (vĩ tuyến 10°N): bức xạ 4,5–5,5 kWh/m²/ngày.</w:t>
        <w:br/>
        <w:t>[^6]: TheInvestor.vn, “New 220kV cross-sea power line increases Phu Quoc electricity provision five times,” theinvestor.vn. Dự kiến đáp ứng đến 2035.</w:t>
        <w:br/>
        <w:t>[^7]: EVN.com.vn / Vietnam.vn, “EVNSPC khởi công trạm biến áp 220 kV Phú Quốc,” 12/2025.</w:t>
        <w:br/>
        <w:t>[^8]: Vinaincon.com.vn, “Hợp đồng thi công đường dây 110 kV Phú Quốc – Nam Phú Quốc,” ký 17/07/2023, thời gian thi công 210 ngày.</w:t>
        <w:br/>
        <w:t>[^9]: VietnamNet / Báo Mới, “Cáp ngầm 110 kV Hà Tiên - Phú Quốc bị hư hỏng do ép cọc thi công đường ven biển,” 29/11/2025.</w:t>
        <w:br/>
        <w:t>[^10]: Báo Mới / VOH, “Mất điện diện rộng tại Phú Quốc: Dương Đông, Cửa Cạn, Hàm Ninh, Bắc đảo,” 29/11/2025.</w:t>
        <w:br/>
        <w:t>[^11]: Tuổi Trẻ Online, “Phú Quốc mất điện 30–40 giờ liên tục, gián đoạn nước sạch Bắc đảo,” tuoitre.vn, 11/2025.</w:t>
        <w:br/>
        <w:t>[^12]: VnExpress, “EVNSPC huy động máy phát diesel từ đất liền về Phú Quốc,” vnexpress.net, 29–30/11/2025.</w:t>
        <w:br/>
        <w:t>[^13]: Quảng Ngãi TV / Báo Mới, “Khắc phục sự cố cáp ngầm Phú Quốc dự kiến mất khoảng 1 tháng,” quangngaitv.vn, 11/2025.</w:t>
        <w:br/>
        <w:t>[^14]: Dân Trí, “Đơn vị gây sự cố cáp ngầm Phú Quốc tạm ứng 2,4 tỷ đồng sửa chữa,” dantri.com.vn, 12/2025.</w:t>
        <w:br/>
        <w:t>[^15]: AEMACO.com, “Luxury Hotel Energy Consumption Benchmarks.” Khách sạn 5 sao vùng nóng: 12.000–15.000 kWh/phòng/năm. HVAC: 50–70%, chiếu sáng: 10–20%, nước nóng: 15–25%. Xem thêm: Government of Mauritius (govmu.org), “4-5 Star Hotel Energy Audit Malta”: 35.867 kWh/phòng/năm.</w:t>
        <w:br/>
        <w:t>[^16]: University of Reading (UK), “Energy Performance of Chinese Hub Airport Terminals,” reading.ac.uk. EUI trung bình: 177 kWh/m²/năm, 30–60% từ HVAC. CIBSE, “Airport Energy Benchmarks”: HKIA 371–374 kWh/m². ASHRAE, “Airport Terminal Energy Use Intensity,” ashrae.org.</w:t>
        <w:br/>
        <w:t>[^17]: Ingener.by / ASHRAE, “Convention Center HVAC &amp; Lighting Benchmarks.” HVAC: 0,04–0,4 kW/chỗ; Lighting: 0,004–0,015 kW/chỗ. Audio/Visual peak: 4,4–11,7 kW. PSU (Penn State University), “Lighting Power Density Standards.”</w:t>
        <w:br/>
        <w:t>[^18]: Valley Metro (US), “Light Rail Power Supply Infrastructure,” valleymetro.org. Trạm biến áp: 1,5–5,5 MW, 850V DC. TRB (Transportation Research Board), “LRT Power Systems.” GCRTA Cleveland: 7–8 kWh/vehicle-km.</w:t>
        <w:br/>
        <w:t>[^19]: Tiêu chuẩn ngành sạc xe điện: DC fast charger 50–150 kW (CCS/CHAdeMO), xe buýt điện 100–300 kW. VinBus Phú Quốc: 51 xe trên 3 tuyến[^3].</w:t>
        <w:br/>
        <w:t>[^20]: Marubeni Corporation / VinFast Energy, “BESS 1.8 MW / 3.7 MWh at Vinpearl Resort Hon Tre,” 12/2024. Mô hình ba bên: Marubeni đầu tư, VinFast sản xuất pin lithium-ion với hệ thống làm mát chất lỏng, Vinpearl hưởng lợi không bỏ vốn.</w:t>
        <w:br/>
        <w:t>[^21]: Fluence Energy (liên doanh Siemens-AES), “35 GWh/year Battery Manufacturing Facility in Bac Giang,” 08/2025. Nhà máy sản xuất pin lưu trữ tự động hóa, đủ cho 8,75 GW hệ thống 4 giờ/năm.</w:t>
        <w:br/>
        <w:t>[^22]: BloombergNEF, “Lithium-Ion Battery Pack Prices 2024–2025.” Chi phí pin lưu trữ quy mô utility: ~80 USD/kWh và tiếp tục giảm.</w:t>
        <w:br/>
        <w:t>[^23]: Bộ Công Thương, “Quy hoạch Phát triển Năng lượng Tái tạo Việt Nam.” Bức xạ mặt trời trung bình Việt Nam: 3,5–5,0 kWh/m²/ngày; miền Nam (bao gồm Phú Quốc): 4,5–5,5 kWh/m²/ngày.</w:t>
        <w:br/>
        <w:t>[^24]: HICAP 2024 Sustainable Hotel Awards, “Climate &amp; Biodiversity Action Award — Six Senses Ninh Van Bay.” 800 tấm pin mặt trời, cung cấp 26–28% điện năng tiêu thụ.</w:t>
        <w:br/>
        <w:t>[^25]: Quyết định 500/QĐ-TTg ngày 15/5/2023, “Quy hoạch Phát triển Điện lực Quốc gia thời kỳ 2021–2030, tầm nhìn đến năm 2050” (Quy hoạch Điện VIII). Mục tiêu 2030: ~15.000 MW điện gió.</w:t>
        <w:br/>
        <w:t>[^26]: IEEE Standards 1547 và 2030, “Microgrid Fundamentals: Automatic Transfer and Islanding Capabilities.” Chuyển mạch &lt; 20 ms cho critical loads. IEEE Microgrid Knowledge.</w:t>
        <w:br/>
        <w:t>[^27]: Xanh SM, “Ra mắt dịch vụ taxi điện tại Phú Quốc,” xanhsm.com, 02/07/2023. Đợt đầu 100 xe VinFast (VF e34, VF 5 Plus), kế hoạch nâng lên 300 xe trong năm 2023. Xem thêm: Thanh Niên, “Xanh SM khai trương dịch vụ taxi điện Phú Quốc, 100 xe ban đầu,” thanhnien.vn, 07/2023; CafeF, “Xanh SM ra mắt tại Phú Quốc,” cafef.vn, 07/2023.</w:t>
        <w:br/>
        <w:t>[^28]: CafeF / Xanh SM, “Ra mắt Xanh SM Platform cho phép chủ xe VinFast làm đối tác vận tải,” cafef.vn, 03/2024.</w:t>
        <w:br/>
        <w:t>[^29]: B-Company.jp / nhiều nguồn, “Xanh SM fleet nationwide &gt;100,000 electric vehicles (20,000 cars + 80,000 motorcycles) across 61 provinces,” tính đến 12/2025. Xanh SM chiếm 51,5% thị phần gọi xe 4 bánh tại Việt Nam (Q4/2025) theo Tuổi Trẻ.</w:t>
        <w:br/>
        <w:t>[^30]: Nhiều nguồn (Khoahocphothong.vn, VnExpress), “Phú Quốc đặt mục tiêu 50% phương tiện điện/xanh đến 2025, 100% taxi mới dùng điện, hướng tới 100% phương tiện điện đến 2030.” Nằm trong lộ trình “đảo xanh” của tỉnh Kiên Giang.</w:t>
      </w:r>
    </w:p>
    <w:p>
      <w:pPr>
        <w:spacing w:before="120" w:after="120"/>
        <w:pBdr>
          <w:bottom w:val="single" w:sz="12" w:space="1" w:color="CCCCCC"/>
        </w:pBdr>
      </w:pPr>
    </w:p>
    <w:p>
      <w:r>
        <w:rPr>
          <w:b/>
        </w:rPr>
        <w:t>— Hết báo cáo —</w:t>
      </w:r>
    </w:p>
    <w:p>
      <w:r>
        <w:rPr>
          <w:i/>
        </w:rPr>
        <w:t>Tài liệu này là tài sản mật của Tập đoàn Sun Group. Nghiêm cấm sao chép, phân phối cho bên thứ ba khi chưa được phép.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