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BÁO CÁO CHIẾN LƯỢC</w:t>
      </w:r>
    </w:p>
    <w:p>
      <w:pPr>
        <w:pStyle w:val="Heading1"/>
        <w:spacing w:before="360" w:after="160"/>
      </w:pPr>
      <w:r>
        <w:rPr>
          <w:rFonts w:ascii="Times New Roman" w:hAnsi="Times New Roman" w:eastAsia="Times New Roman"/>
          <w:color w:val="1A1A2E"/>
          <w:sz w:val="40"/>
        </w:rPr>
        <w:t>Đảm bảo An ninh Năng lượng cho Danh mục Đầu tư Sun Group tại Phú Quốc</w:t>
      </w:r>
    </w:p>
    <w:p>
      <w:r>
        <w:rPr>
          <w:b/>
        </w:rPr>
        <w:t>Kính trình:</w:t>
      </w:r>
      <w:r>
        <w:t xml:space="preserve"> Ban Tổng giám đốc Tập đoàn Sun Group</w:t>
        <w:br/>
      </w:r>
      <w:r>
        <w:rPr>
          <w:b/>
        </w:rPr>
        <w:t>Soạn thảo:</w:t>
      </w:r>
      <w:r>
        <w:t xml:space="preserve"> Văn phòng Chủ tịch — Nhóm Chiến lược Hạ tầng</w:t>
        <w:br/>
      </w:r>
      <w:r>
        <w:rPr>
          <w:b/>
        </w:rPr>
        <w:t>Ngày:</w:t>
      </w:r>
      <w:r>
        <w:t xml:space="preserve"> 25 tháng 2, 2026</w:t>
        <w:br/>
      </w:r>
      <w:r>
        <w:rPr>
          <w:b/>
        </w:rPr>
        <w:t>Phân loại:</w:t>
      </w:r>
      <w:r>
        <w:t xml:space="preserve"> MẬT — Chỉ lưu hành nội bộ</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ĐIỀU HÀNH</w:t>
      </w:r>
    </w:p>
    <w:p>
      <w:pPr>
        <w:pStyle w:val="Heading3"/>
        <w:spacing w:before="240" w:after="160"/>
      </w:pPr>
      <w:r>
        <w:rPr>
          <w:rFonts w:ascii="Times New Roman" w:hAnsi="Times New Roman" w:eastAsia="Times New Roman"/>
          <w:color w:val="1A1A2E"/>
          <w:sz w:val="32"/>
        </w:rPr>
        <w:t>Vấn đề cốt lõi</w:t>
      </w:r>
    </w:p>
    <w:p>
      <w:r>
        <w:t xml:space="preserve">Toàn bộ danh mục đầu tư gần </w:t>
      </w:r>
      <w:r>
        <w:rPr>
          <w:b/>
        </w:rPr>
        <w:t>100.000 tỷ VND</w:t>
      </w:r>
      <w:r>
        <w:t xml:space="preserve"> của Sun Group tại Phú Quốc (giai đoạn 2025-2027) phụ thuộc vào một lưới điện duy nhất — lưới điện mà sự cố cáp ngầm ngày 29/11/2025 đã chứng minh là </w:t>
      </w:r>
      <w:r>
        <w:rPr>
          <w:b/>
        </w:rPr>
        <w:t>không đủ tin cậy</w:t>
      </w:r>
      <w:r>
        <w:t xml:space="preserve"> cho quy mô phát triển hiện tại, chưa nói đến tương lai[^1].</w:t>
      </w:r>
    </w:p>
    <w:p>
      <w:r>
        <w:t xml:space="preserve">Đỉnh phụ tải đảo đã đạt </w:t>
      </w:r>
      <w:r>
        <w:rPr>
          <w:b/>
        </w:rPr>
        <w:t>110 MW</w:t>
      </w:r>
      <w:r>
        <w:t xml:space="preserve">[^2], tiêu thụ </w:t>
      </w:r>
      <w:r>
        <w:rPr>
          <w:b/>
        </w:rPr>
        <w:t>782 triệu kWh/năm</w:t>
      </w:r>
      <w:r>
        <w:t xml:space="preserve">, tăng trưởng </w:t>
      </w:r>
      <w:r>
        <w:rPr>
          <w:b/>
        </w:rPr>
        <w:t>11%/năm</w:t>
      </w:r>
      <w:r>
        <w:t xml:space="preserve">[^3]. Khi 12.000 phòng 5 sao mới, sân bay mở rộng, Trung tâm Hội nghị APEC 6.500 chỗ, tàu điện LRT, và hàng trăm trạm sạc xe điện đồng loạt vận hành, nhu cầu điện có thể </w:t>
      </w:r>
      <w:r>
        <w:rPr>
          <w:b/>
        </w:rPr>
        <w:t>tăng gấp đôi</w:t>
      </w:r>
      <w:r>
        <w:t xml:space="preserve"> so với hiện tại (xem Phụ lục E cho chi tiết tính toán). Hạ tầng lưới EVN dù đang được nâng cấp (9.160 tỷ VND)[^4] vẫn không giải quyết được điểm yếu cấu trúc: </w:t>
      </w:r>
      <w:r>
        <w:rPr>
          <w:b/>
        </w:rPr>
        <w:t>toàn đảo phụ thuộc nguồn điện từ đất liền</w:t>
      </w:r>
      <w:r>
        <w:t>.</w:t>
      </w:r>
    </w:p>
    <w:p>
      <w:pPr>
        <w:pStyle w:val="Heading3"/>
        <w:spacing w:before="240" w:after="160"/>
      </w:pPr>
      <w:r>
        <w:rPr>
          <w:rFonts w:ascii="Times New Roman" w:hAnsi="Times New Roman" w:eastAsia="Times New Roman"/>
          <w:color w:val="1A1A2E"/>
          <w:sz w:val="32"/>
        </w:rPr>
        <w:t>Giải pháp đề xuất</w:t>
      </w:r>
    </w:p>
    <w:p>
      <w:r>
        <w:t xml:space="preserve">Xây dựng hệ thống </w:t>
      </w:r>
      <w:r>
        <w:rPr>
          <w:b/>
        </w:rPr>
        <w:t>phát điện và lưu trữ năng lượng tại chỗ</w:t>
      </w:r>
      <w:r>
        <w:t xml:space="preserve"> cho các cơ sở trọng yếu, gồm 3 trụ cột:</w:t>
      </w:r>
    </w:p>
    <w:p>
      <w:pPr>
        <w:spacing w:after="40" w:before="20"/>
        <w:ind w:left="720" w:hanging="357"/>
      </w:pPr>
      <w:r>
        <w:t xml:space="preserve">1. </w:t>
      </w:r>
      <w:r>
        <w:rPr>
          <w:b/>
        </w:rPr>
        <w:t>BESS (Pin lưu trữ năng lượng)</w:t>
      </w:r>
      <w:r>
        <w:t>— “bảo hiểm điện” chuyển mạch tức thì khi lưới gián đoạn</w:t>
      </w:r>
    </w:p>
    <w:p>
      <w:pPr>
        <w:spacing w:after="40" w:before="20"/>
        <w:ind w:left="720" w:hanging="357"/>
      </w:pPr>
      <w:r>
        <w:t xml:space="preserve">2. </w:t>
      </w:r>
      <w:r>
        <w:rPr>
          <w:b/>
        </w:rPr>
        <w:t>Điện mặt trời</w:t>
      </w:r>
      <w:r>
        <w:t>— tận dụng bức xạ mặt trời 4,5–5,5 kWh/m²/ngày[^5], mái khách sạn &amp; khu vực sân bay</w:t>
      </w:r>
    </w:p>
    <w:p>
      <w:pPr>
        <w:spacing w:after="40" w:before="20"/>
        <w:ind w:left="720" w:hanging="357"/>
      </w:pPr>
      <w:r>
        <w:t xml:space="preserve">3. </w:t>
      </w:r>
      <w:r>
        <w:rPr>
          <w:b/>
        </w:rPr>
        <w:t>Điện gió ven bờ</w:t>
      </w:r>
      <w:r>
        <w:t>— bổ sung ban đêm và mùa mưa khi mặt trời không phát</w:t>
      </w:r>
    </w:p>
    <w:p>
      <w:pPr>
        <w:pStyle w:val="Heading3"/>
        <w:spacing w:before="240" w:after="160"/>
      </w:pPr>
      <w:r>
        <w:rPr>
          <w:rFonts w:ascii="Times New Roman" w:hAnsi="Times New Roman" w:eastAsia="Times New Roman"/>
          <w:color w:val="1A1A2E"/>
          <w:sz w:val="32"/>
        </w:rPr>
        <w:t>Quyết định yêu cầu phê duyệt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w:t>
            </w:r>
          </w:p>
        </w:tc>
        <w:tc>
          <w:tcPr>
            <w:tcW w:type="dxa" w:w="3120"/>
            <w:shd w:fill="E2E8F0" w:val="clear"/>
          </w:tcPr>
          <w:p>
            <w:pPr>
              <w:spacing w:before="60" w:after="60"/>
            </w:pPr>
            <w:r>
              <w:rPr>
                <w:rFonts w:ascii="Times New Roman" w:hAnsi="Times New Roman"/>
                <w:b/>
                <w:sz w:val="20"/>
              </w:rPr>
              <w:t>Nội dung</w:t>
            </w:r>
          </w:p>
        </w:tc>
        <w:tc>
          <w:tcPr>
            <w:tcW w:type="dxa" w:w="3120"/>
            <w:shd w:fill="E2E8F0" w:val="clear"/>
          </w:tcPr>
          <w:p>
            <w:pPr>
              <w:spacing w:before="60" w:after="60"/>
            </w:pPr>
            <w:r>
              <w:rPr>
                <w:rFonts w:ascii="Times New Roman" w:hAnsi="Times New Roman"/>
                <w:b/>
                <w:sz w:val="20"/>
              </w:rPr>
              <w:t>Ưu tiên</w:t>
            </w:r>
          </w:p>
        </w:tc>
      </w:tr>
      <w:tr>
        <w:tc>
          <w:tcPr>
            <w:tcW w:type="dxa" w:w="3120"/>
          </w:tcPr>
          <w:p>
            <w:pPr>
              <w:spacing w:before="60" w:after="60"/>
            </w:pPr>
            <w:r>
              <w:rPr>
                <w:rFonts w:ascii="Times New Roman" w:hAnsi="Times New Roman"/>
                <w:sz w:val="20"/>
              </w:rPr>
              <w:t>1</w:t>
            </w:r>
          </w:p>
        </w:tc>
        <w:tc>
          <w:tcPr>
            <w:tcW w:type="dxa" w:w="3120"/>
          </w:tcPr>
          <w:p>
            <w:pPr>
              <w:spacing w:before="60" w:after="60"/>
            </w:pPr>
            <w:r>
              <w:rPr>
                <w:rFonts w:ascii="Times New Roman" w:hAnsi="Times New Roman"/>
                <w:sz w:val="20"/>
              </w:rPr>
              <w:t>Phê duyệt chủ trương xây dựng chiến lược an ninh năng lượng riêng cho Phú Quốc</w:t>
            </w:r>
          </w:p>
        </w:tc>
        <w:tc>
          <w:tcPr>
            <w:tcW w:type="dxa" w:w="3120"/>
          </w:tcPr>
          <w:p>
            <w:pPr>
              <w:spacing w:before="60" w:after="60"/>
            </w:pPr>
            <w:r>
              <w:rPr>
                <w:rFonts w:ascii="Times New Roman" w:hAnsi="Times New Roman"/>
                <w:sz w:val="20"/>
              </w:rPr>
              <w:t>Khẩn cấp</w:t>
            </w:r>
          </w:p>
        </w:tc>
      </w:tr>
      <w:tr>
        <w:tc>
          <w:tcPr>
            <w:tcW w:type="dxa" w:w="3120"/>
          </w:tcPr>
          <w:p>
            <w:pPr>
              <w:spacing w:before="60" w:after="60"/>
            </w:pPr>
            <w:r>
              <w:rPr>
                <w:rFonts w:ascii="Times New Roman" w:hAnsi="Times New Roman"/>
                <w:sz w:val="20"/>
              </w:rPr>
              <w:t>2</w:t>
            </w:r>
          </w:p>
        </w:tc>
        <w:tc>
          <w:tcPr>
            <w:tcW w:type="dxa" w:w="3120"/>
          </w:tcPr>
          <w:p>
            <w:pPr>
              <w:spacing w:before="60" w:after="60"/>
            </w:pPr>
            <w:r>
              <w:rPr>
                <w:rFonts w:ascii="Times New Roman" w:hAnsi="Times New Roman"/>
                <w:sz w:val="20"/>
              </w:rPr>
              <w:t>Cho phép đàm phán thăm dò (non-binding) với CLP Holdings và các đối tác tiềm năng</w:t>
            </w:r>
          </w:p>
        </w:tc>
        <w:tc>
          <w:tcPr>
            <w:tcW w:type="dxa" w:w="3120"/>
          </w:tcPr>
          <w:p>
            <w:pPr>
              <w:spacing w:before="60" w:after="60"/>
            </w:pPr>
            <w:r>
              <w:rPr>
                <w:rFonts w:ascii="Times New Roman" w:hAnsi="Times New Roman"/>
                <w:sz w:val="20"/>
              </w:rPr>
              <w:t>Cao</w:t>
            </w:r>
          </w:p>
        </w:tc>
      </w:tr>
      <w:tr>
        <w:tc>
          <w:tcPr>
            <w:tcW w:type="dxa" w:w="3120"/>
          </w:tcPr>
          <w:p>
            <w:pPr>
              <w:spacing w:before="60" w:after="60"/>
            </w:pPr>
            <w:r>
              <w:rPr>
                <w:rFonts w:ascii="Times New Roman" w:hAnsi="Times New Roman"/>
                <w:sz w:val="20"/>
              </w:rPr>
              <w:t>3</w:t>
            </w:r>
          </w:p>
        </w:tc>
        <w:tc>
          <w:tcPr>
            <w:tcW w:type="dxa" w:w="3120"/>
          </w:tcPr>
          <w:p>
            <w:pPr>
              <w:spacing w:before="60" w:after="60"/>
            </w:pPr>
            <w:r>
              <w:rPr>
                <w:rFonts w:ascii="Times New Roman" w:hAnsi="Times New Roman"/>
                <w:sz w:val="20"/>
              </w:rPr>
              <w:t>Phê duyệt ngân sách khảo sát thực địa tại sân bay + Bãi Đất Đỏ (Phase 0)</w:t>
            </w:r>
          </w:p>
        </w:tc>
        <w:tc>
          <w:tcPr>
            <w:tcW w:type="dxa" w:w="3120"/>
          </w:tcPr>
          <w:p>
            <w:pPr>
              <w:spacing w:before="60" w:after="60"/>
            </w:pPr>
            <w:r>
              <w:rPr>
                <w:rFonts w:ascii="Times New Roman" w:hAnsi="Times New Roman"/>
                <w:sz w:val="20"/>
              </w:rPr>
              <w:t>Cao</w:t>
            </w:r>
          </w:p>
        </w:tc>
      </w:tr>
    </w:tbl>
    <w:p>
      <w:pPr>
        <w:spacing w:before="0" w:after="80"/>
      </w:pPr>
    </w:p>
    <w:p>
      <w:r>
        <w:rPr>
          <w:b/>
        </w:rPr>
        <w:t>Áp lực thời gian:</w:t>
      </w:r>
      <w:r>
        <w:t xml:space="preserve"> APEC Việt Nam dự kiến tháng 11/2027 — còn khoảng 20 tháng. Hệ thống BESS và điện mặt trời cần 6–12 tháng từ quyết định đến vận hành. Nếu muốn nguồn điện đảm bảo sẵn sàng cho APEC, quyết định cần được đưa ra </w:t>
      </w:r>
      <w:r>
        <w:rPr>
          <w:b/>
        </w:rPr>
        <w:t>trong Q1/2026</w:t>
      </w:r>
      <w:r>
        <w:t>.</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1. Hiện trạng lưới điện Phú Quốc — Bức tranh thực tế</w:t>
      </w:r>
    </w:p>
    <w:p>
      <w:pPr>
        <w:pStyle w:val="Heading3"/>
        <w:spacing w:before="240" w:after="160"/>
      </w:pPr>
      <w:r>
        <w:rPr>
          <w:rFonts w:ascii="Times New Roman" w:hAnsi="Times New Roman" w:eastAsia="Times New Roman"/>
          <w:color w:val="1A1A2E"/>
          <w:sz w:val="32"/>
        </w:rPr>
        <w:t>1.1. Hạ tầng cấp điện hiện tại</w:t>
      </w:r>
    </w:p>
    <w:p>
      <w:r>
        <w:t>Phú Quốc hiện được cấp điện từ đất liền qua hai tuyến truyền tải:</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Tuyến</w:t>
            </w:r>
          </w:p>
        </w:tc>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Tình trạng</w:t>
            </w:r>
          </w:p>
        </w:tc>
      </w:tr>
      <w:tr>
        <w:tc>
          <w:tcPr>
            <w:tcW w:type="dxa" w:w="3120"/>
          </w:tcPr>
          <w:p>
            <w:pPr>
              <w:spacing w:before="60" w:after="60"/>
            </w:pPr>
            <w:r>
              <w:rPr>
                <w:rFonts w:ascii="Times New Roman" w:hAnsi="Times New Roman"/>
                <w:sz w:val="20"/>
              </w:rPr>
              <w:t>Cáp ngầm 110 kV Hà Tiên – Phú Quốc</w:t>
            </w:r>
          </w:p>
        </w:tc>
        <w:tc>
          <w:tcPr>
            <w:tcW w:type="dxa" w:w="3120"/>
          </w:tcPr>
          <w:p>
            <w:pPr>
              <w:spacing w:before="60" w:after="60"/>
            </w:pPr>
            <w:r>
              <w:rPr>
                <w:rFonts w:ascii="Times New Roman" w:hAnsi="Times New Roman"/>
                <w:sz w:val="20"/>
              </w:rPr>
              <w:t>Dài ~56 km đi qua biển, đưa vào vận hành từ những năm 2010</w:t>
            </w:r>
          </w:p>
        </w:tc>
        <w:tc>
          <w:tcPr>
            <w:tcW w:type="dxa" w:w="3120"/>
          </w:tcPr>
          <w:p>
            <w:pPr>
              <w:spacing w:before="60" w:after="60"/>
            </w:pPr>
            <w:r>
              <w:rPr>
                <w:rFonts w:ascii="Times New Roman" w:hAnsi="Times New Roman"/>
                <w:sz w:val="20"/>
              </w:rPr>
              <w:t>Đang vận hành; đã xảy ra sự cố ngày 29/11/2025[^1]</w:t>
            </w:r>
          </w:p>
        </w:tc>
      </w:tr>
      <w:tr>
        <w:tc>
          <w:tcPr>
            <w:tcW w:type="dxa" w:w="3120"/>
          </w:tcPr>
          <w:p>
            <w:pPr>
              <w:spacing w:before="60" w:after="60"/>
            </w:pPr>
            <w:r>
              <w:rPr>
                <w:rFonts w:ascii="Times New Roman" w:hAnsi="Times New Roman"/>
                <w:sz w:val="20"/>
              </w:rPr>
              <w:t>Đường dây 220 kV vượt biển</w:t>
            </w:r>
          </w:p>
        </w:tc>
        <w:tc>
          <w:tcPr>
            <w:tcW w:type="dxa" w:w="3120"/>
          </w:tcPr>
          <w:p>
            <w:pPr>
              <w:spacing w:before="60" w:after="60"/>
            </w:pPr>
            <w:r>
              <w:rPr>
                <w:rFonts w:ascii="Times New Roman" w:hAnsi="Times New Roman"/>
                <w:sz w:val="20"/>
              </w:rPr>
              <w:t>Tuyến mới, nâng công suất cấp điện lêngấp 5 lầnso với tuyến 110 kV cũ</w:t>
            </w:r>
          </w:p>
        </w:tc>
        <w:tc>
          <w:tcPr>
            <w:tcW w:type="dxa" w:w="3120"/>
          </w:tcPr>
          <w:p>
            <w:pPr>
              <w:spacing w:before="60" w:after="60"/>
            </w:pPr>
            <w:r>
              <w:rPr>
                <w:rFonts w:ascii="Times New Roman" w:hAnsi="Times New Roman"/>
                <w:sz w:val="20"/>
              </w:rPr>
              <w:t>Đã vận hành; dự kiến đáp ứng nhu cầu đến 2035[^6]</w:t>
            </w:r>
          </w:p>
        </w:tc>
      </w:tr>
    </w:tbl>
    <w:p>
      <w:pPr>
        <w:spacing w:before="0" w:after="80"/>
      </w:pPr>
    </w:p>
    <w:p>
      <w:r>
        <w:rPr>
          <w:b/>
        </w:rPr>
        <w:t>Điểm yếu cấu trúc:</w:t>
      </w:r>
      <w:r>
        <w:t xml:space="preserve"> Hai tuyến này </w:t>
      </w:r>
      <w:r>
        <w:rPr>
          <w:b/>
        </w:rPr>
        <w:t>không kết nối vòng kín</w:t>
      </w:r>
      <w:r>
        <w:t xml:space="preserve"> — không thể tự chuyển nguồn khi một tuyến gặp sự cố[^3]. Toàn bộ đảo phụ thuộc vào nguồn điện truyền tải từ đất liền qua cáp ngầm dưới biển — hạ tầng luôn tiềm ẩn rủi ro từ thiên tai, thi công, và sự cố kỹ thuật.</w:t>
      </w:r>
    </w:p>
    <w:p>
      <w:pPr>
        <w:pStyle w:val="Heading3"/>
        <w:spacing w:before="240" w:after="160"/>
      </w:pPr>
      <w:r>
        <w:rPr>
          <w:rFonts w:ascii="Times New Roman" w:hAnsi="Times New Roman" w:eastAsia="Times New Roman"/>
          <w:color w:val="1A1A2E"/>
          <w:sz w:val="32"/>
        </w:rPr>
        <w:t>1.2. Phụ tải và tiêu thụ</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Chỉ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Đỉnh phụ tải (Peak demand)</w:t>
            </w:r>
          </w:p>
        </w:tc>
        <w:tc>
          <w:tcPr>
            <w:tcW w:type="dxa" w:w="3120"/>
          </w:tcPr>
          <w:p>
            <w:pPr>
              <w:spacing w:before="60" w:after="60"/>
            </w:pPr>
            <w:r>
              <w:rPr>
                <w:rFonts w:ascii="Times New Roman" w:hAnsi="Times New Roman"/>
                <w:sz w:val="20"/>
              </w:rPr>
              <w:t>110 MW</w:t>
            </w:r>
          </w:p>
        </w:tc>
        <w:tc>
          <w:tcPr>
            <w:tcW w:type="dxa" w:w="3120"/>
          </w:tcPr>
          <w:p>
            <w:pPr>
              <w:spacing w:before="60" w:after="60"/>
            </w:pPr>
            <w:r>
              <w:rPr>
                <w:rFonts w:ascii="Times New Roman" w:hAnsi="Times New Roman"/>
                <w:sz w:val="20"/>
              </w:rPr>
              <w:t>CLP Memo 23/02/2026[^3]</w:t>
            </w:r>
          </w:p>
        </w:tc>
      </w:tr>
      <w:tr>
        <w:tc>
          <w:tcPr>
            <w:tcW w:type="dxa" w:w="3120"/>
          </w:tcPr>
          <w:p>
            <w:pPr>
              <w:spacing w:before="60" w:after="60"/>
            </w:pPr>
            <w:r>
              <w:rPr>
                <w:rFonts w:ascii="Times New Roman" w:hAnsi="Times New Roman"/>
                <w:sz w:val="20"/>
              </w:rPr>
              <w:t>Sản lượng tiêu thụ/năm</w:t>
            </w:r>
          </w:p>
        </w:tc>
        <w:tc>
          <w:tcPr>
            <w:tcW w:type="dxa" w:w="3120"/>
          </w:tcPr>
          <w:p>
            <w:pPr>
              <w:spacing w:before="60" w:after="60"/>
            </w:pPr>
            <w:r>
              <w:rPr>
                <w:rFonts w:ascii="Times New Roman" w:hAnsi="Times New Roman"/>
                <w:sz w:val="20"/>
              </w:rPr>
              <w:t>782 triệu kWh</w:t>
            </w:r>
          </w:p>
        </w:tc>
        <w:tc>
          <w:tcPr>
            <w:tcW w:type="dxa" w:w="3120"/>
          </w:tcPr>
          <w:p>
            <w:pPr>
              <w:spacing w:before="60" w:after="60"/>
            </w:pPr>
            <w:r>
              <w:rPr>
                <w:rFonts w:ascii="Times New Roman" w:hAnsi="Times New Roman"/>
                <w:sz w:val="20"/>
              </w:rPr>
              <w:t>CLP Memo 23/02/2026[^3]</w:t>
            </w:r>
          </w:p>
        </w:tc>
      </w:tr>
      <w:tr>
        <w:tc>
          <w:tcPr>
            <w:tcW w:type="dxa" w:w="3120"/>
          </w:tcPr>
          <w:p>
            <w:pPr>
              <w:spacing w:before="60" w:after="60"/>
            </w:pPr>
            <w:r>
              <w:rPr>
                <w:rFonts w:ascii="Times New Roman" w:hAnsi="Times New Roman"/>
                <w:sz w:val="20"/>
              </w:rPr>
              <w:t>Tốc độ tăng trưởng nhu cầu</w:t>
            </w:r>
          </w:p>
        </w:tc>
        <w:tc>
          <w:tcPr>
            <w:tcW w:type="dxa" w:w="3120"/>
          </w:tcPr>
          <w:p>
            <w:pPr>
              <w:spacing w:before="60" w:after="60"/>
            </w:pPr>
            <w:r>
              <w:rPr>
                <w:rFonts w:ascii="Times New Roman" w:hAnsi="Times New Roman"/>
                <w:sz w:val="20"/>
              </w:rPr>
              <w:t>11%/năm</w:t>
            </w:r>
          </w:p>
        </w:tc>
        <w:tc>
          <w:tcPr>
            <w:tcW w:type="dxa" w:w="3120"/>
          </w:tcPr>
          <w:p>
            <w:pPr>
              <w:spacing w:before="60" w:after="60"/>
            </w:pPr>
            <w:r>
              <w:rPr>
                <w:rFonts w:ascii="Times New Roman" w:hAnsi="Times New Roman"/>
                <w:sz w:val="20"/>
              </w:rPr>
              <w:t>CLP Memo 23/02/2026[^3]</w:t>
            </w:r>
          </w:p>
        </w:tc>
      </w:tr>
      <w:tr>
        <w:tc>
          <w:tcPr>
            <w:tcW w:type="dxa" w:w="3120"/>
          </w:tcPr>
          <w:p>
            <w:pPr>
              <w:spacing w:before="60" w:after="60"/>
            </w:pPr>
            <w:r>
              <w:rPr>
                <w:rFonts w:ascii="Times New Roman" w:hAnsi="Times New Roman"/>
                <w:sz w:val="20"/>
              </w:rPr>
              <w:t>Số hộ sử dụng điện toàn đảo</w:t>
            </w:r>
          </w:p>
        </w:tc>
        <w:tc>
          <w:tcPr>
            <w:tcW w:type="dxa" w:w="3120"/>
          </w:tcPr>
          <w:p>
            <w:pPr>
              <w:spacing w:before="60" w:after="60"/>
            </w:pPr>
            <w:r>
              <w:rPr>
                <w:rFonts w:ascii="Times New Roman" w:hAnsi="Times New Roman"/>
                <w:sz w:val="20"/>
              </w:rPr>
              <w:t>~30.000 hộ</w:t>
            </w:r>
          </w:p>
        </w:tc>
        <w:tc>
          <w:tcPr>
            <w:tcW w:type="dxa" w:w="3120"/>
          </w:tcPr>
          <w:p>
            <w:pPr>
              <w:spacing w:before="60" w:after="60"/>
            </w:pPr>
            <w:r>
              <w:rPr>
                <w:rFonts w:ascii="Times New Roman" w:hAnsi="Times New Roman"/>
                <w:sz w:val="20"/>
              </w:rPr>
              <w:t>VnExpress 29/11/2025[^1]</w:t>
            </w:r>
          </w:p>
        </w:tc>
      </w:tr>
    </w:tbl>
    <w:p>
      <w:pPr>
        <w:spacing w:before="0" w:after="80"/>
      </w:pPr>
    </w:p>
    <w:p>
      <w:r>
        <w:t xml:space="preserve">Với tốc độ tăng trưởng 11%/năm, nhu cầu điện Phú Quốc sẽ đạt khoảng </w:t>
      </w:r>
      <w:r>
        <w:rPr>
          <w:b/>
        </w:rPr>
        <w:t>135 MW</w:t>
      </w:r>
      <w:r>
        <w:t xml:space="preserve"> vào 2027 và </w:t>
      </w:r>
      <w:r>
        <w:rPr>
          <w:b/>
        </w:rPr>
        <w:t>165 MW</w:t>
      </w:r>
      <w:r>
        <w:t xml:space="preserve"> vào 2029 — chưa tính phụ tải tăng đột biến từ các dự án lớn của Sun Group (xem Phần 2).</w:t>
      </w:r>
    </w:p>
    <w:p>
      <w:pPr>
        <w:pStyle w:val="Heading3"/>
        <w:spacing w:before="240" w:after="160"/>
      </w:pPr>
      <w:r>
        <w:rPr>
          <w:rFonts w:ascii="Times New Roman" w:hAnsi="Times New Roman" w:eastAsia="Times New Roman"/>
          <w:color w:val="1A1A2E"/>
          <w:sz w:val="32"/>
        </w:rPr>
        <w:t>1.3. Các dự án nâng cấp lưới của EVNSPC</w:t>
      </w:r>
    </w:p>
    <w:p>
      <w:r>
        <w:t>EVNSPC đang triển khai đầu tư lớn để nâng cấp hạ tầng điện Phú Quốc: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Dự án</w:t>
            </w:r>
          </w:p>
        </w:tc>
        <w:tc>
          <w:tcPr>
            <w:tcW w:type="dxa" w:w="3120"/>
            <w:shd w:fill="E2E8F0" w:val="clear"/>
          </w:tcPr>
          <w:p>
            <w:pPr>
              <w:spacing w:before="60" w:after="60"/>
            </w:pPr>
            <w:r>
              <w:rPr>
                <w:rFonts w:ascii="Times New Roman" w:hAnsi="Times New Roman"/>
                <w:b/>
                <w:sz w:val="20"/>
              </w:rPr>
              <w:t>Vốn đầu tư</w:t>
            </w:r>
          </w:p>
        </w:tc>
        <w:tc>
          <w:tcPr>
            <w:tcW w:type="dxa" w:w="3120"/>
            <w:shd w:fill="E2E8F0" w:val="clear"/>
          </w:tcPr>
          <w:p>
            <w:pPr>
              <w:spacing w:before="60" w:after="60"/>
            </w:pPr>
            <w:r>
              <w:rPr>
                <w:rFonts w:ascii="Times New Roman" w:hAnsi="Times New Roman"/>
                <w:b/>
                <w:sz w:val="20"/>
              </w:rPr>
              <w:t>Tình trạng</w:t>
            </w:r>
          </w:p>
        </w:tc>
      </w:tr>
      <w:tr>
        <w:tc>
          <w:tcPr>
            <w:tcW w:type="dxa" w:w="3120"/>
          </w:tcPr>
          <w:p>
            <w:pPr>
              <w:spacing w:before="60" w:after="60"/>
            </w:pPr>
            <w:r>
              <w:rPr>
                <w:rFonts w:ascii="Times New Roman" w:hAnsi="Times New Roman"/>
                <w:sz w:val="20"/>
              </w:rPr>
              <w:t>Trạm biến áp 220 kV Phú Quốc</w:t>
            </w:r>
          </w:p>
        </w:tc>
        <w:tc>
          <w:tcPr>
            <w:tcW w:type="dxa" w:w="3120"/>
          </w:tcPr>
          <w:p>
            <w:pPr>
              <w:spacing w:before="60" w:after="60"/>
            </w:pPr>
            <w:r>
              <w:rPr>
                <w:rFonts w:ascii="Times New Roman" w:hAnsi="Times New Roman"/>
                <w:sz w:val="20"/>
              </w:rPr>
              <w:t>Nằm trong tổng vốn 9.160 tỷ VND</w:t>
            </w:r>
          </w:p>
        </w:tc>
        <w:tc>
          <w:tcPr>
            <w:tcW w:type="dxa" w:w="3120"/>
          </w:tcPr>
          <w:p>
            <w:pPr>
              <w:spacing w:before="60" w:after="60"/>
            </w:pPr>
            <w:r>
              <w:rPr>
                <w:rFonts w:ascii="Times New Roman" w:hAnsi="Times New Roman"/>
                <w:sz w:val="20"/>
              </w:rPr>
              <w:t>Khởi công 12/2025, dự kiến hoàn thành Q4/2026[^7]</w:t>
            </w:r>
          </w:p>
        </w:tc>
      </w:tr>
      <w:tr>
        <w:tc>
          <w:tcPr>
            <w:tcW w:type="dxa" w:w="3120"/>
          </w:tcPr>
          <w:p>
            <w:pPr>
              <w:spacing w:before="60" w:after="60"/>
            </w:pPr>
            <w:r>
              <w:rPr>
                <w:rFonts w:ascii="Times New Roman" w:hAnsi="Times New Roman"/>
                <w:sz w:val="20"/>
              </w:rPr>
              <w:t>Đường dây 110 kV Phú Quốc – Nam Phú Quốc</w:t>
            </w:r>
          </w:p>
        </w:tc>
        <w:tc>
          <w:tcPr>
            <w:tcW w:type="dxa" w:w="3120"/>
          </w:tcPr>
          <w:p>
            <w:pPr>
              <w:spacing w:before="60" w:after="60"/>
            </w:pPr>
            <w:r>
              <w:rPr>
                <w:rFonts w:ascii="Times New Roman" w:hAnsi="Times New Roman"/>
                <w:sz w:val="20"/>
              </w:rPr>
              <w:t>Nằm trong tổng vốn 9.160 tỷ VND</w:t>
            </w:r>
          </w:p>
        </w:tc>
        <w:tc>
          <w:tcPr>
            <w:tcW w:type="dxa" w:w="3120"/>
          </w:tcPr>
          <w:p>
            <w:pPr>
              <w:spacing w:before="60" w:after="60"/>
            </w:pPr>
            <w:r>
              <w:rPr>
                <w:rFonts w:ascii="Times New Roman" w:hAnsi="Times New Roman"/>
                <w:sz w:val="20"/>
              </w:rPr>
              <w:t>Đã ký hợp đồng 07/2023, thi công 210 ngày[^8]</w:t>
            </w:r>
          </w:p>
        </w:tc>
      </w:tr>
      <w:tr>
        <w:tc>
          <w:tcPr>
            <w:tcW w:type="dxa" w:w="3120"/>
          </w:tcPr>
          <w:p>
            <w:pPr>
              <w:spacing w:before="60" w:after="60"/>
            </w:pPr>
            <w:r>
              <w:rPr>
                <w:rFonts w:ascii="Times New Roman" w:hAnsi="Times New Roman"/>
                <w:sz w:val="20"/>
              </w:rPr>
              <w:t>Tổng đầu tư 3 công trình cấp điện Phú Quốc</w:t>
            </w:r>
          </w:p>
        </w:tc>
        <w:tc>
          <w:tcPr>
            <w:tcW w:type="dxa" w:w="3120"/>
          </w:tcPr>
          <w:p>
            <w:pPr>
              <w:spacing w:before="60" w:after="60"/>
            </w:pPr>
            <w:r>
              <w:rPr>
                <w:rFonts w:ascii="Times New Roman" w:hAnsi="Times New Roman"/>
                <w:sz w:val="20"/>
              </w:rPr>
              <w:t>9.160 tỷ VND(~436 triệu USD)</w:t>
            </w:r>
          </w:p>
        </w:tc>
        <w:tc>
          <w:tcPr>
            <w:tcW w:type="dxa" w:w="3120"/>
          </w:tcPr>
          <w:p>
            <w:pPr>
              <w:spacing w:before="60" w:after="60"/>
            </w:pPr>
            <w:r>
              <w:rPr>
                <w:rFonts w:ascii="Times New Roman" w:hAnsi="Times New Roman"/>
                <w:sz w:val="20"/>
              </w:rPr>
              <w:t>Đang triển khai[^4]</w:t>
            </w:r>
          </w:p>
        </w:tc>
      </w:tr>
    </w:tbl>
    <w:p>
      <w:pPr>
        <w:spacing w:before="0" w:after="80"/>
      </w:pPr>
    </w:p>
    <w:p>
      <w:r>
        <w:rPr>
          <w:b/>
        </w:rPr>
        <w:t>Tại sao chưa đủ:</w:t>
      </w:r>
      <w:r>
        <w:t xml:space="preserve"> Dù tổng đầu tư lên đến 436 triệu USD, các dự án của EVNSPC chỉ giải quyết bài toán </w:t>
      </w:r>
      <w:r>
        <w:rPr>
          <w:b/>
        </w:rPr>
        <w:t>tăng dung lượng đường truyền</w:t>
      </w:r>
      <w:r>
        <w:t xml:space="preserve"> — tức là nâng công suất nguồn cấp từ đất liền. Điều này </w:t>
      </w:r>
      <w:r>
        <w:rPr>
          <w:b/>
        </w:rPr>
        <w:t>không giải quyết</w:t>
      </w:r>
      <w:r>
        <w:t xml:space="preserve"> điểm yếu cấu trúc căn bản: toàn bộ đảo vẫn phụ thuộc 100% vào nguồn điện truyền tải từ đất liền. Khi cáp ngầm hoặc đường dây gặp sự cố, toàn đảo vẫn mất điện — bất kể dung lượng lớn đến đâu.</w:t>
      </w:r>
    </w:p>
    <w:p>
      <w:pPr>
        <w:pStyle w:val="Heading3"/>
        <w:spacing w:before="240" w:after="160"/>
      </w:pPr>
      <w:r>
        <w:rPr>
          <w:rFonts w:ascii="Times New Roman" w:hAnsi="Times New Roman" w:eastAsia="Times New Roman"/>
          <w:color w:val="1A1A2E"/>
          <w:sz w:val="32"/>
        </w:rPr>
        <w:t>1.4. Bài học từ sự cố ngày 29/11/2025</w:t>
      </w:r>
    </w:p>
    <w:p>
      <w:r>
        <w:t>Ngày 29 tháng 11 năm 2025, tuyến cáp ngầm 110 kV Hà Tiên – Phú Quốc bị gián đoạn do đơn vị thi công đường ven biển vi phạm hành lang an toàn lưới điện khi ép cọc[^9]. Hậu quả:</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Tác động</w:t>
            </w:r>
          </w:p>
        </w:tc>
        <w:tc>
          <w:tcPr>
            <w:tcW w:type="dxa" w:w="4680"/>
            <w:shd w:fill="E2E8F0" w:val="clear"/>
          </w:tcPr>
          <w:p>
            <w:pPr>
              <w:spacing w:before="60" w:after="60"/>
            </w:pPr>
            <w:r>
              <w:rPr>
                <w:rFonts w:ascii="Times New Roman" w:hAnsi="Times New Roman"/>
                <w:b/>
                <w:sz w:val="20"/>
              </w:rPr>
              <w:t>Chi tiết</w:t>
            </w:r>
          </w:p>
        </w:tc>
      </w:tr>
      <w:tr>
        <w:tc>
          <w:tcPr>
            <w:tcW w:type="dxa" w:w="4680"/>
          </w:tcPr>
          <w:p>
            <w:pPr>
              <w:spacing w:before="60" w:after="60"/>
            </w:pPr>
            <w:r>
              <w:rPr>
                <w:rFonts w:ascii="Times New Roman" w:hAnsi="Times New Roman"/>
                <w:sz w:val="20"/>
              </w:rPr>
              <w:t>Quy mô mất điện</w:t>
            </w:r>
          </w:p>
        </w:tc>
        <w:tc>
          <w:tcPr>
            <w:tcW w:type="dxa" w:w="4680"/>
          </w:tcPr>
          <w:p>
            <w:pPr>
              <w:spacing w:before="60" w:after="60"/>
            </w:pPr>
            <w:r>
              <w:rPr>
                <w:rFonts w:ascii="Times New Roman" w:hAnsi="Times New Roman"/>
                <w:sz w:val="20"/>
              </w:rPr>
              <w:t>Gần30.000 hộ dântoàn đảo bị ảnh hưởng[^1]</w:t>
            </w:r>
          </w:p>
        </w:tc>
      </w:tr>
      <w:tr>
        <w:tc>
          <w:tcPr>
            <w:tcW w:type="dxa" w:w="4680"/>
          </w:tcPr>
          <w:p>
            <w:pPr>
              <w:spacing w:before="60" w:after="60"/>
            </w:pPr>
            <w:r>
              <w:rPr>
                <w:rFonts w:ascii="Times New Roman" w:hAnsi="Times New Roman"/>
                <w:sz w:val="20"/>
              </w:rPr>
              <w:t>Khu vực trọng điểm</w:t>
            </w:r>
          </w:p>
        </w:tc>
        <w:tc>
          <w:tcPr>
            <w:tcW w:type="dxa" w:w="4680"/>
          </w:tcPr>
          <w:p>
            <w:pPr>
              <w:spacing w:before="60" w:after="60"/>
            </w:pPr>
            <w:r>
              <w:rPr>
                <w:rFonts w:ascii="Times New Roman" w:hAnsi="Times New Roman"/>
                <w:sz w:val="20"/>
              </w:rPr>
              <w:t>Dương Đông, Cửa Cạn, Cửa Dương, Hàm Ninh, toàn bộ Bắc đảo[^10]</w:t>
            </w:r>
          </w:p>
        </w:tc>
      </w:tr>
      <w:tr>
        <w:tc>
          <w:tcPr>
            <w:tcW w:type="dxa" w:w="4680"/>
          </w:tcPr>
          <w:p>
            <w:pPr>
              <w:spacing w:before="60" w:after="60"/>
            </w:pPr>
            <w:r>
              <w:rPr>
                <w:rFonts w:ascii="Times New Roman" w:hAnsi="Times New Roman"/>
                <w:sz w:val="20"/>
              </w:rPr>
              <w:t>Thời gian gián đoạn</w:t>
            </w:r>
          </w:p>
        </w:tc>
        <w:tc>
          <w:tcPr>
            <w:tcW w:type="dxa" w:w="4680"/>
          </w:tcPr>
          <w:p>
            <w:pPr>
              <w:spacing w:before="60" w:after="60"/>
            </w:pPr>
            <w:r>
              <w:rPr>
                <w:rFonts w:ascii="Times New Roman" w:hAnsi="Times New Roman"/>
                <w:sz w:val="20"/>
              </w:rPr>
              <w:t>Nhiều khu vực mất điện liên tục30-40 giờ; toàn bộ Bắc đảo gián đoạn nước sạch[^11]</w:t>
            </w:r>
          </w:p>
        </w:tc>
      </w:tr>
      <w:tr>
        <w:tc>
          <w:tcPr>
            <w:tcW w:type="dxa" w:w="4680"/>
          </w:tcPr>
          <w:p>
            <w:pPr>
              <w:spacing w:before="60" w:after="60"/>
            </w:pPr>
            <w:r>
              <w:rPr>
                <w:rFonts w:ascii="Times New Roman" w:hAnsi="Times New Roman"/>
                <w:sz w:val="20"/>
              </w:rPr>
              <w:t>Ứng phó</w:t>
            </w:r>
          </w:p>
        </w:tc>
        <w:tc>
          <w:tcPr>
            <w:tcW w:type="dxa" w:w="4680"/>
          </w:tcPr>
          <w:p>
            <w:pPr>
              <w:spacing w:before="60" w:after="60"/>
            </w:pPr>
            <w:r>
              <w:rPr>
                <w:rFonts w:ascii="Times New Roman" w:hAnsi="Times New Roman"/>
                <w:sz w:val="20"/>
              </w:rPr>
              <w:t>EVNSPC huy động máy phát diesel từ đất liền vận chuyển về đảo[^12]</w:t>
            </w:r>
          </w:p>
        </w:tc>
      </w:tr>
      <w:tr>
        <w:tc>
          <w:tcPr>
            <w:tcW w:type="dxa" w:w="4680"/>
          </w:tcPr>
          <w:p>
            <w:pPr>
              <w:spacing w:before="60" w:after="60"/>
            </w:pPr>
            <w:r>
              <w:rPr>
                <w:rFonts w:ascii="Times New Roman" w:hAnsi="Times New Roman"/>
                <w:sz w:val="20"/>
              </w:rPr>
              <w:t>Chi phí ứng phó</w:t>
            </w:r>
          </w:p>
        </w:tc>
        <w:tc>
          <w:tcPr>
            <w:tcW w:type="dxa" w:w="4680"/>
          </w:tcPr>
          <w:p>
            <w:pPr>
              <w:spacing w:before="60" w:after="60"/>
            </w:pPr>
            <w:r>
              <w:rPr>
                <w:rFonts w:ascii="Times New Roman" w:hAnsi="Times New Roman"/>
                <w:sz w:val="20"/>
              </w:rPr>
              <w:t>Resort thuê máy phát diesel giá32 triệu VND/ngày/máy[^3]</w:t>
            </w:r>
          </w:p>
        </w:tc>
      </w:tr>
      <w:tr>
        <w:tc>
          <w:tcPr>
            <w:tcW w:type="dxa" w:w="4680"/>
          </w:tcPr>
          <w:p>
            <w:pPr>
              <w:spacing w:before="60" w:after="60"/>
            </w:pPr>
            <w:r>
              <w:rPr>
                <w:rFonts w:ascii="Times New Roman" w:hAnsi="Times New Roman"/>
                <w:sz w:val="20"/>
              </w:rPr>
              <w:t>Khắc phục</w:t>
            </w:r>
          </w:p>
        </w:tc>
        <w:tc>
          <w:tcPr>
            <w:tcW w:type="dxa" w:w="4680"/>
          </w:tcPr>
          <w:p>
            <w:pPr>
              <w:spacing w:before="60" w:after="60"/>
            </w:pPr>
            <w:r>
              <w:rPr>
                <w:rFonts w:ascii="Times New Roman" w:hAnsi="Times New Roman"/>
                <w:sz w:val="20"/>
              </w:rPr>
              <w:t>Dự kiến mất~1 thángsửa chữa cáp ngầm trong điều kiện thời tiết thuận lợi[^13]</w:t>
            </w:r>
          </w:p>
        </w:tc>
      </w:tr>
      <w:tr>
        <w:tc>
          <w:tcPr>
            <w:tcW w:type="dxa" w:w="4680"/>
          </w:tcPr>
          <w:p>
            <w:pPr>
              <w:spacing w:before="60" w:after="60"/>
            </w:pPr>
            <w:r>
              <w:rPr>
                <w:rFonts w:ascii="Times New Roman" w:hAnsi="Times New Roman"/>
                <w:sz w:val="20"/>
              </w:rPr>
              <w:t>Chi phí bồi thường</w:t>
            </w:r>
          </w:p>
        </w:tc>
        <w:tc>
          <w:tcPr>
            <w:tcW w:type="dxa" w:w="4680"/>
          </w:tcPr>
          <w:p>
            <w:pPr>
              <w:spacing w:before="60" w:after="60"/>
            </w:pPr>
            <w:r>
              <w:rPr>
                <w:rFonts w:ascii="Times New Roman" w:hAnsi="Times New Roman"/>
                <w:sz w:val="20"/>
              </w:rPr>
              <w:t>Đơn vị gây sự cố tạm ứng2,4 tỷ VNDđể sửa chữa[^14]</w:t>
            </w:r>
          </w:p>
        </w:tc>
      </w:tr>
    </w:tbl>
    <w:p>
      <w:pPr>
        <w:spacing w:before="0" w:after="80"/>
      </w:pPr>
    </w:p>
    <w:p>
      <w:r>
        <w:rPr>
          <w:b/>
        </w:rPr>
        <w:t>Bài học then chốt:</w:t>
      </w:r>
      <w:r>
        <w:t xml:space="preserve"> Sự cố xảy ra khi đỉnh phụ tải mới chỉ đạt 110 MW. Khi nhu cầu tăng gấp đôi (xem Phần 2), sự cố tương tự sẽ gây hậu quả nặng nề gấp nhiều lần — đặc biệt nếu trùng thời điểm các sự kiện quốc tế như APEC 2027.</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2. Đánh giá rủi ro năng lượng cho danh mục đầu tư Sun Group</w:t>
      </w:r>
    </w:p>
    <w:p>
      <w:pPr>
        <w:pStyle w:val="Heading3"/>
        <w:spacing w:before="240" w:after="160"/>
      </w:pPr>
      <w:r>
        <w:rPr>
          <w:rFonts w:ascii="Times New Roman" w:hAnsi="Times New Roman" w:eastAsia="Times New Roman"/>
          <w:color w:val="1A1A2E"/>
          <w:sz w:val="32"/>
        </w:rPr>
        <w:t>2.1. Danh mục đầu tư tại Phú Quốc (2025-2027)</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Dự án</w:t>
            </w:r>
          </w:p>
        </w:tc>
        <w:tc>
          <w:tcPr>
            <w:tcW w:type="dxa" w:w="3120"/>
            <w:shd w:fill="E2E8F0" w:val="clear"/>
          </w:tcPr>
          <w:p>
            <w:pPr>
              <w:spacing w:before="60" w:after="60"/>
            </w:pPr>
            <w:r>
              <w:rPr>
                <w:rFonts w:ascii="Times New Roman" w:hAnsi="Times New Roman"/>
                <w:b/>
                <w:sz w:val="20"/>
              </w:rPr>
              <w:t>Quy mô</w:t>
            </w:r>
          </w:p>
        </w:tc>
        <w:tc>
          <w:tcPr>
            <w:tcW w:type="dxa" w:w="3120"/>
            <w:shd w:fill="E2E8F0" w:val="clear"/>
          </w:tcPr>
          <w:p>
            <w:pPr>
              <w:spacing w:before="60" w:after="60"/>
            </w:pPr>
            <w:r>
              <w:rPr>
                <w:rFonts w:ascii="Times New Roman" w:hAnsi="Times New Roman"/>
                <w:b/>
                <w:sz w:val="20"/>
              </w:rPr>
              <w:t>Dự kiến vận hành</w:t>
            </w:r>
          </w:p>
        </w:tc>
      </w:tr>
      <w:tr>
        <w:tc>
          <w:tcPr>
            <w:tcW w:type="dxa" w:w="3120"/>
          </w:tcPr>
          <w:p>
            <w:pPr>
              <w:spacing w:before="60" w:after="60"/>
            </w:pPr>
            <w:r>
              <w:rPr>
                <w:rFonts w:ascii="Times New Roman" w:hAnsi="Times New Roman"/>
                <w:sz w:val="20"/>
              </w:rPr>
              <w:t>Tổ hợp Bãi Đất Đỏ</w:t>
            </w:r>
          </w:p>
        </w:tc>
        <w:tc>
          <w:tcPr>
            <w:tcW w:type="dxa" w:w="3120"/>
          </w:tcPr>
          <w:p>
            <w:pPr>
              <w:spacing w:before="60" w:after="60"/>
            </w:pPr>
            <w:r>
              <w:rPr>
                <w:rFonts w:ascii="Times New Roman" w:hAnsi="Times New Roman"/>
                <w:sz w:val="20"/>
              </w:rPr>
              <w:t>15 tòa tháp 5 sao, 13 thương hiệu quốc tế, ~12.000 phòng</w:t>
            </w:r>
          </w:p>
        </w:tc>
        <w:tc>
          <w:tcPr>
            <w:tcW w:type="dxa" w:w="3120"/>
          </w:tcPr>
          <w:p>
            <w:pPr>
              <w:spacing w:before="60" w:after="60"/>
            </w:pPr>
            <w:r>
              <w:rPr>
                <w:rFonts w:ascii="Times New Roman" w:hAnsi="Times New Roman"/>
                <w:sz w:val="20"/>
              </w:rPr>
              <w:t>2026-2027</w:t>
            </w:r>
          </w:p>
        </w:tc>
      </w:tr>
      <w:tr>
        <w:tc>
          <w:tcPr>
            <w:tcW w:type="dxa" w:w="3120"/>
          </w:tcPr>
          <w:p>
            <w:pPr>
              <w:spacing w:before="60" w:after="60"/>
            </w:pPr>
            <w:r>
              <w:rPr>
                <w:rFonts w:ascii="Times New Roman" w:hAnsi="Times New Roman"/>
                <w:sz w:val="20"/>
              </w:rPr>
              <w:t>Núi Ông Quán</w:t>
            </w:r>
          </w:p>
        </w:tc>
        <w:tc>
          <w:tcPr>
            <w:tcW w:type="dxa" w:w="3120"/>
          </w:tcPr>
          <w:p>
            <w:pPr>
              <w:spacing w:before="60" w:after="60"/>
            </w:pPr>
            <w:r>
              <w:rPr>
                <w:rFonts w:ascii="Times New Roman" w:hAnsi="Times New Roman"/>
                <w:sz w:val="20"/>
              </w:rPr>
              <w:t>Khu du lịch nghỉ dưỡng</w:t>
            </w:r>
          </w:p>
        </w:tc>
        <w:tc>
          <w:tcPr>
            <w:tcW w:type="dxa" w:w="3120"/>
          </w:tcPr>
          <w:p>
            <w:pPr>
              <w:spacing w:before="60" w:after="60"/>
            </w:pPr>
            <w:r>
              <w:rPr>
                <w:rFonts w:ascii="Times New Roman" w:hAnsi="Times New Roman"/>
                <w:sz w:val="20"/>
              </w:rPr>
              <w:t>2026-2027</w:t>
            </w:r>
          </w:p>
        </w:tc>
      </w:tr>
      <w:tr>
        <w:tc>
          <w:tcPr>
            <w:tcW w:type="dxa" w:w="3120"/>
          </w:tcPr>
          <w:p>
            <w:pPr>
              <w:spacing w:before="60" w:after="60"/>
            </w:pPr>
            <w:r>
              <w:rPr>
                <w:rFonts w:ascii="Times New Roman" w:hAnsi="Times New Roman"/>
                <w:sz w:val="20"/>
              </w:rPr>
              <w:t>Sân bay Phú Quốc(mở rộng)</w:t>
            </w:r>
          </w:p>
        </w:tc>
        <w:tc>
          <w:tcPr>
            <w:tcW w:type="dxa" w:w="3120"/>
          </w:tcPr>
          <w:p>
            <w:pPr>
              <w:spacing w:before="60" w:after="60"/>
            </w:pPr>
            <w:r>
              <w:rPr>
                <w:rFonts w:ascii="Times New Roman" w:hAnsi="Times New Roman"/>
                <w:sz w:val="20"/>
              </w:rPr>
              <w:t>Nhà ga T2, đường băng thứ hai; Sun Airport vận hành từ 01/01/2026[^3]</w:t>
            </w:r>
          </w:p>
        </w:tc>
        <w:tc>
          <w:tcPr>
            <w:tcW w:type="dxa" w:w="3120"/>
          </w:tcPr>
          <w:p>
            <w:pPr>
              <w:spacing w:before="60" w:after="60"/>
            </w:pPr>
            <w:r>
              <w:rPr>
                <w:rFonts w:ascii="Times New Roman" w:hAnsi="Times New Roman"/>
                <w:sz w:val="20"/>
              </w:rPr>
              <w:t>2026-2027</w:t>
            </w:r>
          </w:p>
        </w:tc>
      </w:tr>
      <w:tr>
        <w:tc>
          <w:tcPr>
            <w:tcW w:type="dxa" w:w="3120"/>
          </w:tcPr>
          <w:p>
            <w:pPr>
              <w:spacing w:before="60" w:after="60"/>
            </w:pPr>
            <w:r>
              <w:rPr>
                <w:rFonts w:ascii="Times New Roman" w:hAnsi="Times New Roman"/>
                <w:sz w:val="20"/>
              </w:rPr>
              <w:t>Trung tâm Hội nghị APEC</w:t>
            </w:r>
          </w:p>
        </w:tc>
        <w:tc>
          <w:tcPr>
            <w:tcW w:type="dxa" w:w="3120"/>
          </w:tcPr>
          <w:p>
            <w:pPr>
              <w:spacing w:before="60" w:after="60"/>
            </w:pPr>
            <w:r>
              <w:rPr>
                <w:rFonts w:ascii="Times New Roman" w:hAnsi="Times New Roman"/>
                <w:sz w:val="20"/>
              </w:rPr>
              <w:t>6.500 chỗ + Nhà hát 4.000 chỗ</w:t>
            </w:r>
          </w:p>
        </w:tc>
        <w:tc>
          <w:tcPr>
            <w:tcW w:type="dxa" w:w="3120"/>
          </w:tcPr>
          <w:p>
            <w:pPr>
              <w:spacing w:before="60" w:after="60"/>
            </w:pPr>
            <w:r>
              <w:rPr>
                <w:rFonts w:ascii="Times New Roman" w:hAnsi="Times New Roman"/>
                <w:sz w:val="20"/>
              </w:rPr>
              <w:t>Trước 11/2027</w:t>
            </w:r>
          </w:p>
        </w:tc>
      </w:tr>
      <w:tr>
        <w:tc>
          <w:tcPr>
            <w:tcW w:type="dxa" w:w="3120"/>
          </w:tcPr>
          <w:p>
            <w:pPr>
              <w:spacing w:before="60" w:after="60"/>
            </w:pPr>
            <w:r>
              <w:rPr>
                <w:rFonts w:ascii="Times New Roman" w:hAnsi="Times New Roman"/>
                <w:sz w:val="20"/>
              </w:rPr>
              <w:t>Tàu điện LRT</w:t>
            </w:r>
          </w:p>
        </w:tc>
        <w:tc>
          <w:tcPr>
            <w:tcW w:type="dxa" w:w="3120"/>
          </w:tcPr>
          <w:p>
            <w:pPr>
              <w:spacing w:before="60" w:after="60"/>
            </w:pPr>
            <w:r>
              <w:rPr>
                <w:rFonts w:ascii="Times New Roman" w:hAnsi="Times New Roman"/>
                <w:sz w:val="20"/>
              </w:rPr>
              <w:t>Hệ thống vận tải hành khách điện</w:t>
            </w:r>
          </w:p>
        </w:tc>
        <w:tc>
          <w:tcPr>
            <w:tcW w:type="dxa" w:w="3120"/>
          </w:tcPr>
          <w:p>
            <w:pPr>
              <w:spacing w:before="60" w:after="60"/>
            </w:pPr>
            <w:r>
              <w:rPr>
                <w:rFonts w:ascii="Times New Roman" w:hAnsi="Times New Roman"/>
                <w:sz w:val="20"/>
              </w:rPr>
              <w:t>2027-2028</w:t>
            </w:r>
          </w:p>
        </w:tc>
      </w:tr>
      <w:tr>
        <w:tc>
          <w:tcPr>
            <w:tcW w:type="dxa" w:w="3120"/>
          </w:tcPr>
          <w:p>
            <w:pPr>
              <w:spacing w:before="60" w:after="60"/>
            </w:pPr>
            <w:r>
              <w:rPr>
                <w:rFonts w:ascii="Times New Roman" w:hAnsi="Times New Roman"/>
                <w:sz w:val="20"/>
              </w:rPr>
              <w:t>Tổng vốn đầu tư</w:t>
            </w:r>
          </w:p>
        </w:tc>
        <w:tc>
          <w:tcPr>
            <w:tcW w:type="dxa" w:w="3120"/>
          </w:tcPr>
          <w:p>
            <w:pPr>
              <w:spacing w:before="60" w:after="60"/>
            </w:pPr>
            <w:r>
              <w:rPr>
                <w:rFonts w:ascii="Times New Roman" w:hAnsi="Times New Roman"/>
                <w:sz w:val="20"/>
              </w:rPr>
              <w:t>~100.000 tỷ VND(~4 tỷ USD)</w:t>
            </w:r>
          </w:p>
        </w:tc>
        <w:tc>
          <w:tcPr>
            <w:tcW w:type="dxa" w:w="3120"/>
          </w:tcPr>
          <w:p>
            <w:pPr>
              <w:spacing w:before="60" w:after="60"/>
            </w:pPr>
            <w:r>
              <w:rPr>
                <w:rFonts w:ascii="Times New Roman" w:hAnsi="Times New Roman"/>
                <w:sz w:val="20"/>
              </w:rPr>
              <w:t>2025-2027</w:t>
            </w:r>
          </w:p>
        </w:tc>
      </w:tr>
    </w:tbl>
    <w:p>
      <w:pPr>
        <w:spacing w:before="0" w:after="80"/>
      </w:pPr>
    </w:p>
    <w:p>
      <w:pPr>
        <w:pStyle w:val="Heading3"/>
        <w:spacing w:before="240" w:after="160"/>
      </w:pPr>
      <w:r>
        <w:rPr>
          <w:rFonts w:ascii="Times New Roman" w:hAnsi="Times New Roman" w:eastAsia="Times New Roman"/>
          <w:color w:val="1A1A2E"/>
          <w:sz w:val="32"/>
        </w:rPr>
        <w:t>2.2. Kịch bản nhu cầu điện (chi tiết tính toán xem Phụ lục E)</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Cơ sở</w:t>
            </w:r>
          </w:p>
        </w:tc>
        <w:tc>
          <w:tcPr>
            <w:tcW w:type="dxa" w:w="2340"/>
            <w:shd w:fill="E2E8F0" w:val="clear"/>
          </w:tcPr>
          <w:p>
            <w:pPr>
              <w:spacing w:before="60" w:after="60"/>
            </w:pPr>
            <w:r>
              <w:rPr>
                <w:rFonts w:ascii="Times New Roman" w:hAnsi="Times New Roman"/>
                <w:b/>
                <w:sz w:val="20"/>
              </w:rPr>
              <w:t>MW peak</w:t>
            </w:r>
          </w:p>
        </w:tc>
        <w:tc>
          <w:tcPr>
            <w:tcW w:type="dxa" w:w="2340"/>
            <w:shd w:fill="E2E8F0" w:val="clear"/>
          </w:tcPr>
          <w:p>
            <w:pPr>
              <w:spacing w:before="60" w:after="60"/>
            </w:pPr>
            <w:r>
              <w:rPr>
                <w:rFonts w:ascii="Times New Roman" w:hAnsi="Times New Roman"/>
                <w:b/>
                <w:sz w:val="20"/>
              </w:rPr>
              <w:t>Triệu kWh/năm</w:t>
            </w:r>
          </w:p>
        </w:tc>
        <w:tc>
          <w:tcPr>
            <w:tcW w:type="dxa" w:w="2340"/>
            <w:shd w:fill="E2E8F0" w:val="clear"/>
          </w:tcPr>
          <w:p>
            <w:pPr>
              <w:spacing w:before="60" w:after="60"/>
            </w:pPr>
            <w:r>
              <w:rPr>
                <w:rFonts w:ascii="Times New Roman" w:hAnsi="Times New Roman"/>
                <w:b/>
                <w:sz w:val="20"/>
              </w:rPr>
              <w:t>Phương pháp</w:t>
            </w:r>
          </w:p>
        </w:tc>
      </w:tr>
      <w:tr>
        <w:tc>
          <w:tcPr>
            <w:tcW w:type="dxa" w:w="2340"/>
          </w:tcPr>
          <w:p>
            <w:pPr>
              <w:spacing w:before="60" w:after="60"/>
            </w:pPr>
            <w:r>
              <w:rPr>
                <w:rFonts w:ascii="Times New Roman" w:hAnsi="Times New Roman"/>
                <w:sz w:val="20"/>
              </w:rPr>
              <w:t>12.000 phòng 5 sao mới</w:t>
            </w:r>
          </w:p>
        </w:tc>
        <w:tc>
          <w:tcPr>
            <w:tcW w:type="dxa" w:w="2340"/>
          </w:tcPr>
          <w:p>
            <w:pPr>
              <w:spacing w:before="60" w:after="60"/>
            </w:pPr>
            <w:r>
              <w:rPr>
                <w:rFonts w:ascii="Times New Roman" w:hAnsi="Times New Roman"/>
                <w:sz w:val="20"/>
              </w:rPr>
              <w:t>36-48</w:t>
            </w:r>
          </w:p>
        </w:tc>
        <w:tc>
          <w:tcPr>
            <w:tcW w:type="dxa" w:w="2340"/>
          </w:tcPr>
          <w:p>
            <w:pPr>
              <w:spacing w:before="60" w:after="60"/>
            </w:pPr>
            <w:r>
              <w:rPr>
                <w:rFonts w:ascii="Times New Roman" w:hAnsi="Times New Roman"/>
                <w:sz w:val="20"/>
              </w:rPr>
              <w:t>144-180</w:t>
            </w:r>
          </w:p>
        </w:tc>
        <w:tc>
          <w:tcPr>
            <w:tcW w:type="dxa" w:w="2340"/>
          </w:tcPr>
          <w:p>
            <w:pPr>
              <w:spacing w:before="60" w:after="60"/>
            </w:pPr>
            <w:r>
              <w:rPr>
                <w:rFonts w:ascii="Times New Roman" w:hAnsi="Times New Roman"/>
                <w:sz w:val="20"/>
              </w:rPr>
              <w:t>3-4 kW/phòng[^15]</w:t>
            </w:r>
          </w:p>
        </w:tc>
      </w:tr>
      <w:tr>
        <w:tc>
          <w:tcPr>
            <w:tcW w:type="dxa" w:w="2340"/>
          </w:tcPr>
          <w:p>
            <w:pPr>
              <w:spacing w:before="60" w:after="60"/>
            </w:pPr>
            <w:r>
              <w:rPr>
                <w:rFonts w:ascii="Times New Roman" w:hAnsi="Times New Roman"/>
                <w:sz w:val="20"/>
              </w:rPr>
              <w:t>Sân bay mở rộng (T2 + đường băng 2)</w:t>
            </w:r>
          </w:p>
        </w:tc>
        <w:tc>
          <w:tcPr>
            <w:tcW w:type="dxa" w:w="2340"/>
          </w:tcPr>
          <w:p>
            <w:pPr>
              <w:spacing w:before="60" w:after="60"/>
            </w:pPr>
            <w:r>
              <w:rPr>
                <w:rFonts w:ascii="Times New Roman" w:hAnsi="Times New Roman"/>
                <w:sz w:val="20"/>
              </w:rPr>
              <w:t>8-12</w:t>
            </w:r>
          </w:p>
        </w:tc>
        <w:tc>
          <w:tcPr>
            <w:tcW w:type="dxa" w:w="2340"/>
          </w:tcPr>
          <w:p>
            <w:pPr>
              <w:spacing w:before="60" w:after="60"/>
            </w:pPr>
            <w:r>
              <w:rPr>
                <w:rFonts w:ascii="Times New Roman" w:hAnsi="Times New Roman"/>
                <w:sz w:val="20"/>
              </w:rPr>
              <w:t>28-42</w:t>
            </w:r>
          </w:p>
        </w:tc>
        <w:tc>
          <w:tcPr>
            <w:tcW w:type="dxa" w:w="2340"/>
          </w:tcPr>
          <w:p>
            <w:pPr>
              <w:spacing w:before="60" w:after="60"/>
            </w:pPr>
            <w:r>
              <w:rPr>
                <w:rFonts w:ascii="Times New Roman" w:hAnsi="Times New Roman"/>
                <w:sz w:val="20"/>
              </w:rPr>
              <w:t>200-350 kWh/m²/năm × ~120.000 m²[^16]</w:t>
            </w:r>
          </w:p>
        </w:tc>
      </w:tr>
      <w:tr>
        <w:tc>
          <w:tcPr>
            <w:tcW w:type="dxa" w:w="2340"/>
          </w:tcPr>
          <w:p>
            <w:pPr>
              <w:spacing w:before="60" w:after="60"/>
            </w:pPr>
            <w:r>
              <w:rPr>
                <w:rFonts w:ascii="Times New Roman" w:hAnsi="Times New Roman"/>
                <w:sz w:val="20"/>
              </w:rPr>
              <w:t>TTHH APEC + Nhà hát (10.500 chỗ)</w:t>
            </w:r>
          </w:p>
        </w:tc>
        <w:tc>
          <w:tcPr>
            <w:tcW w:type="dxa" w:w="2340"/>
          </w:tcPr>
          <w:p>
            <w:pPr>
              <w:spacing w:before="60" w:after="60"/>
            </w:pPr>
            <w:r>
              <w:rPr>
                <w:rFonts w:ascii="Times New Roman" w:hAnsi="Times New Roman"/>
                <w:sz w:val="20"/>
              </w:rPr>
              <w:t>5-8</w:t>
            </w:r>
          </w:p>
        </w:tc>
        <w:tc>
          <w:tcPr>
            <w:tcW w:type="dxa" w:w="2340"/>
          </w:tcPr>
          <w:p>
            <w:pPr>
              <w:spacing w:before="60" w:after="60"/>
            </w:pPr>
            <w:r>
              <w:rPr>
                <w:rFonts w:ascii="Times New Roman" w:hAnsi="Times New Roman"/>
                <w:sz w:val="20"/>
              </w:rPr>
              <w:t>8-13</w:t>
            </w:r>
          </w:p>
        </w:tc>
        <w:tc>
          <w:tcPr>
            <w:tcW w:type="dxa" w:w="2340"/>
          </w:tcPr>
          <w:p>
            <w:pPr>
              <w:spacing w:before="60" w:after="60"/>
            </w:pPr>
            <w:r>
              <w:rPr>
                <w:rFonts w:ascii="Times New Roman" w:hAnsi="Times New Roman"/>
                <w:sz w:val="20"/>
              </w:rPr>
              <w:t>0,5-0,8 kW/chỗ[^17]</w:t>
            </w:r>
          </w:p>
        </w:tc>
      </w:tr>
      <w:tr>
        <w:tc>
          <w:tcPr>
            <w:tcW w:type="dxa" w:w="2340"/>
          </w:tcPr>
          <w:p>
            <w:pPr>
              <w:spacing w:before="60" w:after="60"/>
            </w:pPr>
            <w:r>
              <w:rPr>
                <w:rFonts w:ascii="Times New Roman" w:hAnsi="Times New Roman"/>
                <w:sz w:val="20"/>
              </w:rPr>
              <w:t>Tàu điện LRT</w:t>
            </w:r>
          </w:p>
        </w:tc>
        <w:tc>
          <w:tcPr>
            <w:tcW w:type="dxa" w:w="2340"/>
          </w:tcPr>
          <w:p>
            <w:pPr>
              <w:spacing w:before="60" w:after="60"/>
            </w:pPr>
            <w:r>
              <w:rPr>
                <w:rFonts w:ascii="Times New Roman" w:hAnsi="Times New Roman"/>
                <w:sz w:val="20"/>
              </w:rPr>
              <w:t>3-5</w:t>
            </w:r>
          </w:p>
        </w:tc>
        <w:tc>
          <w:tcPr>
            <w:tcW w:type="dxa" w:w="2340"/>
          </w:tcPr>
          <w:p>
            <w:pPr>
              <w:spacing w:before="60" w:after="60"/>
            </w:pPr>
            <w:r>
              <w:rPr>
                <w:rFonts w:ascii="Times New Roman" w:hAnsi="Times New Roman"/>
                <w:sz w:val="20"/>
              </w:rPr>
              <w:t>10-16</w:t>
            </w:r>
          </w:p>
        </w:tc>
        <w:tc>
          <w:tcPr>
            <w:tcW w:type="dxa" w:w="2340"/>
          </w:tcPr>
          <w:p>
            <w:pPr>
              <w:spacing w:before="60" w:after="60"/>
            </w:pPr>
            <w:r>
              <w:rPr>
                <w:rFonts w:ascii="Times New Roman" w:hAnsi="Times New Roman"/>
                <w:sz w:val="20"/>
              </w:rPr>
              <w:t>1,5-5,5 MW/trạm biến áp × 2-3 trạm[^18]</w:t>
            </w:r>
          </w:p>
        </w:tc>
      </w:tr>
      <w:tr>
        <w:tc>
          <w:tcPr>
            <w:tcW w:type="dxa" w:w="2340"/>
          </w:tcPr>
          <w:p>
            <w:pPr>
              <w:spacing w:before="60" w:after="60"/>
            </w:pPr>
            <w:r>
              <w:rPr>
                <w:rFonts w:ascii="Times New Roman" w:hAnsi="Times New Roman"/>
                <w:sz w:val="20"/>
              </w:rPr>
              <w:t>Trạm sạc EV mở rộng</w:t>
            </w:r>
          </w:p>
        </w:tc>
        <w:tc>
          <w:tcPr>
            <w:tcW w:type="dxa" w:w="2340"/>
          </w:tcPr>
          <w:p>
            <w:pPr>
              <w:spacing w:before="60" w:after="60"/>
            </w:pPr>
            <w:r>
              <w:rPr>
                <w:rFonts w:ascii="Times New Roman" w:hAnsi="Times New Roman"/>
                <w:sz w:val="20"/>
              </w:rPr>
              <w:t>2-4</w:t>
            </w:r>
          </w:p>
        </w:tc>
        <w:tc>
          <w:tcPr>
            <w:tcW w:type="dxa" w:w="2340"/>
          </w:tcPr>
          <w:p>
            <w:pPr>
              <w:spacing w:before="60" w:after="60"/>
            </w:pPr>
            <w:r>
              <w:rPr>
                <w:rFonts w:ascii="Times New Roman" w:hAnsi="Times New Roman"/>
                <w:sz w:val="20"/>
              </w:rPr>
              <w:t>5-10</w:t>
            </w:r>
          </w:p>
        </w:tc>
        <w:tc>
          <w:tcPr>
            <w:tcW w:type="dxa" w:w="2340"/>
          </w:tcPr>
          <w:p>
            <w:pPr>
              <w:spacing w:before="60" w:after="60"/>
            </w:pPr>
            <w:r>
              <w:rPr>
                <w:rFonts w:ascii="Times New Roman" w:hAnsi="Times New Roman"/>
                <w:sz w:val="20"/>
              </w:rPr>
              <w:t>50-150 kW/trạm × 30-50 trạm[^19]</w:t>
            </w:r>
          </w:p>
        </w:tc>
      </w:tr>
      <w:tr>
        <w:tc>
          <w:tcPr>
            <w:tcW w:type="dxa" w:w="2340"/>
          </w:tcPr>
          <w:p>
            <w:pPr>
              <w:spacing w:before="60" w:after="60"/>
            </w:pPr>
            <w:r>
              <w:rPr>
                <w:rFonts w:ascii="Times New Roman" w:hAnsi="Times New Roman"/>
                <w:sz w:val="20"/>
              </w:rPr>
              <w:t>Khu thương mại + dịch vụ</w:t>
            </w:r>
          </w:p>
        </w:tc>
        <w:tc>
          <w:tcPr>
            <w:tcW w:type="dxa" w:w="2340"/>
          </w:tcPr>
          <w:p>
            <w:pPr>
              <w:spacing w:before="60" w:after="60"/>
            </w:pPr>
            <w:r>
              <w:rPr>
                <w:rFonts w:ascii="Times New Roman" w:hAnsi="Times New Roman"/>
                <w:sz w:val="20"/>
              </w:rPr>
              <w:t>3-5</w:t>
            </w:r>
          </w:p>
        </w:tc>
        <w:tc>
          <w:tcPr>
            <w:tcW w:type="dxa" w:w="2340"/>
          </w:tcPr>
          <w:p>
            <w:pPr>
              <w:spacing w:before="60" w:after="60"/>
            </w:pPr>
            <w:r>
              <w:rPr>
                <w:rFonts w:ascii="Times New Roman" w:hAnsi="Times New Roman"/>
                <w:sz w:val="20"/>
              </w:rPr>
              <w:t>10-16</w:t>
            </w:r>
          </w:p>
        </w:tc>
        <w:tc>
          <w:tcPr>
            <w:tcW w:type="dxa" w:w="2340"/>
          </w:tcPr>
          <w:p>
            <w:pPr>
              <w:spacing w:before="60" w:after="60"/>
            </w:pPr>
            <w:r>
              <w:rPr>
                <w:rFonts w:ascii="Times New Roman" w:hAnsi="Times New Roman"/>
                <w:sz w:val="20"/>
              </w:rPr>
              <w:t>150-250 kWh/m²/năm</w:t>
            </w:r>
          </w:p>
        </w:tc>
      </w:tr>
      <w:tr>
        <w:tc>
          <w:tcPr>
            <w:tcW w:type="dxa" w:w="2340"/>
          </w:tcPr>
          <w:p>
            <w:pPr>
              <w:spacing w:before="60" w:after="60"/>
            </w:pPr>
            <w:r>
              <w:rPr>
                <w:rFonts w:ascii="Times New Roman" w:hAnsi="Times New Roman"/>
                <w:sz w:val="20"/>
              </w:rPr>
              <w:t>Tổng bổ sung</w:t>
            </w:r>
          </w:p>
        </w:tc>
        <w:tc>
          <w:tcPr>
            <w:tcW w:type="dxa" w:w="2340"/>
          </w:tcPr>
          <w:p>
            <w:pPr>
              <w:spacing w:before="60" w:after="60"/>
            </w:pPr>
            <w:r>
              <w:rPr>
                <w:rFonts w:ascii="Times New Roman" w:hAnsi="Times New Roman"/>
                <w:sz w:val="20"/>
              </w:rPr>
              <w:t>57-82</w:t>
            </w:r>
          </w:p>
        </w:tc>
        <w:tc>
          <w:tcPr>
            <w:tcW w:type="dxa" w:w="2340"/>
          </w:tcPr>
          <w:p>
            <w:pPr>
              <w:spacing w:before="60" w:after="60"/>
            </w:pPr>
            <w:r>
              <w:rPr>
                <w:rFonts w:ascii="Times New Roman" w:hAnsi="Times New Roman"/>
                <w:sz w:val="20"/>
              </w:rPr>
              <w:t>205-277</w:t>
            </w:r>
          </w:p>
        </w:tc>
        <w:tc>
          <w:tcPr>
            <w:tcW w:type="dxa" w:w="2340"/>
          </w:tcPr>
          <w:p>
            <w:pPr>
              <w:spacing w:before="60" w:after="60"/>
            </w:pPr>
            <w:r>
              <w:rPr>
                <w:rFonts w:ascii="Times New Roman" w:hAnsi="Times New Roman"/>
                <w:sz w:val="20"/>
              </w:rPr>
            </w:r>
          </w:p>
        </w:tc>
      </w:tr>
    </w:tbl>
    <w:p>
      <w:pPr>
        <w:spacing w:before="0" w:after="80"/>
      </w:pPr>
    </w:p>
    <w:p>
      <w:r>
        <w:rPr>
          <w:b/>
        </w:rPr>
        <w:t>So sánh:</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Chỉ số</w:t>
            </w:r>
          </w:p>
        </w:tc>
        <w:tc>
          <w:tcPr>
            <w:tcW w:type="dxa" w:w="2340"/>
            <w:shd w:fill="E2E8F0" w:val="clear"/>
          </w:tcPr>
          <w:p>
            <w:pPr>
              <w:spacing w:before="60" w:after="60"/>
            </w:pPr>
            <w:r>
              <w:rPr>
                <w:rFonts w:ascii="Times New Roman" w:hAnsi="Times New Roman"/>
                <w:b/>
                <w:sz w:val="20"/>
              </w:rPr>
              <w:t>Hiện tại</w:t>
            </w:r>
          </w:p>
        </w:tc>
        <w:tc>
          <w:tcPr>
            <w:tcW w:type="dxa" w:w="2340"/>
            <w:shd w:fill="E2E8F0" w:val="clear"/>
          </w:tcPr>
          <w:p>
            <w:pPr>
              <w:spacing w:before="60" w:after="60"/>
            </w:pPr>
            <w:r>
              <w:rPr>
                <w:rFonts w:ascii="Times New Roman" w:hAnsi="Times New Roman"/>
                <w:b/>
                <w:sz w:val="20"/>
              </w:rPr>
              <w:t>Khi hoàn thành</w:t>
            </w:r>
          </w:p>
        </w:tc>
        <w:tc>
          <w:tcPr>
            <w:tcW w:type="dxa" w:w="2340"/>
            <w:shd w:fill="E2E8F0" w:val="clear"/>
          </w:tcPr>
          <w:p>
            <w:pPr>
              <w:spacing w:before="60" w:after="60"/>
            </w:pPr>
            <w:r>
              <w:rPr>
                <w:rFonts w:ascii="Times New Roman" w:hAnsi="Times New Roman"/>
                <w:b/>
                <w:sz w:val="20"/>
              </w:rPr>
              <w:t>Mức tăng</w:t>
            </w:r>
          </w:p>
        </w:tc>
      </w:tr>
      <w:tr>
        <w:tc>
          <w:tcPr>
            <w:tcW w:type="dxa" w:w="2340"/>
          </w:tcPr>
          <w:p>
            <w:pPr>
              <w:spacing w:before="60" w:after="60"/>
            </w:pPr>
            <w:r>
              <w:rPr>
                <w:rFonts w:ascii="Times New Roman" w:hAnsi="Times New Roman"/>
                <w:sz w:val="20"/>
              </w:rPr>
              <w:t>Đỉnh phụ tải</w:t>
            </w:r>
          </w:p>
        </w:tc>
        <w:tc>
          <w:tcPr>
            <w:tcW w:type="dxa" w:w="2340"/>
          </w:tcPr>
          <w:p>
            <w:pPr>
              <w:spacing w:before="60" w:after="60"/>
            </w:pPr>
            <w:r>
              <w:rPr>
                <w:rFonts w:ascii="Times New Roman" w:hAnsi="Times New Roman"/>
                <w:sz w:val="20"/>
              </w:rPr>
              <w:t>110 MW</w:t>
            </w:r>
          </w:p>
        </w:tc>
        <w:tc>
          <w:tcPr>
            <w:tcW w:type="dxa" w:w="2340"/>
          </w:tcPr>
          <w:p>
            <w:pPr>
              <w:spacing w:before="60" w:after="60"/>
            </w:pPr>
            <w:r>
              <w:rPr>
                <w:rFonts w:ascii="Times New Roman" w:hAnsi="Times New Roman"/>
                <w:sz w:val="20"/>
              </w:rPr>
              <w:t>167-192 MW</w:t>
            </w:r>
          </w:p>
        </w:tc>
        <w:tc>
          <w:tcPr>
            <w:tcW w:type="dxa" w:w="2340"/>
          </w:tcPr>
          <w:p>
            <w:pPr>
              <w:spacing w:before="60" w:after="60"/>
            </w:pPr>
            <w:r>
              <w:rPr>
                <w:rFonts w:ascii="Times New Roman" w:hAnsi="Times New Roman"/>
                <w:sz w:val="20"/>
              </w:rPr>
              <w:t>+52-75%</w:t>
            </w:r>
          </w:p>
        </w:tc>
      </w:tr>
      <w:tr>
        <w:tc>
          <w:tcPr>
            <w:tcW w:type="dxa" w:w="2340"/>
          </w:tcPr>
          <w:p>
            <w:pPr>
              <w:spacing w:before="60" w:after="60"/>
            </w:pPr>
            <w:r>
              <w:rPr>
                <w:rFonts w:ascii="Times New Roman" w:hAnsi="Times New Roman"/>
                <w:sz w:val="20"/>
              </w:rPr>
              <w:t>Tiêu thụ/năm</w:t>
            </w:r>
          </w:p>
        </w:tc>
        <w:tc>
          <w:tcPr>
            <w:tcW w:type="dxa" w:w="2340"/>
          </w:tcPr>
          <w:p>
            <w:pPr>
              <w:spacing w:before="60" w:after="60"/>
            </w:pPr>
            <w:r>
              <w:rPr>
                <w:rFonts w:ascii="Times New Roman" w:hAnsi="Times New Roman"/>
                <w:sz w:val="20"/>
              </w:rPr>
              <w:t>782 triệu kWh</w:t>
            </w:r>
          </w:p>
        </w:tc>
        <w:tc>
          <w:tcPr>
            <w:tcW w:type="dxa" w:w="2340"/>
          </w:tcPr>
          <w:p>
            <w:pPr>
              <w:spacing w:before="60" w:after="60"/>
            </w:pPr>
            <w:r>
              <w:rPr>
                <w:rFonts w:ascii="Times New Roman" w:hAnsi="Times New Roman"/>
                <w:sz w:val="20"/>
              </w:rPr>
              <w:t>987-1.059 triệu kWh</w:t>
            </w:r>
          </w:p>
        </w:tc>
        <w:tc>
          <w:tcPr>
            <w:tcW w:type="dxa" w:w="2340"/>
          </w:tcPr>
          <w:p>
            <w:pPr>
              <w:spacing w:before="60" w:after="60"/>
            </w:pPr>
            <w:r>
              <w:rPr>
                <w:rFonts w:ascii="Times New Roman" w:hAnsi="Times New Roman"/>
                <w:sz w:val="20"/>
              </w:rPr>
              <w:t>+26-35%</w:t>
            </w:r>
          </w:p>
        </w:tc>
      </w:tr>
    </w:tbl>
    <w:p>
      <w:pPr>
        <w:spacing w:before="0" w:after="80"/>
      </w:pPr>
    </w:p>
    <w:p>
      <w:pPr>
        <w:spacing w:before="80" w:after="80"/>
        <w:ind w:left="850"/>
        <w:pBdr>
          <w:left w:val="single" w:sz="18" w:space="8" w:color="D0D7DE"/>
        </w:pBdr>
      </w:pPr>
      <w:r>
        <w:rPr>
          <w:b/>
          <w:color w:val="6A737D"/>
        </w:rPr>
        <w:t>Kết luận:</w:t>
      </w:r>
      <w:r>
        <w:rPr>
          <w:color w:val="6A737D"/>
        </w:rPr>
        <w:t xml:space="preserve"> Nhu cầu điện tăng </w:t>
      </w:r>
      <w:r>
        <w:rPr>
          <w:b/>
          <w:color w:val="6A737D"/>
        </w:rPr>
        <w:t>50-75%</w:t>
      </w:r>
      <w:r>
        <w:rPr>
          <w:color w:val="6A737D"/>
        </w:rPr>
        <w:t xml:space="preserve"> chỉ từ dự án Sun Group — chưa tính tăng trưởng tự nhiên 11%/năm. Tổng nhu cầu thực tế có thể </w:t>
      </w:r>
      <w:r>
        <w:rPr>
          <w:b/>
          <w:color w:val="6A737D"/>
        </w:rPr>
        <w:t>gấp đôi</w:t>
      </w:r>
      <w:r>
        <w:rPr>
          <w:color w:val="6A737D"/>
        </w:rPr>
        <w:t xml:space="preserve"> vào 2028-2029.</w:t>
      </w:r>
    </w:p>
    <w:p>
      <w:pPr>
        <w:pStyle w:val="Heading3"/>
        <w:spacing w:before="240" w:after="160"/>
      </w:pPr>
      <w:r>
        <w:rPr>
          <w:rFonts w:ascii="Times New Roman" w:hAnsi="Times New Roman" w:eastAsia="Times New Roman"/>
          <w:color w:val="1A1A2E"/>
          <w:sz w:val="32"/>
        </w:rPr>
        <w:t>2.3. Ma trận rủi ro</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Cơ sở</w:t>
            </w:r>
          </w:p>
        </w:tc>
        <w:tc>
          <w:tcPr>
            <w:tcW w:type="dxa" w:w="1872"/>
            <w:shd w:fill="E2E8F0" w:val="clear"/>
          </w:tcPr>
          <w:p>
            <w:pPr>
              <w:spacing w:before="60" w:after="60"/>
            </w:pPr>
            <w:r>
              <w:rPr>
                <w:rFonts w:ascii="Times New Roman" w:hAnsi="Times New Roman"/>
                <w:b/>
                <w:sz w:val="20"/>
              </w:rPr>
              <w:t>Xác suất</w:t>
            </w:r>
          </w:p>
        </w:tc>
        <w:tc>
          <w:tcPr>
            <w:tcW w:type="dxa" w:w="1872"/>
            <w:shd w:fill="E2E8F0" w:val="clear"/>
          </w:tcPr>
          <w:p>
            <w:pPr>
              <w:spacing w:before="60" w:after="60"/>
            </w:pPr>
            <w:r>
              <w:rPr>
                <w:rFonts w:ascii="Times New Roman" w:hAnsi="Times New Roman"/>
                <w:b/>
                <w:sz w:val="20"/>
              </w:rPr>
              <w:t>Tác động</w:t>
            </w:r>
          </w:p>
        </w:tc>
        <w:tc>
          <w:tcPr>
            <w:tcW w:type="dxa" w:w="1872"/>
            <w:shd w:fill="E2E8F0" w:val="clear"/>
          </w:tcPr>
          <w:p>
            <w:pPr>
              <w:spacing w:before="60" w:after="60"/>
            </w:pPr>
            <w:r>
              <w:rPr>
                <w:rFonts w:ascii="Times New Roman" w:hAnsi="Times New Roman"/>
                <w:b/>
                <w:sz w:val="20"/>
              </w:rPr>
              <w:t>Rủi ro</w:t>
            </w:r>
          </w:p>
        </w:tc>
        <w:tc>
          <w:tcPr>
            <w:tcW w:type="dxa" w:w="1872"/>
            <w:shd w:fill="E2E8F0" w:val="clear"/>
          </w:tcPr>
          <w:p>
            <w:pPr>
              <w:spacing w:before="60" w:after="60"/>
            </w:pPr>
            <w:r>
              <w:rPr>
                <w:rFonts w:ascii="Times New Roman" w:hAnsi="Times New Roman"/>
                <w:b/>
                <w:sz w:val="20"/>
              </w:rPr>
              <w:t>Lý do</w:t>
            </w:r>
          </w:p>
        </w:tc>
      </w:tr>
      <w:tr>
        <w:tc>
          <w:tcPr>
            <w:tcW w:type="dxa" w:w="1872"/>
          </w:tcPr>
          <w:p>
            <w:pPr>
              <w:spacing w:before="60" w:after="60"/>
            </w:pPr>
            <w:r>
              <w:rPr>
                <w:rFonts w:ascii="Times New Roman" w:hAnsi="Times New Roman"/>
                <w:sz w:val="20"/>
              </w:rPr>
              <w:t>Sân bay</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Nghiêm trọng</w:t>
            </w:r>
          </w:p>
        </w:tc>
        <w:tc>
          <w:tcPr>
            <w:tcW w:type="dxa" w:w="1872"/>
          </w:tcPr>
          <w:p>
            <w:pPr>
              <w:spacing w:before="60" w:after="60"/>
            </w:pPr>
            <w:r>
              <w:rPr>
                <w:rFonts w:ascii="Times New Roman" w:hAnsi="Times New Roman"/>
                <w:sz w:val="20"/>
              </w:rPr>
              <w:t>🔴 Cực cao</w:t>
            </w:r>
          </w:p>
        </w:tc>
        <w:tc>
          <w:tcPr>
            <w:tcW w:type="dxa" w:w="1872"/>
          </w:tcPr>
          <w:p>
            <w:pPr>
              <w:spacing w:before="60" w:after="60"/>
            </w:pPr>
            <w:r>
              <w:rPr>
                <w:rFonts w:ascii="Times New Roman" w:hAnsi="Times New Roman"/>
                <w:sz w:val="20"/>
              </w:rPr>
              <w:t>Mất điện = đóng sân bay, hủy hàng trăm chuyến</w:t>
            </w:r>
          </w:p>
        </w:tc>
      </w:tr>
      <w:tr>
        <w:tc>
          <w:tcPr>
            <w:tcW w:type="dxa" w:w="1872"/>
          </w:tcPr>
          <w:p>
            <w:pPr>
              <w:spacing w:before="60" w:after="60"/>
            </w:pPr>
            <w:r>
              <w:rPr>
                <w:rFonts w:ascii="Times New Roman" w:hAnsi="Times New Roman"/>
                <w:sz w:val="20"/>
              </w:rPr>
              <w:t>TTHH APEC</w:t>
            </w:r>
          </w:p>
        </w:tc>
        <w:tc>
          <w:tcPr>
            <w:tcW w:type="dxa" w:w="1872"/>
          </w:tcPr>
          <w:p>
            <w:pPr>
              <w:spacing w:before="60" w:after="60"/>
            </w:pPr>
            <w:r>
              <w:rPr>
                <w:rFonts w:ascii="Times New Roman" w:hAnsi="Times New Roman"/>
                <w:sz w:val="20"/>
              </w:rPr>
              <w:t>TB</w:t>
            </w:r>
          </w:p>
        </w:tc>
        <w:tc>
          <w:tcPr>
            <w:tcW w:type="dxa" w:w="1872"/>
          </w:tcPr>
          <w:p>
            <w:pPr>
              <w:spacing w:before="60" w:after="60"/>
            </w:pPr>
            <w:r>
              <w:rPr>
                <w:rFonts w:ascii="Times New Roman" w:hAnsi="Times New Roman"/>
                <w:sz w:val="20"/>
              </w:rPr>
              <w:t>Nghiêm trọng</w:t>
            </w:r>
          </w:p>
        </w:tc>
        <w:tc>
          <w:tcPr>
            <w:tcW w:type="dxa" w:w="1872"/>
          </w:tcPr>
          <w:p>
            <w:pPr>
              <w:spacing w:before="60" w:after="60"/>
            </w:pPr>
            <w:r>
              <w:rPr>
                <w:rFonts w:ascii="Times New Roman" w:hAnsi="Times New Roman"/>
                <w:sz w:val="20"/>
              </w:rPr>
              <w:t>🔴 Cực cao</w:t>
            </w:r>
          </w:p>
        </w:tc>
        <w:tc>
          <w:tcPr>
            <w:tcW w:type="dxa" w:w="1872"/>
          </w:tcPr>
          <w:p>
            <w:pPr>
              <w:spacing w:before="60" w:after="60"/>
            </w:pPr>
            <w:r>
              <w:rPr>
                <w:rFonts w:ascii="Times New Roman" w:hAnsi="Times New Roman"/>
                <w:sz w:val="20"/>
              </w:rPr>
              <w:t>Phái đoàn 21 nền kinh tế — uy tín quốc gia</w:t>
            </w:r>
          </w:p>
        </w:tc>
      </w:tr>
      <w:tr>
        <w:tc>
          <w:tcPr>
            <w:tcW w:type="dxa" w:w="1872"/>
          </w:tcPr>
          <w:p>
            <w:pPr>
              <w:spacing w:before="60" w:after="60"/>
            </w:pPr>
            <w:r>
              <w:rPr>
                <w:rFonts w:ascii="Times New Roman" w:hAnsi="Times New Roman"/>
                <w:sz w:val="20"/>
              </w:rPr>
              <w:t>12.000 phòng 5 sao</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 Rất cao</w:t>
            </w:r>
          </w:p>
        </w:tc>
        <w:tc>
          <w:tcPr>
            <w:tcW w:type="dxa" w:w="1872"/>
          </w:tcPr>
          <w:p>
            <w:pPr>
              <w:spacing w:before="60" w:after="60"/>
            </w:pPr>
            <w:r>
              <w:rPr>
                <w:rFonts w:ascii="Times New Roman" w:hAnsi="Times New Roman"/>
                <w:sz w:val="20"/>
              </w:rPr>
              <w:t>13 thương hiệu quốc tế — hủy booking, bồi thường</w:t>
            </w:r>
          </w:p>
        </w:tc>
      </w:tr>
      <w:tr>
        <w:tc>
          <w:tcPr>
            <w:tcW w:type="dxa" w:w="1872"/>
          </w:tcPr>
          <w:p>
            <w:pPr>
              <w:spacing w:before="60" w:after="60"/>
            </w:pPr>
            <w:r>
              <w:rPr>
                <w:rFonts w:ascii="Times New Roman" w:hAnsi="Times New Roman"/>
                <w:sz w:val="20"/>
              </w:rPr>
              <w:t>Tàu điện LRT</w:t>
            </w:r>
          </w:p>
        </w:tc>
        <w:tc>
          <w:tcPr>
            <w:tcW w:type="dxa" w:w="1872"/>
          </w:tcPr>
          <w:p>
            <w:pPr>
              <w:spacing w:before="60" w:after="60"/>
            </w:pPr>
            <w:r>
              <w:rPr>
                <w:rFonts w:ascii="Times New Roman" w:hAnsi="Times New Roman"/>
                <w:sz w:val="20"/>
              </w:rPr>
              <w:t>TB</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 Rất cao</w:t>
            </w:r>
          </w:p>
        </w:tc>
        <w:tc>
          <w:tcPr>
            <w:tcW w:type="dxa" w:w="1872"/>
          </w:tcPr>
          <w:p>
            <w:pPr>
              <w:spacing w:before="60" w:after="60"/>
            </w:pPr>
            <w:r>
              <w:rPr>
                <w:rFonts w:ascii="Times New Roman" w:hAnsi="Times New Roman"/>
                <w:sz w:val="20"/>
              </w:rPr>
              <w:t>Kẹt tàu, rủi ro an toàn hành khách</w:t>
            </w:r>
          </w:p>
        </w:tc>
      </w:tr>
      <w:tr>
        <w:tc>
          <w:tcPr>
            <w:tcW w:type="dxa" w:w="1872"/>
          </w:tcPr>
          <w:p>
            <w:pPr>
              <w:spacing w:before="60" w:after="60"/>
            </w:pPr>
            <w:r>
              <w:rPr>
                <w:rFonts w:ascii="Times New Roman" w:hAnsi="Times New Roman"/>
                <w:sz w:val="20"/>
              </w:rPr>
              <w:t>Khu thương mại</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TB</w:t>
            </w:r>
          </w:p>
        </w:tc>
        <w:tc>
          <w:tcPr>
            <w:tcW w:type="dxa" w:w="1872"/>
          </w:tcPr>
          <w:p>
            <w:pPr>
              <w:spacing w:before="60" w:after="60"/>
            </w:pPr>
            <w:r>
              <w:rPr>
                <w:rFonts w:ascii="Times New Roman" w:hAnsi="Times New Roman"/>
                <w:sz w:val="20"/>
              </w:rPr>
              <w:t>🟡 Cao</w:t>
            </w:r>
          </w:p>
        </w:tc>
        <w:tc>
          <w:tcPr>
            <w:tcW w:type="dxa" w:w="1872"/>
          </w:tcPr>
          <w:p>
            <w:pPr>
              <w:spacing w:before="60" w:after="60"/>
            </w:pPr>
            <w:r>
              <w:rPr>
                <w:rFonts w:ascii="Times New Roman" w:hAnsi="Times New Roman"/>
                <w:sz w:val="20"/>
              </w:rPr>
              <w:t>Gián đoạn kinh doanh</w:t>
            </w:r>
          </w:p>
        </w:tc>
      </w:tr>
    </w:tbl>
    <w:p>
      <w:pPr>
        <w:spacing w:before="0" w:after="80"/>
      </w:pPr>
    </w:p>
    <w:p>
      <w:pPr>
        <w:pStyle w:val="Heading3"/>
        <w:spacing w:before="240" w:after="160"/>
      </w:pPr>
      <w:r>
        <w:rPr>
          <w:rFonts w:ascii="Times New Roman" w:hAnsi="Times New Roman" w:eastAsia="Times New Roman"/>
          <w:color w:val="1A1A2E"/>
          <w:sz w:val="32"/>
        </w:rPr>
        <w:t>2.4. Chi phí ẩn của sự phụ thuộc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Loại chi phí</w:t>
            </w:r>
          </w:p>
        </w:tc>
        <w:tc>
          <w:tcPr>
            <w:tcW w:type="dxa" w:w="3120"/>
            <w:shd w:fill="E2E8F0" w:val="clear"/>
          </w:tcPr>
          <w:p>
            <w:pPr>
              <w:spacing w:before="60" w:after="60"/>
            </w:pPr>
            <w:r>
              <w:rPr>
                <w:rFonts w:ascii="Times New Roman" w:hAnsi="Times New Roman"/>
                <w:b/>
                <w:sz w:val="20"/>
              </w:rPr>
              <w:t>Ước tính</w:t>
            </w:r>
          </w:p>
        </w:tc>
        <w:tc>
          <w:tcPr>
            <w:tcW w:type="dxa" w:w="3120"/>
            <w:shd w:fill="E2E8F0" w:val="clear"/>
          </w:tcPr>
          <w:p>
            <w:pPr>
              <w:spacing w:before="60" w:after="60"/>
            </w:pPr>
            <w:r>
              <w:rPr>
                <w:rFonts w:ascii="Times New Roman" w:hAnsi="Times New Roman"/>
                <w:b/>
                <w:sz w:val="20"/>
              </w:rPr>
              <w:t>Cơ sở</w:t>
            </w:r>
          </w:p>
        </w:tc>
      </w:tr>
      <w:tr>
        <w:tc>
          <w:tcPr>
            <w:tcW w:type="dxa" w:w="3120"/>
          </w:tcPr>
          <w:p>
            <w:pPr>
              <w:spacing w:before="60" w:after="60"/>
            </w:pPr>
            <w:r>
              <w:rPr>
                <w:rFonts w:ascii="Times New Roman" w:hAnsi="Times New Roman"/>
                <w:sz w:val="20"/>
              </w:rPr>
              <w:t>Máy phát diesel khẩn cấp</w:t>
            </w:r>
          </w:p>
        </w:tc>
        <w:tc>
          <w:tcPr>
            <w:tcW w:type="dxa" w:w="3120"/>
          </w:tcPr>
          <w:p>
            <w:pPr>
              <w:spacing w:before="60" w:after="60"/>
            </w:pPr>
            <w:r>
              <w:rPr>
                <w:rFonts w:ascii="Times New Roman" w:hAnsi="Times New Roman"/>
                <w:sz w:val="20"/>
              </w:rPr>
              <w:t>32 triệu VND/máy/ngày[^3]</w:t>
            </w:r>
          </w:p>
        </w:tc>
        <w:tc>
          <w:tcPr>
            <w:tcW w:type="dxa" w:w="3120"/>
          </w:tcPr>
          <w:p>
            <w:pPr>
              <w:spacing w:before="60" w:after="60"/>
            </w:pPr>
            <w:r>
              <w:rPr>
                <w:rFonts w:ascii="Times New Roman" w:hAnsi="Times New Roman"/>
                <w:sz w:val="20"/>
              </w:rPr>
              <w:t>Sự cố 11/2025</w:t>
            </w:r>
          </w:p>
        </w:tc>
      </w:tr>
      <w:tr>
        <w:tc>
          <w:tcPr>
            <w:tcW w:type="dxa" w:w="3120"/>
          </w:tcPr>
          <w:p>
            <w:pPr>
              <w:spacing w:before="60" w:after="60"/>
            </w:pPr>
            <w:r>
              <w:rPr>
                <w:rFonts w:ascii="Times New Roman" w:hAnsi="Times New Roman"/>
                <w:sz w:val="20"/>
              </w:rPr>
              <w:t>Hủy booking khách sạn</w:t>
            </w:r>
          </w:p>
        </w:tc>
        <w:tc>
          <w:tcPr>
            <w:tcW w:type="dxa" w:w="3120"/>
          </w:tcPr>
          <w:p>
            <w:pPr>
              <w:spacing w:before="60" w:after="60"/>
            </w:pPr>
            <w:r>
              <w:rPr>
                <w:rFonts w:ascii="Times New Roman" w:hAnsi="Times New Roman"/>
                <w:sz w:val="20"/>
              </w:rPr>
              <w:t>5-15% doanh thu tuần mất điện</w:t>
            </w:r>
          </w:p>
        </w:tc>
        <w:tc>
          <w:tcPr>
            <w:tcW w:type="dxa" w:w="3120"/>
          </w:tcPr>
          <w:p>
            <w:pPr>
              <w:spacing w:before="60" w:after="60"/>
            </w:pPr>
            <w:r>
              <w:rPr>
                <w:rFonts w:ascii="Times New Roman" w:hAnsi="Times New Roman"/>
                <w:sz w:val="20"/>
              </w:rPr>
              <w:t>Benchmark hospitality</w:t>
            </w:r>
          </w:p>
        </w:tc>
      </w:tr>
      <w:tr>
        <w:tc>
          <w:tcPr>
            <w:tcW w:type="dxa" w:w="3120"/>
          </w:tcPr>
          <w:p>
            <w:pPr>
              <w:spacing w:before="60" w:after="60"/>
            </w:pPr>
            <w:r>
              <w:rPr>
                <w:rFonts w:ascii="Times New Roman" w:hAnsi="Times New Roman"/>
                <w:sz w:val="20"/>
              </w:rPr>
              <w:t>Bồi thường thương hiệu</w:t>
            </w:r>
          </w:p>
        </w:tc>
        <w:tc>
          <w:tcPr>
            <w:tcW w:type="dxa" w:w="3120"/>
          </w:tcPr>
          <w:p>
            <w:pPr>
              <w:spacing w:before="60" w:after="60"/>
            </w:pPr>
            <w:r>
              <w:rPr>
                <w:rFonts w:ascii="Times New Roman" w:hAnsi="Times New Roman"/>
                <w:sz w:val="20"/>
              </w:rPr>
              <w:t>Điều khoản force majeure trong hợp đồng quản lý</w:t>
            </w:r>
          </w:p>
        </w:tc>
        <w:tc>
          <w:tcPr>
            <w:tcW w:type="dxa" w:w="3120"/>
          </w:tcPr>
          <w:p>
            <w:pPr>
              <w:spacing w:before="60" w:after="60"/>
            </w:pPr>
            <w:r>
              <w:rPr>
                <w:rFonts w:ascii="Times New Roman" w:hAnsi="Times New Roman"/>
                <w:sz w:val="20"/>
              </w:rPr>
              <w:t>13 thương hiệu</w:t>
            </w:r>
          </w:p>
        </w:tc>
      </w:tr>
      <w:tr>
        <w:tc>
          <w:tcPr>
            <w:tcW w:type="dxa" w:w="3120"/>
          </w:tcPr>
          <w:p>
            <w:pPr>
              <w:spacing w:before="60" w:after="60"/>
            </w:pPr>
            <w:r>
              <w:rPr>
                <w:rFonts w:ascii="Times New Roman" w:hAnsi="Times New Roman"/>
                <w:sz w:val="20"/>
              </w:rPr>
              <w:t>Bảo hiểm tài sản tăng</w:t>
            </w:r>
          </w:p>
        </w:tc>
        <w:tc>
          <w:tcPr>
            <w:tcW w:type="dxa" w:w="3120"/>
          </w:tcPr>
          <w:p>
            <w:pPr>
              <w:spacing w:before="60" w:after="60"/>
            </w:pPr>
            <w:r>
              <w:rPr>
                <w:rFonts w:ascii="Times New Roman" w:hAnsi="Times New Roman"/>
                <w:sz w:val="20"/>
              </w:rPr>
              <w:t>+15-30% phí cho vùng rủi ro điện cao</w:t>
            </w:r>
          </w:p>
        </w:tc>
        <w:tc>
          <w:tcPr>
            <w:tcW w:type="dxa" w:w="3120"/>
          </w:tcPr>
          <w:p>
            <w:pPr>
              <w:spacing w:before="60" w:after="60"/>
            </w:pPr>
            <w:r>
              <w:rPr>
                <w:rFonts w:ascii="Times New Roman" w:hAnsi="Times New Roman"/>
                <w:sz w:val="20"/>
              </w:rPr>
              <w:t>Thông lệ ngành</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3. Giải pháp đề xuất — Phát điện &amp; lưu trữ tại chỗ</w:t>
      </w:r>
    </w:p>
    <w:p>
      <w:pPr>
        <w:pStyle w:val="Heading3"/>
        <w:spacing w:before="240" w:after="160"/>
      </w:pPr>
      <w:r>
        <w:rPr>
          <w:rFonts w:ascii="Times New Roman" w:hAnsi="Times New Roman" w:eastAsia="Times New Roman"/>
          <w:color w:val="1A1A2E"/>
          <w:sz w:val="32"/>
        </w:rPr>
        <w:t>3.1. Pin lưu trữ năng lượng (BESS) — “Bảo hiểm điện”</w:t>
      </w:r>
    </w:p>
    <w:p>
      <w:r>
        <w:rPr>
          <w:b/>
        </w:rPr>
        <w:t>So sánh BESS vs. Máy phát diesel:</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Tiêu chí</w:t>
            </w:r>
          </w:p>
        </w:tc>
        <w:tc>
          <w:tcPr>
            <w:tcW w:type="dxa" w:w="3120"/>
            <w:shd w:fill="E2E8F0" w:val="clear"/>
          </w:tcPr>
          <w:p>
            <w:pPr>
              <w:spacing w:before="60" w:after="60"/>
            </w:pPr>
            <w:r>
              <w:rPr>
                <w:rFonts w:ascii="Times New Roman" w:hAnsi="Times New Roman"/>
                <w:b/>
                <w:sz w:val="20"/>
              </w:rPr>
              <w:t>Diesel</w:t>
            </w:r>
          </w:p>
        </w:tc>
        <w:tc>
          <w:tcPr>
            <w:tcW w:type="dxa" w:w="3120"/>
            <w:shd w:fill="E2E8F0" w:val="clear"/>
          </w:tcPr>
          <w:p>
            <w:pPr>
              <w:spacing w:before="60" w:after="60"/>
            </w:pPr>
            <w:r>
              <w:rPr>
                <w:rFonts w:ascii="Times New Roman" w:hAnsi="Times New Roman"/>
                <w:b/>
                <w:sz w:val="20"/>
              </w:rPr>
              <w:t>BESS</w:t>
            </w:r>
          </w:p>
        </w:tc>
      </w:tr>
      <w:tr>
        <w:tc>
          <w:tcPr>
            <w:tcW w:type="dxa" w:w="3120"/>
          </w:tcPr>
          <w:p>
            <w:pPr>
              <w:spacing w:before="60" w:after="60"/>
            </w:pPr>
            <w:r>
              <w:rPr>
                <w:rFonts w:ascii="Times New Roman" w:hAnsi="Times New Roman"/>
                <w:sz w:val="20"/>
              </w:rPr>
              <w:t>Chuyển mạch</w:t>
            </w:r>
          </w:p>
        </w:tc>
        <w:tc>
          <w:tcPr>
            <w:tcW w:type="dxa" w:w="3120"/>
          </w:tcPr>
          <w:p>
            <w:pPr>
              <w:spacing w:before="60" w:after="60"/>
            </w:pPr>
            <w:r>
              <w:rPr>
                <w:rFonts w:ascii="Times New Roman" w:hAnsi="Times New Roman"/>
                <w:sz w:val="20"/>
              </w:rPr>
              <w:t>30 giây – 2 phút</w:t>
            </w:r>
          </w:p>
        </w:tc>
        <w:tc>
          <w:tcPr>
            <w:tcW w:type="dxa" w:w="3120"/>
          </w:tcPr>
          <w:p>
            <w:pPr>
              <w:spacing w:before="60" w:after="60"/>
            </w:pPr>
            <w:r>
              <w:rPr>
                <w:rFonts w:ascii="Times New Roman" w:hAnsi="Times New Roman"/>
                <w:sz w:val="20"/>
              </w:rPr>
              <w:t>&lt; 20 mili-giây</w:t>
            </w:r>
          </w:p>
        </w:tc>
      </w:tr>
      <w:tr>
        <w:tc>
          <w:tcPr>
            <w:tcW w:type="dxa" w:w="3120"/>
          </w:tcPr>
          <w:p>
            <w:pPr>
              <w:spacing w:before="60" w:after="60"/>
            </w:pPr>
            <w:r>
              <w:rPr>
                <w:rFonts w:ascii="Times New Roman" w:hAnsi="Times New Roman"/>
                <w:sz w:val="20"/>
              </w:rPr>
              <w:t>Chi phí vận hành</w:t>
            </w:r>
          </w:p>
        </w:tc>
        <w:tc>
          <w:tcPr>
            <w:tcW w:type="dxa" w:w="3120"/>
          </w:tcPr>
          <w:p>
            <w:pPr>
              <w:spacing w:before="60" w:after="60"/>
            </w:pPr>
            <w:r>
              <w:rPr>
                <w:rFonts w:ascii="Times New Roman" w:hAnsi="Times New Roman"/>
                <w:sz w:val="20"/>
              </w:rPr>
              <w:t>32 triệu VND/ngày + nhiên liệu[^3]</w:t>
            </w:r>
          </w:p>
        </w:tc>
        <w:tc>
          <w:tcPr>
            <w:tcW w:type="dxa" w:w="3120"/>
          </w:tcPr>
          <w:p>
            <w:pPr>
              <w:spacing w:before="60" w:after="60"/>
            </w:pPr>
            <w:r>
              <w:rPr>
                <w:rFonts w:ascii="Times New Roman" w:hAnsi="Times New Roman"/>
                <w:sz w:val="20"/>
              </w:rPr>
              <w:t>Gần bằng 0</w:t>
            </w:r>
          </w:p>
        </w:tc>
      </w:tr>
      <w:tr>
        <w:tc>
          <w:tcPr>
            <w:tcW w:type="dxa" w:w="3120"/>
          </w:tcPr>
          <w:p>
            <w:pPr>
              <w:spacing w:before="60" w:after="60"/>
            </w:pPr>
            <w:r>
              <w:rPr>
                <w:rFonts w:ascii="Times New Roman" w:hAnsi="Times New Roman"/>
                <w:sz w:val="20"/>
              </w:rPr>
              <w:t>Phát thải CO₂</w:t>
            </w:r>
          </w:p>
        </w:tc>
        <w:tc>
          <w:tcPr>
            <w:tcW w:type="dxa" w:w="3120"/>
          </w:tcPr>
          <w:p>
            <w:pPr>
              <w:spacing w:before="60" w:after="60"/>
            </w:pPr>
            <w:r>
              <w:rPr>
                <w:rFonts w:ascii="Times New Roman" w:hAnsi="Times New Roman"/>
                <w:sz w:val="20"/>
              </w:rPr>
              <w:t>Cao</w:t>
            </w:r>
          </w:p>
        </w:tc>
        <w:tc>
          <w:tcPr>
            <w:tcW w:type="dxa" w:w="3120"/>
          </w:tcPr>
          <w:p>
            <w:pPr>
              <w:spacing w:before="60" w:after="60"/>
            </w:pPr>
            <w:r>
              <w:rPr>
                <w:rFonts w:ascii="Times New Roman" w:hAnsi="Times New Roman"/>
                <w:sz w:val="20"/>
              </w:rPr>
              <w:t>Không</w:t>
            </w:r>
          </w:p>
        </w:tc>
      </w:tr>
      <w:tr>
        <w:tc>
          <w:tcPr>
            <w:tcW w:type="dxa" w:w="3120"/>
          </w:tcPr>
          <w:p>
            <w:pPr>
              <w:spacing w:before="60" w:after="60"/>
            </w:pPr>
            <w:r>
              <w:rPr>
                <w:rFonts w:ascii="Times New Roman" w:hAnsi="Times New Roman"/>
                <w:sz w:val="20"/>
              </w:rPr>
              <w:t>Tiếng ồn</w:t>
            </w:r>
          </w:p>
        </w:tc>
        <w:tc>
          <w:tcPr>
            <w:tcW w:type="dxa" w:w="3120"/>
          </w:tcPr>
          <w:p>
            <w:pPr>
              <w:spacing w:before="60" w:after="60"/>
            </w:pPr>
            <w:r>
              <w:rPr>
                <w:rFonts w:ascii="Times New Roman" w:hAnsi="Times New Roman"/>
                <w:sz w:val="20"/>
              </w:rPr>
              <w:t>Lớn (không phù hợp resort)</w:t>
            </w:r>
          </w:p>
        </w:tc>
        <w:tc>
          <w:tcPr>
            <w:tcW w:type="dxa" w:w="3120"/>
          </w:tcPr>
          <w:p>
            <w:pPr>
              <w:spacing w:before="60" w:after="60"/>
            </w:pPr>
            <w:r>
              <w:rPr>
                <w:rFonts w:ascii="Times New Roman" w:hAnsi="Times New Roman"/>
                <w:sz w:val="20"/>
              </w:rPr>
              <w:t>Im lặng</w:t>
            </w:r>
          </w:p>
        </w:tc>
      </w:tr>
      <w:tr>
        <w:tc>
          <w:tcPr>
            <w:tcW w:type="dxa" w:w="3120"/>
          </w:tcPr>
          <w:p>
            <w:pPr>
              <w:spacing w:before="60" w:after="60"/>
            </w:pPr>
            <w:r>
              <w:rPr>
                <w:rFonts w:ascii="Times New Roman" w:hAnsi="Times New Roman"/>
                <w:sz w:val="20"/>
              </w:rPr>
              <w:t>Cấp điện liên tục</w:t>
            </w:r>
          </w:p>
        </w:tc>
        <w:tc>
          <w:tcPr>
            <w:tcW w:type="dxa" w:w="3120"/>
          </w:tcPr>
          <w:p>
            <w:pPr>
              <w:spacing w:before="60" w:after="60"/>
            </w:pPr>
            <w:r>
              <w:rPr>
                <w:rFonts w:ascii="Times New Roman" w:hAnsi="Times New Roman"/>
                <w:sz w:val="20"/>
              </w:rPr>
              <w:t>Phụ thuộc nhiên liệu</w:t>
            </w:r>
          </w:p>
        </w:tc>
        <w:tc>
          <w:tcPr>
            <w:tcW w:type="dxa" w:w="3120"/>
          </w:tcPr>
          <w:p>
            <w:pPr>
              <w:spacing w:before="60" w:after="60"/>
            </w:pPr>
            <w:r>
              <w:rPr>
                <w:rFonts w:ascii="Times New Roman" w:hAnsi="Times New Roman"/>
                <w:sz w:val="20"/>
              </w:rPr>
              <w:t>2-8 giờ</w:t>
            </w:r>
          </w:p>
        </w:tc>
      </w:tr>
    </w:tbl>
    <w:p>
      <w:pPr>
        <w:spacing w:before="0" w:after="80"/>
      </w:pPr>
    </w:p>
    <w:p>
      <w:r>
        <w:rPr>
          <w:b/>
        </w:rPr>
        <w:t>Tiền lệ — Vinpearl Nha Trang (12/2024):</w:t>
      </w:r>
      <w:r>
        <w:t xml:space="preserve"> Marubeni + VinFast Energy khánh thành BESS </w:t>
      </w:r>
      <w:r>
        <w:rPr>
          <w:b/>
        </w:rPr>
        <w:t>1,8 MW / 3,7 MWh</w:t>
      </w:r>
      <w:r>
        <w:t xml:space="preserve"> tại Hòn Tre[^20]. Mô hình ba bên — Vinpearl không bỏ vốn, Marubeni đầu tư và vận hành, VinFast sản xuất pin.</w:t>
      </w:r>
    </w:p>
    <w:p>
      <w:r>
        <w:rPr>
          <w:b/>
        </w:rPr>
        <w:t>Chuỗi cung ứng nội địa:</w:t>
      </w:r>
      <w:r>
        <w:t xml:space="preserve"> Fluence Energy (Siemens-AES) — nhà máy </w:t>
      </w:r>
      <w:r>
        <w:rPr>
          <w:b/>
        </w:rPr>
        <w:t>35 GWh/năm</w:t>
      </w:r>
      <w:r>
        <w:t xml:space="preserve"> tại Bắc Giang (08/2025)[^21]. Chi phí pin toàn cầu: </w:t>
      </w:r>
      <w:r>
        <w:rPr>
          <w:b/>
        </w:rPr>
        <w:t>~80 USD/kWh</w:t>
      </w:r>
      <w:r>
        <w:t>[^22].</w:t>
      </w:r>
    </w:p>
    <w:p>
      <w:pPr>
        <w:pStyle w:val="Heading3"/>
        <w:spacing w:before="240" w:after="160"/>
      </w:pPr>
      <w:r>
        <w:rPr>
          <w:rFonts w:ascii="Times New Roman" w:hAnsi="Times New Roman" w:eastAsia="Times New Roman"/>
          <w:color w:val="1A1A2E"/>
          <w:sz w:val="32"/>
        </w:rPr>
        <w:t>3.2. Điện mặt trời</w:t>
      </w:r>
    </w:p>
    <w:p>
      <w:r>
        <w:t xml:space="preserve">Phú Quốc: bức xạ </w:t>
      </w:r>
      <w:r>
        <w:rPr>
          <w:b/>
        </w:rPr>
        <w:t>4,5–5,5 kWh/m²/ngày</w:t>
      </w:r>
      <w:r>
        <w:t>[^5] — nhóm tốt nhất Việt Nam[^23].</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Vị trí</w:t>
            </w:r>
          </w:p>
        </w:tc>
        <w:tc>
          <w:tcPr>
            <w:tcW w:type="dxa" w:w="3120"/>
            <w:shd w:fill="E2E8F0" w:val="clear"/>
          </w:tcPr>
          <w:p>
            <w:pPr>
              <w:spacing w:before="60" w:after="60"/>
            </w:pPr>
            <w:r>
              <w:rPr>
                <w:rFonts w:ascii="Times New Roman" w:hAnsi="Times New Roman"/>
                <w:b/>
                <w:sz w:val="20"/>
              </w:rPr>
              <w:t>Diện tích mái</w:t>
            </w:r>
          </w:p>
        </w:tc>
        <w:tc>
          <w:tcPr>
            <w:tcW w:type="dxa" w:w="3120"/>
            <w:shd w:fill="E2E8F0" w:val="clear"/>
          </w:tcPr>
          <w:p>
            <w:pPr>
              <w:spacing w:before="60" w:after="60"/>
            </w:pPr>
            <w:r>
              <w:rPr>
                <w:rFonts w:ascii="Times New Roman" w:hAnsi="Times New Roman"/>
                <w:b/>
                <w:sz w:val="20"/>
              </w:rPr>
              <w:t>Công suất</w:t>
            </w:r>
          </w:p>
        </w:tc>
      </w:tr>
      <w:tr>
        <w:tc>
          <w:tcPr>
            <w:tcW w:type="dxa" w:w="3120"/>
          </w:tcPr>
          <w:p>
            <w:pPr>
              <w:spacing w:before="60" w:after="60"/>
            </w:pPr>
            <w:r>
              <w:rPr>
                <w:rFonts w:ascii="Times New Roman" w:hAnsi="Times New Roman"/>
                <w:sz w:val="20"/>
              </w:rPr>
              <w:t>15 tòa tháp Bãi Đất Đỏ</w:t>
            </w:r>
          </w:p>
        </w:tc>
        <w:tc>
          <w:tcPr>
            <w:tcW w:type="dxa" w:w="3120"/>
          </w:tcPr>
          <w:p>
            <w:pPr>
              <w:spacing w:before="60" w:after="60"/>
            </w:pPr>
            <w:r>
              <w:rPr>
                <w:rFonts w:ascii="Times New Roman" w:hAnsi="Times New Roman"/>
                <w:sz w:val="20"/>
              </w:rPr>
              <w:t>~50.000 m²</w:t>
            </w:r>
          </w:p>
        </w:tc>
        <w:tc>
          <w:tcPr>
            <w:tcW w:type="dxa" w:w="3120"/>
          </w:tcPr>
          <w:p>
            <w:pPr>
              <w:spacing w:before="60" w:after="60"/>
            </w:pPr>
            <w:r>
              <w:rPr>
                <w:rFonts w:ascii="Times New Roman" w:hAnsi="Times New Roman"/>
                <w:sz w:val="20"/>
              </w:rPr>
              <w:t>5-8 MWp</w:t>
            </w:r>
          </w:p>
        </w:tc>
      </w:tr>
      <w:tr>
        <w:tc>
          <w:tcPr>
            <w:tcW w:type="dxa" w:w="3120"/>
          </w:tcPr>
          <w:p>
            <w:pPr>
              <w:spacing w:before="60" w:after="60"/>
            </w:pPr>
            <w:r>
              <w:rPr>
                <w:rFonts w:ascii="Times New Roman" w:hAnsi="Times New Roman"/>
                <w:sz w:val="20"/>
              </w:rPr>
              <w:t>Sân bay (nhà ga, bãi đỗ)</w:t>
            </w:r>
          </w:p>
        </w:tc>
        <w:tc>
          <w:tcPr>
            <w:tcW w:type="dxa" w:w="3120"/>
          </w:tcPr>
          <w:p>
            <w:pPr>
              <w:spacing w:before="60" w:after="60"/>
            </w:pPr>
            <w:r>
              <w:rPr>
                <w:rFonts w:ascii="Times New Roman" w:hAnsi="Times New Roman"/>
                <w:sz w:val="20"/>
              </w:rPr>
              <w:t>~30.000 m²</w:t>
            </w:r>
          </w:p>
        </w:tc>
        <w:tc>
          <w:tcPr>
            <w:tcW w:type="dxa" w:w="3120"/>
          </w:tcPr>
          <w:p>
            <w:pPr>
              <w:spacing w:before="60" w:after="60"/>
            </w:pPr>
            <w:r>
              <w:rPr>
                <w:rFonts w:ascii="Times New Roman" w:hAnsi="Times New Roman"/>
                <w:sz w:val="20"/>
              </w:rPr>
              <w:t>3-5 MWp</w:t>
            </w:r>
          </w:p>
        </w:tc>
      </w:tr>
      <w:tr>
        <w:tc>
          <w:tcPr>
            <w:tcW w:type="dxa" w:w="3120"/>
          </w:tcPr>
          <w:p>
            <w:pPr>
              <w:spacing w:before="60" w:after="60"/>
            </w:pPr>
            <w:r>
              <w:rPr>
                <w:rFonts w:ascii="Times New Roman" w:hAnsi="Times New Roman"/>
                <w:sz w:val="20"/>
              </w:rPr>
              <w:t>TTHH APEC + Nhà hát</w:t>
            </w:r>
          </w:p>
        </w:tc>
        <w:tc>
          <w:tcPr>
            <w:tcW w:type="dxa" w:w="3120"/>
          </w:tcPr>
          <w:p>
            <w:pPr>
              <w:spacing w:before="60" w:after="60"/>
            </w:pPr>
            <w:r>
              <w:rPr>
                <w:rFonts w:ascii="Times New Roman" w:hAnsi="Times New Roman"/>
                <w:sz w:val="20"/>
              </w:rPr>
              <w:t>~15.000 m²</w:t>
            </w:r>
          </w:p>
        </w:tc>
        <w:tc>
          <w:tcPr>
            <w:tcW w:type="dxa" w:w="3120"/>
          </w:tcPr>
          <w:p>
            <w:pPr>
              <w:spacing w:before="60" w:after="60"/>
            </w:pPr>
            <w:r>
              <w:rPr>
                <w:rFonts w:ascii="Times New Roman" w:hAnsi="Times New Roman"/>
                <w:sz w:val="20"/>
              </w:rPr>
              <w:t>1,5-2,5 MWp</w:t>
            </w:r>
          </w:p>
        </w:tc>
      </w:tr>
      <w:tr>
        <w:tc>
          <w:tcPr>
            <w:tcW w:type="dxa" w:w="3120"/>
          </w:tcPr>
          <w:p>
            <w:pPr>
              <w:spacing w:before="60" w:after="60"/>
            </w:pPr>
            <w:r>
              <w:rPr>
                <w:rFonts w:ascii="Times New Roman" w:hAnsi="Times New Roman"/>
                <w:sz w:val="20"/>
              </w:rPr>
              <w:t>Khu thương mại</w:t>
            </w:r>
          </w:p>
        </w:tc>
        <w:tc>
          <w:tcPr>
            <w:tcW w:type="dxa" w:w="3120"/>
          </w:tcPr>
          <w:p>
            <w:pPr>
              <w:spacing w:before="60" w:after="60"/>
            </w:pPr>
            <w:r>
              <w:rPr>
                <w:rFonts w:ascii="Times New Roman" w:hAnsi="Times New Roman"/>
                <w:sz w:val="20"/>
              </w:rPr>
              <w:t>~20.000 m²</w:t>
            </w:r>
          </w:p>
        </w:tc>
        <w:tc>
          <w:tcPr>
            <w:tcW w:type="dxa" w:w="3120"/>
          </w:tcPr>
          <w:p>
            <w:pPr>
              <w:spacing w:before="60" w:after="60"/>
            </w:pPr>
            <w:r>
              <w:rPr>
                <w:rFonts w:ascii="Times New Roman" w:hAnsi="Times New Roman"/>
                <w:sz w:val="20"/>
              </w:rPr>
              <w:t>2-3 MWp</w:t>
            </w:r>
          </w:p>
        </w:tc>
      </w:tr>
      <w:tr>
        <w:tc>
          <w:tcPr>
            <w:tcW w:type="dxa" w:w="3120"/>
          </w:tcPr>
          <w:p>
            <w:pPr>
              <w:spacing w:before="60" w:after="60"/>
            </w:pPr>
            <w:r>
              <w:rPr>
                <w:rFonts w:ascii="Times New Roman" w:hAnsi="Times New Roman"/>
                <w:sz w:val="20"/>
              </w:rPr>
              <w:t>Tổng</w:t>
            </w:r>
          </w:p>
        </w:tc>
        <w:tc>
          <w:tcPr>
            <w:tcW w:type="dxa" w:w="3120"/>
          </w:tcPr>
          <w:p>
            <w:pPr>
              <w:spacing w:before="60" w:after="60"/>
            </w:pPr>
            <w:r>
              <w:rPr>
                <w:rFonts w:ascii="Times New Roman" w:hAnsi="Times New Roman"/>
                <w:sz w:val="20"/>
              </w:rPr>
              <w:t>~115.000 m²</w:t>
            </w:r>
          </w:p>
        </w:tc>
        <w:tc>
          <w:tcPr>
            <w:tcW w:type="dxa" w:w="3120"/>
          </w:tcPr>
          <w:p>
            <w:pPr>
              <w:spacing w:before="60" w:after="60"/>
            </w:pPr>
            <w:r>
              <w:rPr>
                <w:rFonts w:ascii="Times New Roman" w:hAnsi="Times New Roman"/>
                <w:sz w:val="20"/>
              </w:rPr>
              <w:t>11,5-18,5 MWp</w:t>
            </w:r>
          </w:p>
        </w:tc>
      </w:tr>
    </w:tbl>
    <w:p>
      <w:pPr>
        <w:spacing w:before="0" w:after="80"/>
      </w:pPr>
    </w:p>
    <w:p>
      <w:r>
        <w:rPr>
          <w:b/>
        </w:rPr>
        <w:t>Tiền lệ:</w:t>
      </w:r>
      <w:r>
        <w:t xml:space="preserve"> Six Senses Ninh Vân Bay — 800 tấm pin, 26-28% điện tiêu thụ, giải </w:t>
      </w:r>
      <w:r>
        <w:rPr>
          <w:b/>
        </w:rPr>
        <w:t>Climate &amp; Biodiversity Action Award</w:t>
      </w:r>
      <w:r>
        <w:t xml:space="preserve"> HICAP 2024[^24].</w:t>
      </w:r>
    </w:p>
    <w:p>
      <w:pPr>
        <w:pStyle w:val="Heading3"/>
        <w:spacing w:before="240" w:after="160"/>
      </w:pPr>
      <w:r>
        <w:rPr>
          <w:rFonts w:ascii="Times New Roman" w:hAnsi="Times New Roman" w:eastAsia="Times New Roman"/>
          <w:color w:val="1A1A2E"/>
          <w:sz w:val="32"/>
        </w:rPr>
        <w:t>3.3. Điện gió ven bờ</w:t>
      </w:r>
    </w:p>
    <w:p>
      <w:r>
        <w:t xml:space="preserve">Phát mạnh </w:t>
      </w:r>
      <w:r>
        <w:rPr>
          <w:b/>
        </w:rPr>
        <w:t>ban đêm + mùa mưa</w:t>
      </w:r>
      <w:r>
        <w:t xml:space="preserve"> — bổ sung khi mặt trời không phát. Vùng biển Phú Quốc/Kiên Giang trong Quy hoạch Điện VIII[^25]. CLP: </w:t>
      </w:r>
      <w:r>
        <w:rPr>
          <w:b/>
        </w:rPr>
        <w:t>2,5 GW gió tại Đài Loan</w:t>
      </w:r>
      <w:r>
        <w:t xml:space="preserve">, dự kiến </w:t>
      </w:r>
      <w:r>
        <w:rPr>
          <w:b/>
        </w:rPr>
        <w:t>300 MW tại Việt Nam</w:t>
      </w:r>
      <w:r>
        <w:t xml:space="preserve"> 2027[^3].</w:t>
      </w:r>
    </w:p>
    <w:p>
      <w:pPr>
        <w:pStyle w:val="Heading3"/>
        <w:spacing w:before="240" w:after="160"/>
      </w:pPr>
      <w:r>
        <w:rPr>
          <w:rFonts w:ascii="Times New Roman" w:hAnsi="Times New Roman" w:eastAsia="Times New Roman"/>
          <w:color w:val="1A1A2E"/>
          <w:sz w:val="32"/>
        </w:rPr>
        <w:t>3.4. Microgrid — Chuyển mạch tự động</w:t>
      </w:r>
    </w:p>
    <w:p>
      <w:r>
        <w:t xml:space="preserve">Kết nối BESS + Solar + Wind + Lưới EVN → chuyển nguồn </w:t>
      </w:r>
      <w:r>
        <w:rPr>
          <w:b/>
        </w:rPr>
        <w:t>mili-giây</w:t>
      </w:r>
      <w:r>
        <w:t xml:space="preserve"> khi lưới gián đoạn[^26]. Loại bỏ hoàn toàn kịch bản mất điện cho Sun Group.</w:t>
      </w:r>
    </w:p>
    <w:p>
      <w:pPr>
        <w:pStyle w:val="Heading3"/>
        <w:spacing w:before="240" w:after="160"/>
      </w:pPr>
      <w:r>
        <w:rPr>
          <w:rFonts w:ascii="Times New Roman" w:hAnsi="Times New Roman" w:eastAsia="Times New Roman"/>
          <w:color w:val="1A1A2E"/>
          <w:sz w:val="32"/>
        </w:rPr>
        <w:t>3.5. Sạc xe điện (EV Charging)</w:t>
      </w:r>
    </w:p>
    <w:p>
      <w:r>
        <w:t xml:space="preserve">51 xe buýt VinBus trên 3 tuyến[^3] → nhu cầu sạc tăng mạnh. Nguồn tái tạo = </w:t>
      </w:r>
      <w:r>
        <w:rPr>
          <w:b/>
        </w:rPr>
        <w:t>100% vận tải xanh</w:t>
      </w:r>
      <w:r>
        <w:t>.</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4. Phân tích tài chính &amp; mô hình đầu tư</w:t>
      </w:r>
    </w:p>
    <w:p>
      <w:pPr>
        <w:pStyle w:val="Heading3"/>
        <w:spacing w:before="240" w:after="160"/>
      </w:pPr>
      <w:r>
        <w:rPr>
          <w:rFonts w:ascii="Times New Roman" w:hAnsi="Times New Roman" w:eastAsia="Times New Roman"/>
          <w:color w:val="1A1A2E"/>
          <w:sz w:val="32"/>
        </w:rPr>
        <w:t>4.1. So sánh chi phí năng lượng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Nguồn</w:t>
            </w:r>
          </w:p>
        </w:tc>
        <w:tc>
          <w:tcPr>
            <w:tcW w:type="dxa" w:w="3120"/>
            <w:shd w:fill="E2E8F0" w:val="clear"/>
          </w:tcPr>
          <w:p>
            <w:pPr>
              <w:spacing w:before="60" w:after="60"/>
            </w:pPr>
            <w:r>
              <w:rPr>
                <w:rFonts w:ascii="Times New Roman" w:hAnsi="Times New Roman"/>
                <w:b/>
                <w:sz w:val="20"/>
              </w:rPr>
              <w:t>Chi phí (VND/kWh)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Lưới EVN (giá DN dịch vụ)</w:t>
            </w:r>
          </w:p>
        </w:tc>
        <w:tc>
          <w:tcPr>
            <w:tcW w:type="dxa" w:w="3120"/>
          </w:tcPr>
          <w:p>
            <w:pPr>
              <w:spacing w:before="60" w:after="60"/>
            </w:pPr>
            <w:r>
              <w:rPr>
                <w:rFonts w:ascii="Times New Roman" w:hAnsi="Times New Roman"/>
                <w:sz w:val="20"/>
              </w:rPr>
              <w:t>2.800-3.200</w:t>
            </w:r>
          </w:p>
        </w:tc>
        <w:tc>
          <w:tcPr>
            <w:tcW w:type="dxa" w:w="3120"/>
          </w:tcPr>
          <w:p>
            <w:pPr>
              <w:spacing w:before="60" w:after="60"/>
            </w:pPr>
            <w:r>
              <w:rPr>
                <w:rFonts w:ascii="Times New Roman" w:hAnsi="Times New Roman"/>
                <w:sz w:val="20"/>
              </w:rPr>
              <w:t>Giá điện sản xuất + phụ thu, chưa gồm tăng giá</w:t>
            </w:r>
          </w:p>
        </w:tc>
      </w:tr>
      <w:tr>
        <w:tc>
          <w:tcPr>
            <w:tcW w:type="dxa" w:w="3120"/>
          </w:tcPr>
          <w:p>
            <w:pPr>
              <w:spacing w:before="60" w:after="60"/>
            </w:pPr>
            <w:r>
              <w:rPr>
                <w:rFonts w:ascii="Times New Roman" w:hAnsi="Times New Roman"/>
                <w:sz w:val="20"/>
              </w:rPr>
              <w:t>Máy phát diesel (khẩn cấp)</w:t>
            </w:r>
          </w:p>
        </w:tc>
        <w:tc>
          <w:tcPr>
            <w:tcW w:type="dxa" w:w="3120"/>
          </w:tcPr>
          <w:p>
            <w:pPr>
              <w:spacing w:before="60" w:after="60"/>
            </w:pPr>
            <w:r>
              <w:rPr>
                <w:rFonts w:ascii="Times New Roman" w:hAnsi="Times New Roman"/>
                <w:sz w:val="20"/>
              </w:rPr>
              <w:t>8.000-12.000</w:t>
            </w:r>
          </w:p>
        </w:tc>
        <w:tc>
          <w:tcPr>
            <w:tcW w:type="dxa" w:w="3120"/>
          </w:tcPr>
          <w:p>
            <w:pPr>
              <w:spacing w:before="60" w:after="60"/>
            </w:pPr>
            <w:r>
              <w:rPr>
                <w:rFonts w:ascii="Times New Roman" w:hAnsi="Times New Roman"/>
                <w:sz w:val="20"/>
              </w:rPr>
              <w:t>32 triệu/ngày ÷ ~3.000 kWh/ngày[^3]</w:t>
            </w:r>
          </w:p>
        </w:tc>
      </w:tr>
      <w:tr>
        <w:tc>
          <w:tcPr>
            <w:tcW w:type="dxa" w:w="3120"/>
          </w:tcPr>
          <w:p>
            <w:pPr>
              <w:spacing w:before="60" w:after="60"/>
            </w:pPr>
            <w:r>
              <w:rPr>
                <w:rFonts w:ascii="Times New Roman" w:hAnsi="Times New Roman"/>
                <w:sz w:val="20"/>
              </w:rPr>
              <w:t>Điện mặt trời (LCOE)</w:t>
            </w:r>
          </w:p>
        </w:tc>
        <w:tc>
          <w:tcPr>
            <w:tcW w:type="dxa" w:w="3120"/>
          </w:tcPr>
          <w:p>
            <w:pPr>
              <w:spacing w:before="60" w:after="60"/>
            </w:pPr>
            <w:r>
              <w:rPr>
                <w:rFonts w:ascii="Times New Roman" w:hAnsi="Times New Roman"/>
                <w:sz w:val="20"/>
              </w:rPr>
              <w:t>1.200-1.800</w:t>
            </w:r>
          </w:p>
        </w:tc>
        <w:tc>
          <w:tcPr>
            <w:tcW w:type="dxa" w:w="3120"/>
          </w:tcPr>
          <w:p>
            <w:pPr>
              <w:spacing w:before="60" w:after="60"/>
            </w:pPr>
            <w:r>
              <w:rPr>
                <w:rFonts w:ascii="Times New Roman" w:hAnsi="Times New Roman"/>
                <w:sz w:val="20"/>
              </w:rPr>
              <w:t>Giá bình quân toàn vòng đời 25 năm</w:t>
            </w:r>
          </w:p>
        </w:tc>
      </w:tr>
      <w:tr>
        <w:tc>
          <w:tcPr>
            <w:tcW w:type="dxa" w:w="3120"/>
          </w:tcPr>
          <w:p>
            <w:pPr>
              <w:spacing w:before="60" w:after="60"/>
            </w:pPr>
            <w:r>
              <w:rPr>
                <w:rFonts w:ascii="Times New Roman" w:hAnsi="Times New Roman"/>
                <w:sz w:val="20"/>
              </w:rPr>
              <w:t>BESS (chi phí lưu trữ)</w:t>
            </w:r>
          </w:p>
        </w:tc>
        <w:tc>
          <w:tcPr>
            <w:tcW w:type="dxa" w:w="3120"/>
          </w:tcPr>
          <w:p>
            <w:pPr>
              <w:spacing w:before="60" w:after="60"/>
            </w:pPr>
            <w:r>
              <w:rPr>
                <w:rFonts w:ascii="Times New Roman" w:hAnsi="Times New Roman"/>
                <w:sz w:val="20"/>
              </w:rPr>
              <w:t>800-1.500</w:t>
            </w:r>
          </w:p>
        </w:tc>
        <w:tc>
          <w:tcPr>
            <w:tcW w:type="dxa" w:w="3120"/>
          </w:tcPr>
          <w:p>
            <w:pPr>
              <w:spacing w:before="60" w:after="60"/>
            </w:pPr>
            <w:r>
              <w:rPr>
                <w:rFonts w:ascii="Times New Roman" w:hAnsi="Times New Roman"/>
                <w:sz w:val="20"/>
              </w:rPr>
              <w:t>~80 USD/kWh vốn đầu tư ÷ 5.000 chu kỳ[^22]</w:t>
            </w:r>
          </w:p>
        </w:tc>
      </w:tr>
    </w:tbl>
    <w:p>
      <w:pPr>
        <w:spacing w:before="0" w:after="80"/>
      </w:pPr>
    </w:p>
    <w:p>
      <w:pPr>
        <w:pStyle w:val="Heading3"/>
        <w:spacing w:before="240" w:after="160"/>
      </w:pPr>
      <w:r>
        <w:rPr>
          <w:rFonts w:ascii="Times New Roman" w:hAnsi="Times New Roman" w:eastAsia="Times New Roman"/>
          <w:color w:val="1A1A2E"/>
          <w:sz w:val="32"/>
        </w:rPr>
        <w:t>4.2. Các mô hình đầu tư khả thi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Mô hình</w:t>
            </w:r>
          </w:p>
        </w:tc>
        <w:tc>
          <w:tcPr>
            <w:tcW w:type="dxa" w:w="1872"/>
            <w:shd w:fill="E2E8F0" w:val="clear"/>
          </w:tcPr>
          <w:p>
            <w:pPr>
              <w:spacing w:before="60" w:after="60"/>
            </w:pPr>
            <w:r>
              <w:rPr>
                <w:rFonts w:ascii="Times New Roman" w:hAnsi="Times New Roman"/>
                <w:b/>
                <w:sz w:val="20"/>
              </w:rPr>
              <w:t>CAPEX Sun Group</w:t>
            </w:r>
          </w:p>
        </w:tc>
        <w:tc>
          <w:tcPr>
            <w:tcW w:type="dxa" w:w="1872"/>
            <w:shd w:fill="E2E8F0" w:val="clear"/>
          </w:tcPr>
          <w:p>
            <w:pPr>
              <w:spacing w:before="60" w:after="60"/>
            </w:pPr>
            <w:r>
              <w:rPr>
                <w:rFonts w:ascii="Times New Roman" w:hAnsi="Times New Roman"/>
                <w:b/>
                <w:sz w:val="20"/>
              </w:rPr>
              <w:t>Kiểm soát</w:t>
            </w:r>
          </w:p>
        </w:tc>
        <w:tc>
          <w:tcPr>
            <w:tcW w:type="dxa" w:w="1872"/>
            <w:shd w:fill="E2E8F0" w:val="clear"/>
          </w:tcPr>
          <w:p>
            <w:pPr>
              <w:spacing w:before="60" w:after="60"/>
            </w:pPr>
            <w:r>
              <w:rPr>
                <w:rFonts w:ascii="Times New Roman" w:hAnsi="Times New Roman"/>
                <w:b/>
                <w:sz w:val="20"/>
              </w:rPr>
              <w:t>Rủi ro tài chính</w:t>
            </w:r>
          </w:p>
        </w:tc>
        <w:tc>
          <w:tcPr>
            <w:tcW w:type="dxa" w:w="1872"/>
            <w:shd w:fill="E2E8F0" w:val="clear"/>
          </w:tcPr>
          <w:p>
            <w:pPr>
              <w:spacing w:before="60" w:after="60"/>
            </w:pPr>
            <w:r>
              <w:rPr>
                <w:rFonts w:ascii="Times New Roman" w:hAnsi="Times New Roman"/>
                <w:b/>
                <w:sz w:val="20"/>
              </w:rPr>
              <w:t>Phù hợp</w:t>
            </w:r>
          </w:p>
        </w:tc>
      </w:tr>
      <w:tr>
        <w:tc>
          <w:tcPr>
            <w:tcW w:type="dxa" w:w="1872"/>
          </w:tcPr>
          <w:p>
            <w:pPr>
              <w:spacing w:before="60" w:after="60"/>
            </w:pPr>
            <w:r>
              <w:rPr>
                <w:rFonts w:ascii="Times New Roman" w:hAnsi="Times New Roman"/>
                <w:sz w:val="20"/>
              </w:rPr>
              <w:t>A: Tự đầu tư</w:t>
            </w:r>
          </w:p>
        </w:tc>
        <w:tc>
          <w:tcPr>
            <w:tcW w:type="dxa" w:w="1872"/>
          </w:tcPr>
          <w:p>
            <w:pPr>
              <w:spacing w:before="60" w:after="60"/>
            </w:pPr>
            <w:r>
              <w:rPr>
                <w:rFonts w:ascii="Times New Roman" w:hAnsi="Times New Roman"/>
                <w:sz w:val="20"/>
              </w:rPr>
              <w:t>Cao (100%)</w:t>
            </w:r>
          </w:p>
        </w:tc>
        <w:tc>
          <w:tcPr>
            <w:tcW w:type="dxa" w:w="1872"/>
          </w:tcPr>
          <w:p>
            <w:pPr>
              <w:spacing w:before="60" w:after="60"/>
            </w:pPr>
            <w:r>
              <w:rPr>
                <w:rFonts w:ascii="Times New Roman" w:hAnsi="Times New Roman"/>
                <w:sz w:val="20"/>
              </w:rPr>
              <w:t>Hoàn toàn</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Khi muốn sở hữu long-term</w:t>
            </w:r>
          </w:p>
        </w:tc>
      </w:tr>
      <w:tr>
        <w:tc>
          <w:tcPr>
            <w:tcW w:type="dxa" w:w="1872"/>
          </w:tcPr>
          <w:p>
            <w:pPr>
              <w:spacing w:before="60" w:after="60"/>
            </w:pPr>
            <w:r>
              <w:rPr>
                <w:rFonts w:ascii="Times New Roman" w:hAnsi="Times New Roman"/>
                <w:sz w:val="20"/>
              </w:rPr>
              <w:t>B: PPA/DPPA</w:t>
            </w:r>
          </w:p>
        </w:tc>
        <w:tc>
          <w:tcPr>
            <w:tcW w:type="dxa" w:w="1872"/>
          </w:tcPr>
          <w:p>
            <w:pPr>
              <w:spacing w:before="60" w:after="60"/>
            </w:pPr>
            <w:r>
              <w:rPr>
                <w:rFonts w:ascii="Times New Roman" w:hAnsi="Times New Roman"/>
                <w:sz w:val="20"/>
              </w:rPr>
              <w:t>Không</w:t>
            </w:r>
          </w:p>
        </w:tc>
        <w:tc>
          <w:tcPr>
            <w:tcW w:type="dxa" w:w="1872"/>
          </w:tcPr>
          <w:p>
            <w:pPr>
              <w:spacing w:before="60" w:after="60"/>
            </w:pPr>
            <w:r>
              <w:rPr>
                <w:rFonts w:ascii="Times New Roman" w:hAnsi="Times New Roman"/>
                <w:sz w:val="20"/>
              </w:rPr>
              <w:t>Thấp</w:t>
            </w:r>
          </w:p>
        </w:tc>
        <w:tc>
          <w:tcPr>
            <w:tcW w:type="dxa" w:w="1872"/>
          </w:tcPr>
          <w:p>
            <w:pPr>
              <w:spacing w:before="60" w:after="60"/>
            </w:pPr>
            <w:r>
              <w:rPr>
                <w:rFonts w:ascii="Times New Roman" w:hAnsi="Times New Roman"/>
                <w:sz w:val="20"/>
              </w:rPr>
              <w:t>Thấp</w:t>
            </w:r>
          </w:p>
        </w:tc>
        <w:tc>
          <w:tcPr>
            <w:tcW w:type="dxa" w:w="1872"/>
          </w:tcPr>
          <w:p>
            <w:pPr>
              <w:spacing w:before="60" w:after="60"/>
            </w:pPr>
            <w:r>
              <w:rPr>
                <w:rFonts w:ascii="Times New Roman" w:hAnsi="Times New Roman"/>
                <w:sz w:val="20"/>
              </w:rPr>
              <w:t>Khuyến nghị cho Phase 1</w:t>
            </w:r>
          </w:p>
        </w:tc>
      </w:tr>
      <w:tr>
        <w:tc>
          <w:tcPr>
            <w:tcW w:type="dxa" w:w="1872"/>
          </w:tcPr>
          <w:p>
            <w:pPr>
              <w:spacing w:before="60" w:after="60"/>
            </w:pPr>
            <w:r>
              <w:rPr>
                <w:rFonts w:ascii="Times New Roman" w:hAnsi="Times New Roman"/>
                <w:sz w:val="20"/>
              </w:rPr>
              <w:t>C: Liên doanh</w:t>
            </w:r>
          </w:p>
        </w:tc>
        <w:tc>
          <w:tcPr>
            <w:tcW w:type="dxa" w:w="1872"/>
          </w:tcPr>
          <w:p>
            <w:pPr>
              <w:spacing w:before="60" w:after="60"/>
            </w:pPr>
            <w:r>
              <w:rPr>
                <w:rFonts w:ascii="Times New Roman" w:hAnsi="Times New Roman"/>
                <w:sz w:val="20"/>
              </w:rPr>
              <w:t>Chia sẻ</w:t>
            </w:r>
          </w:p>
        </w:tc>
        <w:tc>
          <w:tcPr>
            <w:tcW w:type="dxa" w:w="1872"/>
          </w:tcPr>
          <w:p>
            <w:pPr>
              <w:spacing w:before="60" w:after="60"/>
            </w:pPr>
            <w:r>
              <w:rPr>
                <w:rFonts w:ascii="Times New Roman" w:hAnsi="Times New Roman"/>
                <w:sz w:val="20"/>
              </w:rPr>
              <w:t>Chia sẻ</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Phase 2-3</w:t>
            </w:r>
          </w:p>
        </w:tc>
      </w:tr>
    </w:tbl>
    <w:p>
      <w:pPr>
        <w:spacing w:before="0" w:after="80"/>
      </w:pPr>
    </w:p>
    <w:p>
      <w:r>
        <w:rPr>
          <w:b/>
        </w:rPr>
        <w:t>Mô hình B (PPA/DPPA) — Khuyến nghị:</w:t>
      </w:r>
      <w:r>
        <w:br/>
        <w:t>- Đối tác (CLP/Marubeni) bỏ vốn đầu tư, xây dựng và vận hành hệ thống BESS + Solar</w:t>
        <w:br/>
        <w:t xml:space="preserve">- Sun Group ký hợp đồng mua điện dài hạn (20+ năm) với </w:t>
      </w:r>
      <w:r>
        <w:rPr>
          <w:b/>
        </w:rPr>
        <w:t>giá cố định</w:t>
      </w:r>
      <w:r>
        <w:t xml:space="preserve"> — bảo vệ khỏi biến động giá điện</w:t>
        <w:br/>
        <w:t xml:space="preserve">- Sun Group </w:t>
      </w:r>
      <w:r>
        <w:rPr>
          <w:b/>
        </w:rPr>
        <w:t>không bỏ vốn ban đầu</w:t>
      </w:r>
      <w:r>
        <w:t xml:space="preserve"> (zero CAPEX) — giống mô hình Vinpearl Nha Trang[^20]</w:t>
      </w:r>
    </w:p>
    <w:p>
      <w:pPr>
        <w:pStyle w:val="Heading3"/>
        <w:spacing w:before="240" w:after="160"/>
      </w:pPr>
      <w:r>
        <w:rPr>
          <w:rFonts w:ascii="Times New Roman" w:hAnsi="Times New Roman" w:eastAsia="Times New Roman"/>
          <w:color w:val="1A1A2E"/>
          <w:sz w:val="32"/>
        </w:rPr>
        <w:t>4.3. Ước tính tiết kiệm</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Ước tính/năm</w:t>
            </w:r>
          </w:p>
        </w:tc>
        <w:tc>
          <w:tcPr>
            <w:tcW w:type="dxa" w:w="3120"/>
            <w:shd w:fill="E2E8F0" w:val="clear"/>
          </w:tcPr>
          <w:p>
            <w:pPr>
              <w:spacing w:before="60" w:after="60"/>
            </w:pPr>
            <w:r>
              <w:rPr>
                <w:rFonts w:ascii="Times New Roman" w:hAnsi="Times New Roman"/>
                <w:b/>
                <w:sz w:val="20"/>
              </w:rPr>
              <w:t>Cơ sở</w:t>
            </w:r>
          </w:p>
        </w:tc>
      </w:tr>
      <w:tr>
        <w:tc>
          <w:tcPr>
            <w:tcW w:type="dxa" w:w="3120"/>
          </w:tcPr>
          <w:p>
            <w:pPr>
              <w:spacing w:before="60" w:after="60"/>
            </w:pPr>
            <w:r>
              <w:rPr>
                <w:rFonts w:ascii="Times New Roman" w:hAnsi="Times New Roman"/>
                <w:sz w:val="20"/>
              </w:rPr>
              <w:t>Tiết kiệm chi phí điện (solar self-consumption)</w:t>
            </w:r>
          </w:p>
        </w:tc>
        <w:tc>
          <w:tcPr>
            <w:tcW w:type="dxa" w:w="3120"/>
          </w:tcPr>
          <w:p>
            <w:pPr>
              <w:spacing w:before="60" w:after="60"/>
            </w:pPr>
            <w:r>
              <w:rPr>
                <w:rFonts w:ascii="Times New Roman" w:hAnsi="Times New Roman"/>
                <w:sz w:val="20"/>
              </w:rPr>
              <w:t>50-100 tỷ VND</w:t>
            </w:r>
          </w:p>
        </w:tc>
        <w:tc>
          <w:tcPr>
            <w:tcW w:type="dxa" w:w="3120"/>
          </w:tcPr>
          <w:p>
            <w:pPr>
              <w:spacing w:before="60" w:after="60"/>
            </w:pPr>
            <w:r>
              <w:rPr>
                <w:rFonts w:ascii="Times New Roman" w:hAnsi="Times New Roman"/>
                <w:sz w:val="20"/>
              </w:rPr>
              <w:t>11-18 MWp solar × 4,5 kWh/m²/ngày × 365 ngày</w:t>
            </w:r>
          </w:p>
        </w:tc>
      </w:tr>
      <w:tr>
        <w:tc>
          <w:tcPr>
            <w:tcW w:type="dxa" w:w="3120"/>
          </w:tcPr>
          <w:p>
            <w:pPr>
              <w:spacing w:before="60" w:after="60"/>
            </w:pPr>
            <w:r>
              <w:rPr>
                <w:rFonts w:ascii="Times New Roman" w:hAnsi="Times New Roman"/>
                <w:sz w:val="20"/>
              </w:rPr>
              <w:t>Tránh chi phí diesel khẩn cấp</w:t>
            </w:r>
          </w:p>
        </w:tc>
        <w:tc>
          <w:tcPr>
            <w:tcW w:type="dxa" w:w="3120"/>
          </w:tcPr>
          <w:p>
            <w:pPr>
              <w:spacing w:before="60" w:after="60"/>
            </w:pPr>
            <w:r>
              <w:rPr>
                <w:rFonts w:ascii="Times New Roman" w:hAnsi="Times New Roman"/>
                <w:sz w:val="20"/>
              </w:rPr>
              <w:t>20-50 tỷ VND</w:t>
            </w:r>
          </w:p>
        </w:tc>
        <w:tc>
          <w:tcPr>
            <w:tcW w:type="dxa" w:w="3120"/>
          </w:tcPr>
          <w:p>
            <w:pPr>
              <w:spacing w:before="60" w:after="60"/>
            </w:pPr>
            <w:r>
              <w:rPr>
                <w:rFonts w:ascii="Times New Roman" w:hAnsi="Times New Roman"/>
                <w:sz w:val="20"/>
              </w:rPr>
              <w:t>2-3 sự cố/năm × 5-7 ngày × nhiều cơ sở</w:t>
            </w:r>
          </w:p>
        </w:tc>
      </w:tr>
      <w:tr>
        <w:tc>
          <w:tcPr>
            <w:tcW w:type="dxa" w:w="3120"/>
          </w:tcPr>
          <w:p>
            <w:pPr>
              <w:spacing w:before="60" w:after="60"/>
            </w:pPr>
            <w:r>
              <w:rPr>
                <w:rFonts w:ascii="Times New Roman" w:hAnsi="Times New Roman"/>
                <w:sz w:val="20"/>
              </w:rPr>
              <w:t>Giảm phí bảo hiểm</w:t>
            </w:r>
          </w:p>
        </w:tc>
        <w:tc>
          <w:tcPr>
            <w:tcW w:type="dxa" w:w="3120"/>
          </w:tcPr>
          <w:p>
            <w:pPr>
              <w:spacing w:before="60" w:after="60"/>
            </w:pPr>
            <w:r>
              <w:rPr>
                <w:rFonts w:ascii="Times New Roman" w:hAnsi="Times New Roman"/>
                <w:sz w:val="20"/>
              </w:rPr>
              <w:t>5-15 tỷ VND</w:t>
            </w:r>
          </w:p>
        </w:tc>
        <w:tc>
          <w:tcPr>
            <w:tcW w:type="dxa" w:w="3120"/>
          </w:tcPr>
          <w:p>
            <w:pPr>
              <w:spacing w:before="60" w:after="60"/>
            </w:pPr>
            <w:r>
              <w:rPr>
                <w:rFonts w:ascii="Times New Roman" w:hAnsi="Times New Roman"/>
                <w:sz w:val="20"/>
              </w:rPr>
              <w:t>Có nguồn dự phòng → giảm rủi ro</w:t>
            </w:r>
          </w:p>
        </w:tc>
      </w:tr>
      <w:tr>
        <w:tc>
          <w:tcPr>
            <w:tcW w:type="dxa" w:w="3120"/>
          </w:tcPr>
          <w:p>
            <w:pPr>
              <w:spacing w:before="60" w:after="60"/>
            </w:pPr>
            <w:r>
              <w:rPr>
                <w:rFonts w:ascii="Times New Roman" w:hAnsi="Times New Roman"/>
                <w:sz w:val="20"/>
              </w:rPr>
              <w:t>Tổng tiết kiệm ước tính</w:t>
            </w:r>
          </w:p>
        </w:tc>
        <w:tc>
          <w:tcPr>
            <w:tcW w:type="dxa" w:w="3120"/>
          </w:tcPr>
          <w:p>
            <w:pPr>
              <w:spacing w:before="60" w:after="60"/>
            </w:pPr>
            <w:r>
              <w:rPr>
                <w:rFonts w:ascii="Times New Roman" w:hAnsi="Times New Roman"/>
                <w:sz w:val="20"/>
              </w:rPr>
              <w:t>75-165 tỷ VND/năm</w:t>
            </w:r>
          </w:p>
        </w:tc>
        <w:tc>
          <w:tcPr>
            <w:tcW w:type="dxa" w:w="3120"/>
          </w:tcPr>
          <w:p>
            <w:pPr>
              <w:spacing w:before="60" w:after="60"/>
            </w:pPr>
            <w:r>
              <w:rPr>
                <w:rFonts w:ascii="Times New Roman" w:hAnsi="Times New Roman"/>
                <w:sz w:val="20"/>
              </w:rPr>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5. Đánh giá đối tác tiềm năng</w:t>
      </w:r>
    </w:p>
    <w:p>
      <w:pPr>
        <w:pStyle w:val="Heading3"/>
        <w:spacing w:before="240" w:after="160"/>
      </w:pPr>
      <w:r>
        <w:rPr>
          <w:rFonts w:ascii="Times New Roman" w:hAnsi="Times New Roman" w:eastAsia="Times New Roman"/>
          <w:color w:val="1A1A2E"/>
          <w:sz w:val="32"/>
        </w:rPr>
        <w:t>5.1. Tiêu chí lựa chọn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Tiêu chí</w:t>
            </w:r>
          </w:p>
        </w:tc>
        <w:tc>
          <w:tcPr>
            <w:tcW w:type="dxa" w:w="3120"/>
            <w:shd w:fill="E2E8F0" w:val="clear"/>
          </w:tcPr>
          <w:p>
            <w:pPr>
              <w:spacing w:before="60" w:after="60"/>
            </w:pPr>
            <w:r>
              <w:rPr>
                <w:rFonts w:ascii="Times New Roman" w:hAnsi="Times New Roman"/>
                <w:b/>
                <w:sz w:val="20"/>
              </w:rPr>
              <w:t>Trọng số</w:t>
            </w:r>
          </w:p>
        </w:tc>
        <w:tc>
          <w:tcPr>
            <w:tcW w:type="dxa" w:w="3120"/>
            <w:shd w:fill="E2E8F0" w:val="clear"/>
          </w:tcPr>
          <w:p>
            <w:pPr>
              <w:spacing w:before="60" w:after="60"/>
            </w:pPr>
            <w:r>
              <w:rPr>
                <w:rFonts w:ascii="Times New Roman" w:hAnsi="Times New Roman"/>
                <w:b/>
                <w:sz w:val="20"/>
              </w:rPr>
              <w:t>Lý do</w:t>
            </w:r>
          </w:p>
        </w:tc>
      </w:tr>
      <w:tr>
        <w:tc>
          <w:tcPr>
            <w:tcW w:type="dxa" w:w="3120"/>
          </w:tcPr>
          <w:p>
            <w:pPr>
              <w:spacing w:before="60" w:after="60"/>
            </w:pPr>
            <w:r>
              <w:rPr>
                <w:rFonts w:ascii="Times New Roman" w:hAnsi="Times New Roman"/>
                <w:sz w:val="20"/>
              </w:rPr>
              <w:t>Kinh nghiệm BESS quy mô lớn</w:t>
            </w:r>
          </w:p>
        </w:tc>
        <w:tc>
          <w:tcPr>
            <w:tcW w:type="dxa" w:w="3120"/>
          </w:tcPr>
          <w:p>
            <w:pPr>
              <w:spacing w:before="60" w:after="60"/>
            </w:pPr>
            <w:r>
              <w:rPr>
                <w:rFonts w:ascii="Times New Roman" w:hAnsi="Times New Roman"/>
                <w:sz w:val="20"/>
              </w:rPr>
              <w:t>30%</w:t>
            </w:r>
          </w:p>
        </w:tc>
        <w:tc>
          <w:tcPr>
            <w:tcW w:type="dxa" w:w="3120"/>
          </w:tcPr>
          <w:p>
            <w:pPr>
              <w:spacing w:before="60" w:after="60"/>
            </w:pPr>
            <w:r>
              <w:rPr>
                <w:rFonts w:ascii="Times New Roman" w:hAnsi="Times New Roman"/>
                <w:sz w:val="20"/>
              </w:rPr>
              <w:t>Năng lực kỹ thuật cốt lõi</w:t>
            </w:r>
          </w:p>
        </w:tc>
      </w:tr>
      <w:tr>
        <w:tc>
          <w:tcPr>
            <w:tcW w:type="dxa" w:w="3120"/>
          </w:tcPr>
          <w:p>
            <w:pPr>
              <w:spacing w:before="60" w:after="60"/>
            </w:pPr>
            <w:r>
              <w:rPr>
                <w:rFonts w:ascii="Times New Roman" w:hAnsi="Times New Roman"/>
                <w:sz w:val="20"/>
              </w:rPr>
              <w:t>Năng lực tài chính dự án (Project Finance)</w:t>
            </w:r>
          </w:p>
        </w:tc>
        <w:tc>
          <w:tcPr>
            <w:tcW w:type="dxa" w:w="3120"/>
          </w:tcPr>
          <w:p>
            <w:pPr>
              <w:spacing w:before="60" w:after="60"/>
            </w:pPr>
            <w:r>
              <w:rPr>
                <w:rFonts w:ascii="Times New Roman" w:hAnsi="Times New Roman"/>
                <w:sz w:val="20"/>
              </w:rPr>
              <w:t>25%</w:t>
            </w:r>
          </w:p>
        </w:tc>
        <w:tc>
          <w:tcPr>
            <w:tcW w:type="dxa" w:w="3120"/>
          </w:tcPr>
          <w:p>
            <w:pPr>
              <w:spacing w:before="60" w:after="60"/>
            </w:pPr>
            <w:r>
              <w:rPr>
                <w:rFonts w:ascii="Times New Roman" w:hAnsi="Times New Roman"/>
                <w:sz w:val="20"/>
              </w:rPr>
              <w:t>Mô hình PPA cần đối tác tự bỏ vốn</w:t>
            </w:r>
          </w:p>
        </w:tc>
      </w:tr>
      <w:tr>
        <w:tc>
          <w:tcPr>
            <w:tcW w:type="dxa" w:w="3120"/>
          </w:tcPr>
          <w:p>
            <w:pPr>
              <w:spacing w:before="60" w:after="60"/>
            </w:pPr>
            <w:r>
              <w:rPr>
                <w:rFonts w:ascii="Times New Roman" w:hAnsi="Times New Roman"/>
                <w:sz w:val="20"/>
              </w:rPr>
              <w:t>Kinh nghiệm vận hành đảo/hải đảo</w:t>
            </w:r>
          </w:p>
        </w:tc>
        <w:tc>
          <w:tcPr>
            <w:tcW w:type="dxa" w:w="3120"/>
          </w:tcPr>
          <w:p>
            <w:pPr>
              <w:spacing w:before="60" w:after="60"/>
            </w:pPr>
            <w:r>
              <w:rPr>
                <w:rFonts w:ascii="Times New Roman" w:hAnsi="Times New Roman"/>
                <w:sz w:val="20"/>
              </w:rPr>
              <w:t>20%</w:t>
            </w:r>
          </w:p>
        </w:tc>
        <w:tc>
          <w:tcPr>
            <w:tcW w:type="dxa" w:w="3120"/>
          </w:tcPr>
          <w:p>
            <w:pPr>
              <w:spacing w:before="60" w:after="60"/>
            </w:pPr>
            <w:r>
              <w:rPr>
                <w:rFonts w:ascii="Times New Roman" w:hAnsi="Times New Roman"/>
                <w:sz w:val="20"/>
              </w:rPr>
              <w:t>Phú Quốc có đặc thù đảo</w:t>
            </w:r>
          </w:p>
        </w:tc>
      </w:tr>
      <w:tr>
        <w:tc>
          <w:tcPr>
            <w:tcW w:type="dxa" w:w="3120"/>
          </w:tcPr>
          <w:p>
            <w:pPr>
              <w:spacing w:before="60" w:after="60"/>
            </w:pPr>
            <w:r>
              <w:rPr>
                <w:rFonts w:ascii="Times New Roman" w:hAnsi="Times New Roman"/>
                <w:sz w:val="20"/>
              </w:rPr>
              <w:t>Cam kết ESG &amp; uy tín quốc tế</w:t>
            </w:r>
          </w:p>
        </w:tc>
        <w:tc>
          <w:tcPr>
            <w:tcW w:type="dxa" w:w="3120"/>
          </w:tcPr>
          <w:p>
            <w:pPr>
              <w:spacing w:before="60" w:after="60"/>
            </w:pPr>
            <w:r>
              <w:rPr>
                <w:rFonts w:ascii="Times New Roman" w:hAnsi="Times New Roman"/>
                <w:sz w:val="20"/>
              </w:rPr>
              <w:t>15%</w:t>
            </w:r>
          </w:p>
        </w:tc>
        <w:tc>
          <w:tcPr>
            <w:tcW w:type="dxa" w:w="3120"/>
          </w:tcPr>
          <w:p>
            <w:pPr>
              <w:spacing w:before="60" w:after="60"/>
            </w:pPr>
            <w:r>
              <w:rPr>
                <w:rFonts w:ascii="Times New Roman" w:hAnsi="Times New Roman"/>
                <w:sz w:val="20"/>
              </w:rPr>
              <w:t>Phù hợp 13 thương hiệu</w:t>
            </w:r>
          </w:p>
        </w:tc>
      </w:tr>
      <w:tr>
        <w:tc>
          <w:tcPr>
            <w:tcW w:type="dxa" w:w="3120"/>
          </w:tcPr>
          <w:p>
            <w:pPr>
              <w:spacing w:before="60" w:after="60"/>
            </w:pPr>
            <w:r>
              <w:rPr>
                <w:rFonts w:ascii="Times New Roman" w:hAnsi="Times New Roman"/>
                <w:sz w:val="20"/>
              </w:rPr>
              <w:t>Hiện diện tại Việt Nam</w:t>
            </w:r>
          </w:p>
        </w:tc>
        <w:tc>
          <w:tcPr>
            <w:tcW w:type="dxa" w:w="3120"/>
          </w:tcPr>
          <w:p>
            <w:pPr>
              <w:spacing w:before="60" w:after="60"/>
            </w:pPr>
            <w:r>
              <w:rPr>
                <w:rFonts w:ascii="Times New Roman" w:hAnsi="Times New Roman"/>
                <w:sz w:val="20"/>
              </w:rPr>
              <w:t>10%</w:t>
            </w:r>
          </w:p>
        </w:tc>
        <w:tc>
          <w:tcPr>
            <w:tcW w:type="dxa" w:w="3120"/>
          </w:tcPr>
          <w:p>
            <w:pPr>
              <w:spacing w:before="60" w:after="60"/>
            </w:pPr>
            <w:r>
              <w:rPr>
                <w:rFonts w:ascii="Times New Roman" w:hAnsi="Times New Roman"/>
                <w:sz w:val="20"/>
              </w:rPr>
              <w:t>Tốc độ triển khai</w:t>
            </w:r>
          </w:p>
        </w:tc>
      </w:tr>
    </w:tbl>
    <w:p>
      <w:pPr>
        <w:spacing w:before="0" w:after="80"/>
      </w:pPr>
    </w:p>
    <w:p>
      <w:pPr>
        <w:pStyle w:val="Heading3"/>
        <w:spacing w:before="240" w:after="160"/>
      </w:pPr>
      <w:r>
        <w:rPr>
          <w:rFonts w:ascii="Times New Roman" w:hAnsi="Times New Roman" w:eastAsia="Times New Roman"/>
          <w:color w:val="1A1A2E"/>
          <w:sz w:val="32"/>
        </w:rPr>
        <w:t>5.2. CLP Holdings — Hồ sơ năng lực</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Tiêu chí</w:t>
            </w:r>
          </w:p>
        </w:tc>
        <w:tc>
          <w:tcPr>
            <w:tcW w:type="dxa" w:w="4680"/>
            <w:shd w:fill="E2E8F0" w:val="clear"/>
          </w:tcPr>
          <w:p>
            <w:pPr>
              <w:spacing w:before="60" w:after="60"/>
            </w:pPr>
            <w:r>
              <w:rPr>
                <w:rFonts w:ascii="Times New Roman" w:hAnsi="Times New Roman"/>
                <w:b/>
                <w:sz w:val="20"/>
              </w:rPr>
              <w:t>Đánh giá</w:t>
            </w:r>
          </w:p>
        </w:tc>
      </w:tr>
      <w:tr>
        <w:tc>
          <w:tcPr>
            <w:tcW w:type="dxa" w:w="4680"/>
          </w:tcPr>
          <w:p>
            <w:pPr>
              <w:spacing w:before="60" w:after="60"/>
            </w:pPr>
            <w:r>
              <w:rPr>
                <w:rFonts w:ascii="Times New Roman" w:hAnsi="Times New Roman"/>
                <w:sz w:val="20"/>
              </w:rPr>
              <w:t>Quy mô</w:t>
            </w:r>
          </w:p>
        </w:tc>
        <w:tc>
          <w:tcPr>
            <w:tcW w:type="dxa" w:w="4680"/>
          </w:tcPr>
          <w:p>
            <w:pPr>
              <w:spacing w:before="60" w:after="60"/>
            </w:pPr>
            <w:r>
              <w:rPr>
                <w:rFonts w:ascii="Times New Roman" w:hAnsi="Times New Roman"/>
                <w:sz w:val="20"/>
              </w:rPr>
              <w:t>~23.000 MW phát điện + lưu trữ tại 5 quốc gia/vùng lãnh thổ[^3]</w:t>
            </w:r>
          </w:p>
        </w:tc>
      </w:tr>
      <w:tr>
        <w:tc>
          <w:tcPr>
            <w:tcW w:type="dxa" w:w="4680"/>
          </w:tcPr>
          <w:p>
            <w:pPr>
              <w:spacing w:before="60" w:after="60"/>
            </w:pPr>
            <w:r>
              <w:rPr>
                <w:rFonts w:ascii="Times New Roman" w:hAnsi="Times New Roman"/>
                <w:sz w:val="20"/>
              </w:rPr>
              <w:t>Kinh nghiệm BESS</w:t>
            </w:r>
          </w:p>
        </w:tc>
        <w:tc>
          <w:tcPr>
            <w:tcW w:type="dxa" w:w="4680"/>
          </w:tcPr>
          <w:p>
            <w:pPr>
              <w:spacing w:before="60" w:after="60"/>
            </w:pPr>
            <w:r>
              <w:rPr>
                <w:rFonts w:ascii="Times New Roman" w:hAnsi="Times New Roman"/>
                <w:sz w:val="20"/>
              </w:rPr>
              <w:t>Vận hành hệ thống BESS tại Úc, Hồng Kông</w:t>
            </w:r>
          </w:p>
        </w:tc>
      </w:tr>
      <w:tr>
        <w:tc>
          <w:tcPr>
            <w:tcW w:type="dxa" w:w="4680"/>
          </w:tcPr>
          <w:p>
            <w:pPr>
              <w:spacing w:before="60" w:after="60"/>
            </w:pPr>
            <w:r>
              <w:rPr>
                <w:rFonts w:ascii="Times New Roman" w:hAnsi="Times New Roman"/>
                <w:sz w:val="20"/>
              </w:rPr>
              <w:t>Điện gió</w:t>
            </w:r>
          </w:p>
        </w:tc>
        <w:tc>
          <w:tcPr>
            <w:tcW w:type="dxa" w:w="4680"/>
          </w:tcPr>
          <w:p>
            <w:pPr>
              <w:spacing w:before="60" w:after="60"/>
            </w:pPr>
            <w:r>
              <w:rPr>
                <w:rFonts w:ascii="Times New Roman" w:hAnsi="Times New Roman"/>
                <w:sz w:val="20"/>
              </w:rPr>
              <w:t>2,5 GW tại Đài Loan; dự kiến 300 MW tại Việt Nam 2027[^3]</w:t>
            </w:r>
          </w:p>
        </w:tc>
      </w:tr>
      <w:tr>
        <w:tc>
          <w:tcPr>
            <w:tcW w:type="dxa" w:w="4680"/>
          </w:tcPr>
          <w:p>
            <w:pPr>
              <w:spacing w:before="60" w:after="60"/>
            </w:pPr>
            <w:r>
              <w:rPr>
                <w:rFonts w:ascii="Times New Roman" w:hAnsi="Times New Roman"/>
                <w:sz w:val="20"/>
              </w:rPr>
              <w:t>Tài chính</w:t>
            </w:r>
          </w:p>
        </w:tc>
        <w:tc>
          <w:tcPr>
            <w:tcW w:type="dxa" w:w="4680"/>
          </w:tcPr>
          <w:p>
            <w:pPr>
              <w:spacing w:before="60" w:after="60"/>
            </w:pPr>
            <w:r>
              <w:rPr>
                <w:rFonts w:ascii="Times New Roman" w:hAnsi="Times New Roman"/>
                <w:sz w:val="20"/>
              </w:rPr>
              <w:t>Niêm yết HKEX, vốn hóa &gt;100 tỷ HKD, xếp hạng tín dụng A</w:t>
            </w:r>
          </w:p>
        </w:tc>
      </w:tr>
      <w:tr>
        <w:tc>
          <w:tcPr>
            <w:tcW w:type="dxa" w:w="4680"/>
          </w:tcPr>
          <w:p>
            <w:pPr>
              <w:spacing w:before="60" w:after="60"/>
            </w:pPr>
            <w:r>
              <w:rPr>
                <w:rFonts w:ascii="Times New Roman" w:hAnsi="Times New Roman"/>
                <w:sz w:val="20"/>
              </w:rPr>
              <w:t>Lịch sử</w:t>
            </w:r>
          </w:p>
        </w:tc>
        <w:tc>
          <w:tcPr>
            <w:tcW w:type="dxa" w:w="4680"/>
          </w:tcPr>
          <w:p>
            <w:pPr>
              <w:spacing w:before="60" w:after="60"/>
            </w:pPr>
            <w:r>
              <w:rPr>
                <w:rFonts w:ascii="Times New Roman" w:hAnsi="Times New Roman"/>
                <w:sz w:val="20"/>
              </w:rPr>
              <w:t>125 năm hoạt động, thuộc top 5 doanh nghiệp điện lực Châu Á - TBD</w:t>
            </w:r>
          </w:p>
        </w:tc>
      </w:tr>
      <w:tr>
        <w:tc>
          <w:tcPr>
            <w:tcW w:type="dxa" w:w="4680"/>
          </w:tcPr>
          <w:p>
            <w:pPr>
              <w:spacing w:before="60" w:after="60"/>
            </w:pPr>
            <w:r>
              <w:rPr>
                <w:rFonts w:ascii="Times New Roman" w:hAnsi="Times New Roman"/>
                <w:sz w:val="20"/>
              </w:rPr>
              <w:t>Tại Việt Nam</w:t>
            </w:r>
          </w:p>
        </w:tc>
        <w:tc>
          <w:tcPr>
            <w:tcW w:type="dxa" w:w="4680"/>
          </w:tcPr>
          <w:p>
            <w:pPr>
              <w:spacing w:before="60" w:after="60"/>
            </w:pPr>
            <w:r>
              <w:rPr>
                <w:rFonts w:ascii="Times New Roman" w:hAnsi="Times New Roman"/>
                <w:sz w:val="20"/>
              </w:rPr>
              <w:t>Văn phòng CLP SEA Infrastructure Limited, đại diện: Hàn Thế Phong[^3]</w:t>
            </w:r>
          </w:p>
        </w:tc>
      </w:tr>
    </w:tbl>
    <w:p>
      <w:pPr>
        <w:spacing w:before="0" w:after="80"/>
      </w:pPr>
    </w:p>
    <w:p>
      <w:pPr>
        <w:pStyle w:val="Heading3"/>
        <w:spacing w:before="240" w:after="160"/>
      </w:pPr>
      <w:r>
        <w:rPr>
          <w:rFonts w:ascii="Times New Roman" w:hAnsi="Times New Roman" w:eastAsia="Times New Roman"/>
          <w:color w:val="1A1A2E"/>
          <w:sz w:val="32"/>
        </w:rPr>
        <w:t>5.3. Các đối tác tiềm năng khác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Đối tác</w:t>
            </w:r>
          </w:p>
        </w:tc>
        <w:tc>
          <w:tcPr>
            <w:tcW w:type="dxa" w:w="3120"/>
            <w:shd w:fill="E2E8F0" w:val="clear"/>
          </w:tcPr>
          <w:p>
            <w:pPr>
              <w:spacing w:before="60" w:after="60"/>
            </w:pPr>
            <w:r>
              <w:rPr>
                <w:rFonts w:ascii="Times New Roman" w:hAnsi="Times New Roman"/>
                <w:b/>
                <w:sz w:val="20"/>
              </w:rPr>
              <w:t>Thế mạnh</w:t>
            </w:r>
          </w:p>
        </w:tc>
        <w:tc>
          <w:tcPr>
            <w:tcW w:type="dxa" w:w="3120"/>
            <w:shd w:fill="E2E8F0" w:val="clear"/>
          </w:tcPr>
          <w:p>
            <w:pPr>
              <w:spacing w:before="60" w:after="60"/>
            </w:pPr>
            <w:r>
              <w:rPr>
                <w:rFonts w:ascii="Times New Roman" w:hAnsi="Times New Roman"/>
                <w:b/>
                <w:sz w:val="20"/>
              </w:rPr>
              <w:t>Hạn chế</w:t>
            </w:r>
          </w:p>
        </w:tc>
      </w:tr>
      <w:tr>
        <w:tc>
          <w:tcPr>
            <w:tcW w:type="dxa" w:w="3120"/>
          </w:tcPr>
          <w:p>
            <w:pPr>
              <w:spacing w:before="60" w:after="60"/>
            </w:pPr>
            <w:r>
              <w:rPr>
                <w:rFonts w:ascii="Times New Roman" w:hAnsi="Times New Roman"/>
                <w:sz w:val="20"/>
              </w:rPr>
              <w:t>Marubeni(Nhật Bản)</w:t>
            </w:r>
          </w:p>
        </w:tc>
        <w:tc>
          <w:tcPr>
            <w:tcW w:type="dxa" w:w="3120"/>
          </w:tcPr>
          <w:p>
            <w:pPr>
              <w:spacing w:before="60" w:after="60"/>
            </w:pPr>
            <w:r>
              <w:rPr>
                <w:rFonts w:ascii="Times New Roman" w:hAnsi="Times New Roman"/>
                <w:sz w:val="20"/>
              </w:rPr>
              <w:t>Đã triển khai BESS tại Vinpearl[^20]</w:t>
            </w:r>
          </w:p>
        </w:tc>
        <w:tc>
          <w:tcPr>
            <w:tcW w:type="dxa" w:w="3120"/>
          </w:tcPr>
          <w:p>
            <w:pPr>
              <w:spacing w:before="60" w:after="60"/>
            </w:pPr>
            <w:r>
              <w:rPr>
                <w:rFonts w:ascii="Times New Roman" w:hAnsi="Times New Roman"/>
                <w:sz w:val="20"/>
              </w:rPr>
              <w:t>Quy mô BESS còn nhỏ (1,8 MW)</w:t>
            </w:r>
          </w:p>
        </w:tc>
      </w:tr>
      <w:tr>
        <w:tc>
          <w:tcPr>
            <w:tcW w:type="dxa" w:w="3120"/>
          </w:tcPr>
          <w:p>
            <w:pPr>
              <w:spacing w:before="60" w:after="60"/>
            </w:pPr>
            <w:r>
              <w:rPr>
                <w:rFonts w:ascii="Times New Roman" w:hAnsi="Times New Roman"/>
                <w:sz w:val="20"/>
              </w:rPr>
              <w:t>Fluence(Siemens-AES)</w:t>
            </w:r>
          </w:p>
        </w:tc>
        <w:tc>
          <w:tcPr>
            <w:tcW w:type="dxa" w:w="3120"/>
          </w:tcPr>
          <w:p>
            <w:pPr>
              <w:spacing w:before="60" w:after="60"/>
            </w:pPr>
            <w:r>
              <w:rPr>
                <w:rFonts w:ascii="Times New Roman" w:hAnsi="Times New Roman"/>
                <w:sz w:val="20"/>
              </w:rPr>
              <w:t>Nhà máy pin 35 GWh/năm tại Bắc Giang[^21]</w:t>
            </w:r>
          </w:p>
        </w:tc>
        <w:tc>
          <w:tcPr>
            <w:tcW w:type="dxa" w:w="3120"/>
          </w:tcPr>
          <w:p>
            <w:pPr>
              <w:spacing w:before="60" w:after="60"/>
            </w:pPr>
            <w:r>
              <w:rPr>
                <w:rFonts w:ascii="Times New Roman" w:hAnsi="Times New Roman"/>
                <w:sz w:val="20"/>
              </w:rPr>
              <w:t>Chủ yếu sản xuất, chưa làm Project Finance</w:t>
            </w:r>
          </w:p>
        </w:tc>
      </w:tr>
      <w:tr>
        <w:tc>
          <w:tcPr>
            <w:tcW w:type="dxa" w:w="3120"/>
          </w:tcPr>
          <w:p>
            <w:pPr>
              <w:spacing w:before="60" w:after="60"/>
            </w:pPr>
            <w:r>
              <w:rPr>
                <w:rFonts w:ascii="Times New Roman" w:hAnsi="Times New Roman"/>
                <w:sz w:val="20"/>
              </w:rPr>
              <w:t>JERA(Nhật Bản)</w:t>
            </w:r>
          </w:p>
        </w:tc>
        <w:tc>
          <w:tcPr>
            <w:tcW w:type="dxa" w:w="3120"/>
          </w:tcPr>
          <w:p>
            <w:pPr>
              <w:spacing w:before="60" w:after="60"/>
            </w:pPr>
            <w:r>
              <w:rPr>
                <w:rFonts w:ascii="Times New Roman" w:hAnsi="Times New Roman"/>
                <w:sz w:val="20"/>
              </w:rPr>
              <w:t>Lớn nhất Nhật Bản, kinh nghiệm nhiệt điện VN</w:t>
            </w:r>
          </w:p>
        </w:tc>
        <w:tc>
          <w:tcPr>
            <w:tcW w:type="dxa" w:w="3120"/>
          </w:tcPr>
          <w:p>
            <w:pPr>
              <w:spacing w:before="60" w:after="60"/>
            </w:pPr>
            <w:r>
              <w:rPr>
                <w:rFonts w:ascii="Times New Roman" w:hAnsi="Times New Roman"/>
                <w:sz w:val="20"/>
              </w:rPr>
              <w:t>Chưa mạnh về BESS tại VN</w:t>
            </w:r>
          </w:p>
        </w:tc>
      </w:tr>
      <w:tr>
        <w:tc>
          <w:tcPr>
            <w:tcW w:type="dxa" w:w="3120"/>
          </w:tcPr>
          <w:p>
            <w:pPr>
              <w:spacing w:before="60" w:after="60"/>
            </w:pPr>
            <w:r>
              <w:rPr>
                <w:rFonts w:ascii="Times New Roman" w:hAnsi="Times New Roman"/>
                <w:sz w:val="20"/>
              </w:rPr>
              <w:t>EDF Renewables(Pháp)</w:t>
            </w:r>
          </w:p>
        </w:tc>
        <w:tc>
          <w:tcPr>
            <w:tcW w:type="dxa" w:w="3120"/>
          </w:tcPr>
          <w:p>
            <w:pPr>
              <w:spacing w:before="60" w:after="60"/>
            </w:pPr>
            <w:r>
              <w:rPr>
                <w:rFonts w:ascii="Times New Roman" w:hAnsi="Times New Roman"/>
                <w:sz w:val="20"/>
              </w:rPr>
              <w:t>Kinh nghiệm gió ngoài khơi Châu Âu</w:t>
            </w:r>
          </w:p>
        </w:tc>
        <w:tc>
          <w:tcPr>
            <w:tcW w:type="dxa" w:w="3120"/>
          </w:tcPr>
          <w:p>
            <w:pPr>
              <w:spacing w:before="60" w:after="60"/>
            </w:pPr>
            <w:r>
              <w:rPr>
                <w:rFonts w:ascii="Times New Roman" w:hAnsi="Times New Roman"/>
                <w:sz w:val="20"/>
              </w:rPr>
              <w:t>Chưa có dự án BESS tại Đông Nam Á</w:t>
            </w:r>
          </w:p>
        </w:tc>
      </w:tr>
    </w:tbl>
    <w:p>
      <w:pPr>
        <w:spacing w:before="0" w:after="80"/>
      </w:pPr>
    </w:p>
    <w:p>
      <w:pPr>
        <w:pStyle w:val="Heading3"/>
        <w:spacing w:before="240" w:after="160"/>
      </w:pPr>
      <w:r>
        <w:rPr>
          <w:rFonts w:ascii="Times New Roman" w:hAnsi="Times New Roman" w:eastAsia="Times New Roman"/>
          <w:color w:val="1A1A2E"/>
          <w:sz w:val="32"/>
        </w:rPr>
        <w:t>5.4. Đề xuất</w:t>
      </w:r>
    </w:p>
    <w:p>
      <w:r>
        <w:t xml:space="preserve">Đàm phán thăm dò </w:t>
      </w:r>
      <w:r>
        <w:rPr>
          <w:b/>
        </w:rPr>
        <w:t>non-binding</w:t>
      </w:r>
      <w:r>
        <w:t xml:space="preserve"> với CLP trước (ưu tiên #1) theo đề xuất từ bản ghi nhớ ngày 23/02/2026[^3]. Song song đánh giá Marubeni (đã có tiền lệ Vinpearl) và Fluence (chuỗi cung ứng nội địa).</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6. Lợi ích kép: An ninh năng lượng + ESG</w:t>
      </w:r>
    </w:p>
    <w:p>
      <w:pPr>
        <w:pStyle w:val="Heading3"/>
        <w:spacing w:before="240" w:after="160"/>
      </w:pPr>
      <w:r>
        <w:rPr>
          <w:rFonts w:ascii="Times New Roman" w:hAnsi="Times New Roman" w:eastAsia="Times New Roman"/>
          <w:color w:val="1A1A2E"/>
          <w:sz w:val="32"/>
        </w:rPr>
        <w:t>6.1. Yêu cầu từ 13 thương hiệu quốc tế</w:t>
      </w:r>
    </w:p>
    <w:p>
      <w:r>
        <w:t xml:space="preserve">13 thương hiệu khách sạn tại Bãi Đất Đỏ đến từ 5 tập đoàn[^3], tất cả đều có cam kết giảm phát thải theo </w:t>
      </w:r>
      <w:r>
        <w:rPr>
          <w:b/>
        </w:rPr>
        <w:t>Science Based Targets initiative (SBTi)</w:t>
      </w:r>
      <w:r>
        <w: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Tập đoàn</w:t>
            </w:r>
          </w:p>
        </w:tc>
        <w:tc>
          <w:tcPr>
            <w:tcW w:type="dxa" w:w="3120"/>
            <w:shd w:fill="E2E8F0" w:val="clear"/>
          </w:tcPr>
          <w:p>
            <w:pPr>
              <w:spacing w:before="60" w:after="60"/>
            </w:pPr>
            <w:r>
              <w:rPr>
                <w:rFonts w:ascii="Times New Roman" w:hAnsi="Times New Roman"/>
                <w:b/>
                <w:sz w:val="20"/>
              </w:rPr>
              <w:t>Cam kết</w:t>
            </w:r>
          </w:p>
        </w:tc>
        <w:tc>
          <w:tcPr>
            <w:tcW w:type="dxa" w:w="3120"/>
            <w:shd w:fill="E2E8F0" w:val="clear"/>
          </w:tcPr>
          <w:p>
            <w:pPr>
              <w:spacing w:before="60" w:after="60"/>
            </w:pPr>
            <w:r>
              <w:rPr>
                <w:rFonts w:ascii="Times New Roman" w:hAnsi="Times New Roman"/>
                <w:b/>
                <w:sz w:val="20"/>
              </w:rPr>
              <w:t>Hệ quả cho Sun Group</w:t>
            </w:r>
          </w:p>
        </w:tc>
      </w:tr>
      <w:tr>
        <w:tc>
          <w:tcPr>
            <w:tcW w:type="dxa" w:w="3120"/>
          </w:tcPr>
          <w:p>
            <w:pPr>
              <w:spacing w:before="60" w:after="60"/>
            </w:pPr>
            <w:r>
              <w:rPr>
                <w:rFonts w:ascii="Times New Roman" w:hAnsi="Times New Roman"/>
                <w:sz w:val="20"/>
              </w:rPr>
              <w:t>Accor</w:t>
            </w:r>
          </w:p>
        </w:tc>
        <w:tc>
          <w:tcPr>
            <w:tcW w:type="dxa" w:w="3120"/>
          </w:tcPr>
          <w:p>
            <w:pPr>
              <w:spacing w:before="60" w:after="60"/>
            </w:pPr>
            <w:r>
              <w:rPr>
                <w:rFonts w:ascii="Times New Roman" w:hAnsi="Times New Roman"/>
                <w:sz w:val="20"/>
              </w:rPr>
              <w:t>100% eco-certified cuối 2026</w:t>
            </w:r>
          </w:p>
        </w:tc>
        <w:tc>
          <w:tcPr>
            <w:tcW w:type="dxa" w:w="3120"/>
          </w:tcPr>
          <w:p>
            <w:pPr>
              <w:spacing w:before="60" w:after="60"/>
            </w:pPr>
            <w:r>
              <w:rPr>
                <w:rFonts w:ascii="Times New Roman" w:hAnsi="Times New Roman"/>
                <w:sz w:val="20"/>
              </w:rPr>
              <w:t>Chứng minh nguồn năng lượng sạch</w:t>
            </w:r>
          </w:p>
        </w:tc>
      </w:tr>
      <w:tr>
        <w:tc>
          <w:tcPr>
            <w:tcW w:type="dxa" w:w="3120"/>
          </w:tcPr>
          <w:p>
            <w:pPr>
              <w:spacing w:before="60" w:after="60"/>
            </w:pPr>
            <w:r>
              <w:rPr>
                <w:rFonts w:ascii="Times New Roman" w:hAnsi="Times New Roman"/>
                <w:sz w:val="20"/>
              </w:rPr>
              <w:t>IHG</w:t>
            </w:r>
          </w:p>
        </w:tc>
        <w:tc>
          <w:tcPr>
            <w:tcW w:type="dxa" w:w="3120"/>
          </w:tcPr>
          <w:p>
            <w:pPr>
              <w:spacing w:before="60" w:after="60"/>
            </w:pPr>
            <w:r>
              <w:rPr>
                <w:rFonts w:ascii="Times New Roman" w:hAnsi="Times New Roman"/>
                <w:sz w:val="20"/>
              </w:rPr>
              <w:t>Net Zero 2050, giảm 46% đến 2030</w:t>
            </w:r>
          </w:p>
        </w:tc>
        <w:tc>
          <w:tcPr>
            <w:tcW w:type="dxa" w:w="3120"/>
          </w:tcPr>
          <w:p>
            <w:pPr>
              <w:spacing w:before="60" w:after="60"/>
            </w:pPr>
            <w:r>
              <w:rPr>
                <w:rFonts w:ascii="Times New Roman" w:hAnsi="Times New Roman"/>
                <w:sz w:val="20"/>
              </w:rPr>
              <w:t>Yêu cầu % năng lượng tái tạo</w:t>
            </w:r>
          </w:p>
        </w:tc>
      </w:tr>
      <w:tr>
        <w:tc>
          <w:tcPr>
            <w:tcW w:type="dxa" w:w="3120"/>
          </w:tcPr>
          <w:p>
            <w:pPr>
              <w:spacing w:before="60" w:after="60"/>
            </w:pPr>
            <w:r>
              <w:rPr>
                <w:rFonts w:ascii="Times New Roman" w:hAnsi="Times New Roman"/>
                <w:sz w:val="20"/>
              </w:rPr>
              <w:t>Marriott</w:t>
            </w:r>
          </w:p>
        </w:tc>
        <w:tc>
          <w:tcPr>
            <w:tcW w:type="dxa" w:w="3120"/>
          </w:tcPr>
          <w:p>
            <w:pPr>
              <w:spacing w:before="60" w:after="60"/>
            </w:pPr>
            <w:r>
              <w:rPr>
                <w:rFonts w:ascii="Times New Roman" w:hAnsi="Times New Roman"/>
                <w:sz w:val="20"/>
              </w:rPr>
              <w:t>Giảm 50% carbon đến 2025</w:t>
            </w:r>
          </w:p>
        </w:tc>
        <w:tc>
          <w:tcPr>
            <w:tcW w:type="dxa" w:w="3120"/>
          </w:tcPr>
          <w:p>
            <w:pPr>
              <w:spacing w:before="60" w:after="60"/>
            </w:pPr>
            <w:r>
              <w:rPr>
                <w:rFonts w:ascii="Times New Roman" w:hAnsi="Times New Roman"/>
                <w:sz w:val="20"/>
              </w:rPr>
              <w:t>Báo cáo carbon footprint cơ sở</w:t>
            </w:r>
          </w:p>
        </w:tc>
      </w:tr>
      <w:tr>
        <w:tc>
          <w:tcPr>
            <w:tcW w:type="dxa" w:w="3120"/>
          </w:tcPr>
          <w:p>
            <w:pPr>
              <w:spacing w:before="60" w:after="60"/>
            </w:pPr>
            <w:r>
              <w:rPr>
                <w:rFonts w:ascii="Times New Roman" w:hAnsi="Times New Roman"/>
                <w:sz w:val="20"/>
              </w:rPr>
              <w:t>Hilton</w:t>
            </w:r>
          </w:p>
        </w:tc>
        <w:tc>
          <w:tcPr>
            <w:tcW w:type="dxa" w:w="3120"/>
          </w:tcPr>
          <w:p>
            <w:pPr>
              <w:spacing w:before="60" w:after="60"/>
            </w:pPr>
            <w:r>
              <w:rPr>
                <w:rFonts w:ascii="Times New Roman" w:hAnsi="Times New Roman"/>
                <w:sz w:val="20"/>
              </w:rPr>
              <w:t>Cắt giảm 61% đến 2030</w:t>
            </w:r>
          </w:p>
        </w:tc>
        <w:tc>
          <w:tcPr>
            <w:tcW w:type="dxa" w:w="3120"/>
          </w:tcPr>
          <w:p>
            <w:pPr>
              <w:spacing w:before="60" w:after="60"/>
            </w:pPr>
            <w:r>
              <w:rPr>
                <w:rFonts w:ascii="Times New Roman" w:hAnsi="Times New Roman"/>
                <w:sz w:val="20"/>
              </w:rPr>
              <w:t>ESG audit hằng năm</w:t>
            </w:r>
          </w:p>
        </w:tc>
      </w:tr>
      <w:tr>
        <w:tc>
          <w:tcPr>
            <w:tcW w:type="dxa" w:w="3120"/>
          </w:tcPr>
          <w:p>
            <w:pPr>
              <w:spacing w:before="60" w:after="60"/>
            </w:pPr>
            <w:r>
              <w:rPr>
                <w:rFonts w:ascii="Times New Roman" w:hAnsi="Times New Roman"/>
                <w:sz w:val="20"/>
              </w:rPr>
              <w:t>Hyatt</w:t>
            </w:r>
          </w:p>
        </w:tc>
        <w:tc>
          <w:tcPr>
            <w:tcW w:type="dxa" w:w="3120"/>
          </w:tcPr>
          <w:p>
            <w:pPr>
              <w:spacing w:before="60" w:after="60"/>
            </w:pPr>
            <w:r>
              <w:rPr>
                <w:rFonts w:ascii="Times New Roman" w:hAnsi="Times New Roman"/>
                <w:sz w:val="20"/>
              </w:rPr>
              <w:t>Science-based targets</w:t>
            </w:r>
          </w:p>
        </w:tc>
        <w:tc>
          <w:tcPr>
            <w:tcW w:type="dxa" w:w="3120"/>
          </w:tcPr>
          <w:p>
            <w:pPr>
              <w:spacing w:before="60" w:after="60"/>
            </w:pPr>
            <w:r>
              <w:rPr>
                <w:rFonts w:ascii="Times New Roman" w:hAnsi="Times New Roman"/>
                <w:sz w:val="20"/>
              </w:rPr>
              <w:t>Chứng chỉ LEED/Green Building</w:t>
            </w:r>
          </w:p>
        </w:tc>
      </w:tr>
    </w:tbl>
    <w:p>
      <w:pPr>
        <w:spacing w:before="0" w:after="80"/>
      </w:pPr>
    </w:p>
    <w:p>
      <w:pPr>
        <w:pStyle w:val="Heading3"/>
        <w:spacing w:before="240" w:after="160"/>
      </w:pPr>
      <w:r>
        <w:rPr>
          <w:rFonts w:ascii="Times New Roman" w:hAnsi="Times New Roman" w:eastAsia="Times New Roman"/>
          <w:color w:val="1A1A2E"/>
          <w:sz w:val="32"/>
        </w:rPr>
        <w:t>6.2. “APEC xanh” — Câu chuyện thương hiệu</w:t>
      </w:r>
    </w:p>
    <w:p>
      <w:r>
        <w:t xml:space="preserve">APEC 2027 tại Phú Quốc — cơ hội để Sun Group và Việt Nam thể hiện cam kết năng lượng sạch trước 21 nền kinh tế. Trung tâm Hội nghị APEC vận hành bằng </w:t>
      </w:r>
      <w:r>
        <w:rPr>
          <w:b/>
        </w:rPr>
        <w:t>100% năng lượng tái tạo</w:t>
      </w:r>
      <w:r>
        <w:t xml:space="preserve"> sẽ là thông điệp mạnh mẽ về phát triển bền vững.</w:t>
      </w:r>
    </w:p>
    <w:p>
      <w:pPr>
        <w:pStyle w:val="Heading3"/>
        <w:spacing w:before="240" w:after="160"/>
      </w:pPr>
      <w:r>
        <w:rPr>
          <w:rFonts w:ascii="Times New Roman" w:hAnsi="Times New Roman" w:eastAsia="Times New Roman"/>
          <w:color w:val="1A1A2E"/>
          <w:sz w:val="32"/>
        </w:rPr>
        <w:t>6.3. Mô hình nhân rộng</w:t>
      </w:r>
    </w:p>
    <w:p>
      <w:r>
        <w:t>Nếu thành công tại Phú Quốc, mô hình an ninh năng lượng có thể nhân rộng cho toàn bộ danh mục Sun Group:</w:t>
        <w:br/>
        <w:t xml:space="preserve">- </w:t>
      </w:r>
      <w:r>
        <w:rPr>
          <w:b/>
        </w:rPr>
        <w:t>Đà Nẵng:</w:t>
      </w:r>
      <w:r>
        <w:t xml:space="preserve"> InterContinental, JW Marriott, Novotel</w:t>
        <w:br/>
        <w:t xml:space="preserve">- </w:t>
      </w:r>
      <w:r>
        <w:rPr>
          <w:b/>
        </w:rPr>
        <w:t>Hạ Long:</w:t>
      </w:r>
      <w:r>
        <w:t xml:space="preserve"> Sun World, cáp treo, khách sạn</w:t>
        <w:br/>
        <w:t xml:space="preserve">- </w:t>
      </w:r>
      <w:r>
        <w:rPr>
          <w:b/>
        </w:rPr>
        <w:t>Sa Pa:</w:t>
      </w:r>
      <w:r>
        <w:t xml:space="preserve"> Sun World Fansipan, khách sạn Mường Hoa</w:t>
        <w:br/>
        <w:t xml:space="preserve">- </w:t>
      </w:r>
      <w:r>
        <w:rPr>
          <w:b/>
        </w:rPr>
        <w:t>Vân Phong:</w:t>
      </w:r>
      <w:r>
        <w:t xml:space="preserve"> Dự án resort mới</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7. Lộ trình triển khai đề xuất</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Phase</w:t>
            </w:r>
          </w:p>
        </w:tc>
        <w:tc>
          <w:tcPr>
            <w:tcW w:type="dxa" w:w="2340"/>
            <w:shd w:fill="E2E8F0" w:val="clear"/>
          </w:tcPr>
          <w:p>
            <w:pPr>
              <w:spacing w:before="60" w:after="60"/>
            </w:pPr>
            <w:r>
              <w:rPr>
                <w:rFonts w:ascii="Times New Roman" w:hAnsi="Times New Roman"/>
                <w:b/>
                <w:sz w:val="20"/>
              </w:rPr>
              <w:t>Thời gian</w:t>
            </w:r>
          </w:p>
        </w:tc>
        <w:tc>
          <w:tcPr>
            <w:tcW w:type="dxa" w:w="2340"/>
            <w:shd w:fill="E2E8F0" w:val="clear"/>
          </w:tcPr>
          <w:p>
            <w:pPr>
              <w:spacing w:before="60" w:after="60"/>
            </w:pPr>
            <w:r>
              <w:rPr>
                <w:rFonts w:ascii="Times New Roman" w:hAnsi="Times New Roman"/>
                <w:b/>
                <w:sz w:val="20"/>
              </w:rPr>
              <w:t>Nội dung</w:t>
            </w:r>
          </w:p>
        </w:tc>
        <w:tc>
          <w:tcPr>
            <w:tcW w:type="dxa" w:w="2340"/>
            <w:shd w:fill="E2E8F0" w:val="clear"/>
          </w:tcPr>
          <w:p>
            <w:pPr>
              <w:spacing w:before="60" w:after="60"/>
            </w:pPr>
            <w:r>
              <w:rPr>
                <w:rFonts w:ascii="Times New Roman" w:hAnsi="Times New Roman"/>
                <w:b/>
                <w:sz w:val="20"/>
              </w:rPr>
              <w:t>Đầu ra</w:t>
            </w:r>
          </w:p>
        </w:tc>
      </w:tr>
      <w:tr>
        <w:tc>
          <w:tcPr>
            <w:tcW w:type="dxa" w:w="2340"/>
          </w:tcPr>
          <w:p>
            <w:pPr>
              <w:spacing w:before="60" w:after="60"/>
            </w:pPr>
            <w:r>
              <w:rPr>
                <w:rFonts w:ascii="Times New Roman" w:hAnsi="Times New Roman"/>
                <w:sz w:val="20"/>
              </w:rPr>
              <w:t>Phase 0— Khảo sát</w:t>
            </w:r>
          </w:p>
        </w:tc>
        <w:tc>
          <w:tcPr>
            <w:tcW w:type="dxa" w:w="2340"/>
          </w:tcPr>
          <w:p>
            <w:pPr>
              <w:spacing w:before="60" w:after="60"/>
            </w:pPr>
            <w:r>
              <w:rPr>
                <w:rFonts w:ascii="Times New Roman" w:hAnsi="Times New Roman"/>
                <w:sz w:val="20"/>
              </w:rPr>
              <w:t>T3-T5/2026</w:t>
            </w:r>
          </w:p>
        </w:tc>
        <w:tc>
          <w:tcPr>
            <w:tcW w:type="dxa" w:w="2340"/>
          </w:tcPr>
          <w:p>
            <w:pPr>
              <w:spacing w:before="60" w:after="60"/>
            </w:pPr>
            <w:r>
              <w:rPr>
                <w:rFonts w:ascii="Times New Roman" w:hAnsi="Times New Roman"/>
                <w:sz w:val="20"/>
              </w:rPr>
              <w:t>Họp khởi đầu CLP + đội ngũ Sun Group; khảo sát thực địa sân bay, Bãi Đất Đỏ, TTHH APEC</w:t>
            </w:r>
          </w:p>
        </w:tc>
        <w:tc>
          <w:tcPr>
            <w:tcW w:type="dxa" w:w="2340"/>
          </w:tcPr>
          <w:p>
            <w:pPr>
              <w:spacing w:before="60" w:after="60"/>
            </w:pPr>
            <w:r>
              <w:rPr>
                <w:rFonts w:ascii="Times New Roman" w:hAnsi="Times New Roman"/>
                <w:sz w:val="20"/>
              </w:rPr>
              <w:t>Báo cáo khả thi + bài toán kinh tế</w:t>
            </w:r>
          </w:p>
        </w:tc>
      </w:tr>
      <w:tr>
        <w:tc>
          <w:tcPr>
            <w:tcW w:type="dxa" w:w="2340"/>
          </w:tcPr>
          <w:p>
            <w:pPr>
              <w:spacing w:before="60" w:after="60"/>
            </w:pPr>
            <w:r>
              <w:rPr>
                <w:rFonts w:ascii="Times New Roman" w:hAnsi="Times New Roman"/>
                <w:sz w:val="20"/>
              </w:rPr>
              <w:t>Phase 1— Trọng yếu</w:t>
            </w:r>
          </w:p>
        </w:tc>
        <w:tc>
          <w:tcPr>
            <w:tcW w:type="dxa" w:w="2340"/>
          </w:tcPr>
          <w:p>
            <w:pPr>
              <w:spacing w:before="60" w:after="60"/>
            </w:pPr>
            <w:r>
              <w:rPr>
                <w:rFonts w:ascii="Times New Roman" w:hAnsi="Times New Roman"/>
                <w:sz w:val="20"/>
              </w:rPr>
              <w:t>T6/2026 – T9/2027</w:t>
            </w:r>
          </w:p>
        </w:tc>
        <w:tc>
          <w:tcPr>
            <w:tcW w:type="dxa" w:w="2340"/>
          </w:tcPr>
          <w:p>
            <w:pPr>
              <w:spacing w:before="60" w:after="60"/>
            </w:pPr>
            <w:r>
              <w:rPr>
                <w:rFonts w:ascii="Times New Roman" w:hAnsi="Times New Roman"/>
                <w:sz w:val="20"/>
              </w:rPr>
              <w:t>BESS + solar cho sân bay, TTHH APEC, khách sạn trọng điểm</w:t>
            </w:r>
          </w:p>
        </w:tc>
        <w:tc>
          <w:tcPr>
            <w:tcW w:type="dxa" w:w="2340"/>
          </w:tcPr>
          <w:p>
            <w:pPr>
              <w:spacing w:before="60" w:after="60"/>
            </w:pPr>
            <w:r>
              <w:rPr>
                <w:rFonts w:ascii="Times New Roman" w:hAnsi="Times New Roman"/>
                <w:sz w:val="20"/>
              </w:rPr>
              <w:t>Hệ thống sẵn sàng trước APEC 11/2027</w:t>
            </w:r>
          </w:p>
        </w:tc>
      </w:tr>
      <w:tr>
        <w:tc>
          <w:tcPr>
            <w:tcW w:type="dxa" w:w="2340"/>
          </w:tcPr>
          <w:p>
            <w:pPr>
              <w:spacing w:before="60" w:after="60"/>
            </w:pPr>
            <w:r>
              <w:rPr>
                <w:rFonts w:ascii="Times New Roman" w:hAnsi="Times New Roman"/>
                <w:sz w:val="20"/>
              </w:rPr>
              <w:t>Phase 2— Mở rộng</w:t>
            </w:r>
          </w:p>
        </w:tc>
        <w:tc>
          <w:tcPr>
            <w:tcW w:type="dxa" w:w="2340"/>
          </w:tcPr>
          <w:p>
            <w:pPr>
              <w:spacing w:before="60" w:after="60"/>
            </w:pPr>
            <w:r>
              <w:rPr>
                <w:rFonts w:ascii="Times New Roman" w:hAnsi="Times New Roman"/>
                <w:sz w:val="20"/>
              </w:rPr>
              <w:t>2027 – 2030</w:t>
            </w:r>
          </w:p>
        </w:tc>
        <w:tc>
          <w:tcPr>
            <w:tcW w:type="dxa" w:w="2340"/>
          </w:tcPr>
          <w:p>
            <w:pPr>
              <w:spacing w:before="60" w:after="60"/>
            </w:pPr>
            <w:r>
              <w:rPr>
                <w:rFonts w:ascii="Times New Roman" w:hAnsi="Times New Roman"/>
                <w:sz w:val="20"/>
              </w:rPr>
              <w:t>Toàn bộ danh mục; điện gió ven bờ; DPPA dài hạn</w:t>
            </w:r>
          </w:p>
        </w:tc>
        <w:tc>
          <w:tcPr>
            <w:tcW w:type="dxa" w:w="2340"/>
          </w:tcPr>
          <w:p>
            <w:pPr>
              <w:spacing w:before="60" w:after="60"/>
            </w:pPr>
            <w:r>
              <w:rPr>
                <w:rFonts w:ascii="Times New Roman" w:hAnsi="Times New Roman"/>
                <w:sz w:val="20"/>
              </w:rPr>
              <w:t>Tự chủ 50%+ năng lượng</w:t>
            </w:r>
          </w:p>
        </w:tc>
      </w:tr>
      <w:tr>
        <w:tc>
          <w:tcPr>
            <w:tcW w:type="dxa" w:w="2340"/>
          </w:tcPr>
          <w:p>
            <w:pPr>
              <w:spacing w:before="60" w:after="60"/>
            </w:pPr>
            <w:r>
              <w:rPr>
                <w:rFonts w:ascii="Times New Roman" w:hAnsi="Times New Roman"/>
                <w:sz w:val="20"/>
              </w:rPr>
              <w:t>Phase 3— Tự chủ</w:t>
            </w:r>
          </w:p>
        </w:tc>
        <w:tc>
          <w:tcPr>
            <w:tcW w:type="dxa" w:w="2340"/>
          </w:tcPr>
          <w:p>
            <w:pPr>
              <w:spacing w:before="60" w:after="60"/>
            </w:pPr>
            <w:r>
              <w:rPr>
                <w:rFonts w:ascii="Times New Roman" w:hAnsi="Times New Roman"/>
                <w:sz w:val="20"/>
              </w:rPr>
              <w:t>2030+</w:t>
            </w:r>
          </w:p>
        </w:tc>
        <w:tc>
          <w:tcPr>
            <w:tcW w:type="dxa" w:w="2340"/>
          </w:tcPr>
          <w:p>
            <w:pPr>
              <w:spacing w:before="60" w:after="60"/>
            </w:pPr>
            <w:r>
              <w:rPr>
                <w:rFonts w:ascii="Times New Roman" w:hAnsi="Times New Roman"/>
                <w:sz w:val="20"/>
              </w:rPr>
              <w:t>Điện gió ngoài khơi; microgrid toàn đảo; nhân rộng toàn quốc</w:t>
            </w:r>
          </w:p>
        </w:tc>
        <w:tc>
          <w:tcPr>
            <w:tcW w:type="dxa" w:w="2340"/>
          </w:tcPr>
          <w:p>
            <w:pPr>
              <w:spacing w:before="60" w:after="60"/>
            </w:pPr>
            <w:r>
              <w:rPr>
                <w:rFonts w:ascii="Times New Roman" w:hAnsi="Times New Roman"/>
                <w:sz w:val="20"/>
              </w:rPr>
              <w:t>Đảo tự chủ năng lượng</w:t>
            </w:r>
          </w:p>
        </w:tc>
      </w:tr>
    </w:tbl>
    <w:p>
      <w:pPr>
        <w:spacing w:before="0" w:after="80"/>
      </w:pPr>
    </w:p>
    <w:p>
      <w:r>
        <w:rPr>
          <w:b/>
        </w:rPr>
        <w:t>Mốc quan trọng (Critical milestones):</w:t>
      </w:r>
      <w:r>
        <w:br/>
        <w:t xml:space="preserve">- </w:t>
      </w:r>
      <w:r>
        <w:rPr>
          <w:b/>
        </w:rPr>
        <w:t>Q1/2026:</w:t>
      </w:r>
      <w:r>
        <w:t xml:space="preserve"> BOM phê duyệt chủ trương + ngân sách khảo sát</w:t>
        <w:br/>
        <w:t xml:space="preserve">- </w:t>
      </w:r>
      <w:r>
        <w:rPr>
          <w:b/>
        </w:rPr>
        <w:t>Q2/2026:</w:t>
      </w:r>
      <w:r>
        <w:t xml:space="preserve"> Hoàn thành khảo sát + ký MOU (Biên bản ghi nhớ) với đối tác</w:t>
        <w:br/>
        <w:t xml:space="preserve">- </w:t>
      </w:r>
      <w:r>
        <w:rPr>
          <w:b/>
        </w:rPr>
        <w:t>Q3/2026:</w:t>
      </w:r>
      <w:r>
        <w:t xml:space="preserve"> Khởi công Phase 1 (BESS + solar tại sân bay)</w:t>
        <w:br/>
        <w:t xml:space="preserve">- </w:t>
      </w:r>
      <w:r>
        <w:rPr>
          <w:b/>
        </w:rPr>
        <w:t>Q3/2027:</w:t>
      </w:r>
      <w:r>
        <w:t xml:space="preserve"> Nghiệm thu Phase 1 — sẵn sàng cho APEC</w:t>
        <w:br/>
        <w:t xml:space="preserve">- </w:t>
      </w:r>
      <w:r>
        <w:rPr>
          <w:b/>
        </w:rPr>
        <w:t>Q4/2027:</w:t>
      </w:r>
      <w:r>
        <w:t xml:space="preserve"> Khởi động Phase 2</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8. Kiến nghị phê duyệt</w:t>
      </w:r>
    </w:p>
    <w:p>
      <w:r>
        <w:t>Kính đề nghị Ban Tổng giám đốc xem xét và phê duyệt các nội dung sau:</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Nội dung kiến nghị</w:t>
            </w:r>
          </w:p>
        </w:tc>
        <w:tc>
          <w:tcPr>
            <w:tcW w:type="dxa" w:w="2340"/>
            <w:shd w:fill="E2E8F0" w:val="clear"/>
          </w:tcPr>
          <w:p>
            <w:pPr>
              <w:spacing w:before="60" w:after="60"/>
            </w:pPr>
            <w:r>
              <w:rPr>
                <w:rFonts w:ascii="Times New Roman" w:hAnsi="Times New Roman"/>
                <w:b/>
                <w:sz w:val="20"/>
              </w:rPr>
              <w:t>Ưu tiên</w:t>
            </w:r>
          </w:p>
        </w:tc>
        <w:tc>
          <w:tcPr>
            <w:tcW w:type="dxa" w:w="2340"/>
            <w:shd w:fill="E2E8F0" w:val="clear"/>
          </w:tcPr>
          <w:p>
            <w:pPr>
              <w:spacing w:before="60" w:after="60"/>
            </w:pPr>
            <w:r>
              <w:rPr>
                <w:rFonts w:ascii="Times New Roman" w:hAnsi="Times New Roman"/>
                <w:b/>
                <w:sz w:val="20"/>
              </w:rPr>
              <w:t>Deadline</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Phê duyệtchủ trươngxây dựng chiến lược an ninh năng lượng riêng cho danh mục Phú Quốc</w:t>
            </w:r>
          </w:p>
        </w:tc>
        <w:tc>
          <w:tcPr>
            <w:tcW w:type="dxa" w:w="2340"/>
          </w:tcPr>
          <w:p>
            <w:pPr>
              <w:spacing w:before="60" w:after="60"/>
            </w:pPr>
            <w:r>
              <w:rPr>
                <w:rFonts w:ascii="Times New Roman" w:hAnsi="Times New Roman"/>
                <w:sz w:val="20"/>
              </w:rPr>
              <w:t>Khẩn cấp</w:t>
            </w:r>
          </w:p>
        </w:tc>
        <w:tc>
          <w:tcPr>
            <w:tcW w:type="dxa" w:w="2340"/>
          </w:tcPr>
          <w:p>
            <w:pPr>
              <w:spacing w:before="60" w:after="60"/>
            </w:pPr>
            <w:r>
              <w:rPr>
                <w:rFonts w:ascii="Times New Roman" w:hAnsi="Times New Roman"/>
                <w:sz w:val="20"/>
              </w:rPr>
              <w:t>Trước 15/3/2026</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Cho phépđàm phán thăm dò(non-binding) với CLP Holdings và Marubeni</w:t>
            </w:r>
          </w:p>
        </w:tc>
        <w:tc>
          <w:tcPr>
            <w:tcW w:type="dxa" w:w="2340"/>
          </w:tcPr>
          <w:p>
            <w:pPr>
              <w:spacing w:before="60" w:after="60"/>
            </w:pPr>
            <w:r>
              <w:rPr>
                <w:rFonts w:ascii="Times New Roman" w:hAnsi="Times New Roman"/>
                <w:sz w:val="20"/>
              </w:rPr>
              <w:t>Cao</w:t>
            </w:r>
          </w:p>
        </w:tc>
        <w:tc>
          <w:tcPr>
            <w:tcW w:type="dxa" w:w="2340"/>
          </w:tcPr>
          <w:p>
            <w:pPr>
              <w:spacing w:before="60" w:after="60"/>
            </w:pPr>
            <w:r>
              <w:rPr>
                <w:rFonts w:ascii="Times New Roman" w:hAnsi="Times New Roman"/>
                <w:sz w:val="20"/>
              </w:rPr>
              <w:t>Trước 31/3/2026</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Phê duyệtngân sách Phase 0— khảo sát thực địa (~2-3 tỷ VND)</w:t>
            </w:r>
          </w:p>
        </w:tc>
        <w:tc>
          <w:tcPr>
            <w:tcW w:type="dxa" w:w="2340"/>
          </w:tcPr>
          <w:p>
            <w:pPr>
              <w:spacing w:before="60" w:after="60"/>
            </w:pPr>
            <w:r>
              <w:rPr>
                <w:rFonts w:ascii="Times New Roman" w:hAnsi="Times New Roman"/>
                <w:sz w:val="20"/>
              </w:rPr>
              <w:t>Cao</w:t>
            </w:r>
          </w:p>
        </w:tc>
        <w:tc>
          <w:tcPr>
            <w:tcW w:type="dxa" w:w="2340"/>
          </w:tcPr>
          <w:p>
            <w:pPr>
              <w:spacing w:before="60" w:after="60"/>
            </w:pPr>
            <w:r>
              <w:rPr>
                <w:rFonts w:ascii="Times New Roman" w:hAnsi="Times New Roman"/>
                <w:sz w:val="20"/>
              </w:rPr>
              <w:t>Trước 31/3/2026</w:t>
            </w:r>
          </w:p>
        </w:tc>
      </w:tr>
      <w:tr>
        <w:tc>
          <w:tcPr>
            <w:tcW w:type="dxa" w:w="2340"/>
          </w:tcPr>
          <w:p>
            <w:pPr>
              <w:spacing w:before="60" w:after="60"/>
            </w:pPr>
            <w:r>
              <w:rPr>
                <w:rFonts w:ascii="Times New Roman" w:hAnsi="Times New Roman"/>
                <w:sz w:val="20"/>
              </w:rPr>
              <w:t>4</w:t>
            </w:r>
          </w:p>
        </w:tc>
        <w:tc>
          <w:tcPr>
            <w:tcW w:type="dxa" w:w="2340"/>
          </w:tcPr>
          <w:p>
            <w:pPr>
              <w:spacing w:before="60" w:after="60"/>
            </w:pPr>
            <w:r>
              <w:rPr>
                <w:rFonts w:ascii="Times New Roman" w:hAnsi="Times New Roman"/>
                <w:sz w:val="20"/>
              </w:rPr>
              <w:t>GiaoNhóm Chiến lược Hạ tầngchủ trì phối hợp với VNDA, Sun Airport, Ban Phát triển Dự án</w:t>
            </w:r>
          </w:p>
        </w:tc>
        <w:tc>
          <w:tcPr>
            <w:tcW w:type="dxa" w:w="2340"/>
          </w:tcPr>
          <w:p>
            <w:pPr>
              <w:spacing w:before="60" w:after="60"/>
            </w:pPr>
            <w:r>
              <w:rPr>
                <w:rFonts w:ascii="Times New Roman" w:hAnsi="Times New Roman"/>
                <w:sz w:val="20"/>
              </w:rPr>
              <w:t>Trung bình</w:t>
            </w:r>
          </w:p>
        </w:tc>
        <w:tc>
          <w:tcPr>
            <w:tcW w:type="dxa" w:w="2340"/>
          </w:tcPr>
          <w:p>
            <w:pPr>
              <w:spacing w:before="60" w:after="60"/>
            </w:pPr>
            <w:r>
              <w:rPr>
                <w:rFonts w:ascii="Times New Roman" w:hAnsi="Times New Roman"/>
                <w:sz w:val="20"/>
              </w:rPr>
              <w:t>Khi mục 1 được duyệt</w:t>
            </w:r>
          </w:p>
        </w:tc>
      </w:tr>
      <w:tr>
        <w:tc>
          <w:tcPr>
            <w:tcW w:type="dxa" w:w="2340"/>
          </w:tcPr>
          <w:p>
            <w:pPr>
              <w:spacing w:before="60" w:after="60"/>
            </w:pPr>
            <w:r>
              <w:rPr>
                <w:rFonts w:ascii="Times New Roman" w:hAnsi="Times New Roman"/>
                <w:sz w:val="20"/>
              </w:rPr>
              <w:t>5</w:t>
            </w:r>
          </w:p>
        </w:tc>
        <w:tc>
          <w:tcPr>
            <w:tcW w:type="dxa" w:w="2340"/>
          </w:tcPr>
          <w:p>
            <w:pPr>
              <w:spacing w:before="60" w:after="60"/>
            </w:pPr>
            <w:r>
              <w:rPr>
                <w:rFonts w:ascii="Times New Roman" w:hAnsi="Times New Roman"/>
                <w:sz w:val="20"/>
              </w:rPr>
              <w:t>Báo cáo tiến độ Phase 0 tại cuộc họp BOMtháng 6/2026</w:t>
            </w:r>
          </w:p>
        </w:tc>
        <w:tc>
          <w:tcPr>
            <w:tcW w:type="dxa" w:w="2340"/>
          </w:tcPr>
          <w:p>
            <w:pPr>
              <w:spacing w:before="60" w:after="60"/>
            </w:pPr>
            <w:r>
              <w:rPr>
                <w:rFonts w:ascii="Times New Roman" w:hAnsi="Times New Roman"/>
                <w:sz w:val="20"/>
              </w:rPr>
              <w:t>Trung bình</w:t>
            </w:r>
          </w:p>
        </w:tc>
        <w:tc>
          <w:tcPr>
            <w:tcW w:type="dxa" w:w="2340"/>
          </w:tcPr>
          <w:p>
            <w:pPr>
              <w:spacing w:before="60" w:after="60"/>
            </w:pPr>
            <w:r>
              <w:rPr>
                <w:rFonts w:ascii="Times New Roman" w:hAnsi="Times New Roman"/>
                <w:sz w:val="20"/>
              </w:rPr>
              <w:t>30/6/2026</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w:t>
      </w:r>
    </w:p>
    <w:p>
      <w:pPr>
        <w:pStyle w:val="Heading3"/>
        <w:spacing w:before="240" w:after="160"/>
      </w:pPr>
      <w:r>
        <w:rPr>
          <w:rFonts w:ascii="Times New Roman" w:hAnsi="Times New Roman" w:eastAsia="Times New Roman"/>
          <w:color w:val="1A1A2E"/>
          <w:sz w:val="32"/>
        </w:rPr>
        <w:t>Phụ lục A: Dữ liệu lưới điện Phú Quốc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Đỉnh phụ tải 2025</w:t>
            </w:r>
          </w:p>
        </w:tc>
        <w:tc>
          <w:tcPr>
            <w:tcW w:type="dxa" w:w="3120"/>
          </w:tcPr>
          <w:p>
            <w:pPr>
              <w:spacing w:before="60" w:after="60"/>
            </w:pPr>
            <w:r>
              <w:rPr>
                <w:rFonts w:ascii="Times New Roman" w:hAnsi="Times New Roman"/>
                <w:sz w:val="20"/>
              </w:rPr>
              <w:t>110 MW</w:t>
            </w:r>
          </w:p>
        </w:tc>
        <w:tc>
          <w:tcPr>
            <w:tcW w:type="dxa" w:w="3120"/>
          </w:tcPr>
          <w:p>
            <w:pPr>
              <w:spacing w:before="60" w:after="60"/>
            </w:pPr>
            <w:r>
              <w:rPr>
                <w:rFonts w:ascii="Times New Roman" w:hAnsi="Times New Roman"/>
                <w:sz w:val="20"/>
              </w:rPr>
              <w:t>CLP Memo[^3]</w:t>
            </w:r>
          </w:p>
        </w:tc>
      </w:tr>
      <w:tr>
        <w:tc>
          <w:tcPr>
            <w:tcW w:type="dxa" w:w="3120"/>
          </w:tcPr>
          <w:p>
            <w:pPr>
              <w:spacing w:before="60" w:after="60"/>
            </w:pPr>
            <w:r>
              <w:rPr>
                <w:rFonts w:ascii="Times New Roman" w:hAnsi="Times New Roman"/>
                <w:sz w:val="20"/>
              </w:rPr>
              <w:t>Sản lượng tiêu thụ 2025</w:t>
            </w:r>
          </w:p>
        </w:tc>
        <w:tc>
          <w:tcPr>
            <w:tcW w:type="dxa" w:w="3120"/>
          </w:tcPr>
          <w:p>
            <w:pPr>
              <w:spacing w:before="60" w:after="60"/>
            </w:pPr>
            <w:r>
              <w:rPr>
                <w:rFonts w:ascii="Times New Roman" w:hAnsi="Times New Roman"/>
                <w:sz w:val="20"/>
              </w:rPr>
              <w:t>782 triệu kWh</w:t>
            </w:r>
          </w:p>
        </w:tc>
        <w:tc>
          <w:tcPr>
            <w:tcW w:type="dxa" w:w="3120"/>
          </w:tcPr>
          <w:p>
            <w:pPr>
              <w:spacing w:before="60" w:after="60"/>
            </w:pPr>
            <w:r>
              <w:rPr>
                <w:rFonts w:ascii="Times New Roman" w:hAnsi="Times New Roman"/>
                <w:sz w:val="20"/>
              </w:rPr>
              <w:t>CLP Memo[^3]</w:t>
            </w:r>
          </w:p>
        </w:tc>
      </w:tr>
      <w:tr>
        <w:tc>
          <w:tcPr>
            <w:tcW w:type="dxa" w:w="3120"/>
          </w:tcPr>
          <w:p>
            <w:pPr>
              <w:spacing w:before="60" w:after="60"/>
            </w:pPr>
            <w:r>
              <w:rPr>
                <w:rFonts w:ascii="Times New Roman" w:hAnsi="Times New Roman"/>
                <w:sz w:val="20"/>
              </w:rPr>
              <w:t>Tốc độ tăng trưởng</w:t>
            </w:r>
          </w:p>
        </w:tc>
        <w:tc>
          <w:tcPr>
            <w:tcW w:type="dxa" w:w="3120"/>
          </w:tcPr>
          <w:p>
            <w:pPr>
              <w:spacing w:before="60" w:after="60"/>
            </w:pPr>
            <w:r>
              <w:rPr>
                <w:rFonts w:ascii="Times New Roman" w:hAnsi="Times New Roman"/>
                <w:sz w:val="20"/>
              </w:rPr>
              <w:t>11%/năm</w:t>
            </w:r>
          </w:p>
        </w:tc>
        <w:tc>
          <w:tcPr>
            <w:tcW w:type="dxa" w:w="3120"/>
          </w:tcPr>
          <w:p>
            <w:pPr>
              <w:spacing w:before="60" w:after="60"/>
            </w:pPr>
            <w:r>
              <w:rPr>
                <w:rFonts w:ascii="Times New Roman" w:hAnsi="Times New Roman"/>
                <w:sz w:val="20"/>
              </w:rPr>
              <w:t>CLP Memo[^3]</w:t>
            </w:r>
          </w:p>
        </w:tc>
      </w:tr>
      <w:tr>
        <w:tc>
          <w:tcPr>
            <w:tcW w:type="dxa" w:w="3120"/>
          </w:tcPr>
          <w:p>
            <w:pPr>
              <w:spacing w:before="60" w:after="60"/>
            </w:pPr>
            <w:r>
              <w:rPr>
                <w:rFonts w:ascii="Times New Roman" w:hAnsi="Times New Roman"/>
                <w:sz w:val="20"/>
              </w:rPr>
              <w:t>Số hộ sử dụng điện</w:t>
            </w:r>
          </w:p>
        </w:tc>
        <w:tc>
          <w:tcPr>
            <w:tcW w:type="dxa" w:w="3120"/>
          </w:tcPr>
          <w:p>
            <w:pPr>
              <w:spacing w:before="60" w:after="60"/>
            </w:pPr>
            <w:r>
              <w:rPr>
                <w:rFonts w:ascii="Times New Roman" w:hAnsi="Times New Roman"/>
                <w:sz w:val="20"/>
              </w:rPr>
              <w:t>~30.000</w:t>
            </w:r>
          </w:p>
        </w:tc>
        <w:tc>
          <w:tcPr>
            <w:tcW w:type="dxa" w:w="3120"/>
          </w:tcPr>
          <w:p>
            <w:pPr>
              <w:spacing w:before="60" w:after="60"/>
            </w:pPr>
            <w:r>
              <w:rPr>
                <w:rFonts w:ascii="Times New Roman" w:hAnsi="Times New Roman"/>
                <w:sz w:val="20"/>
              </w:rPr>
              <w:t>VnExpress[^1]</w:t>
            </w:r>
          </w:p>
        </w:tc>
      </w:tr>
      <w:tr>
        <w:tc>
          <w:tcPr>
            <w:tcW w:type="dxa" w:w="3120"/>
          </w:tcPr>
          <w:p>
            <w:pPr>
              <w:spacing w:before="60" w:after="60"/>
            </w:pPr>
            <w:r>
              <w:rPr>
                <w:rFonts w:ascii="Times New Roman" w:hAnsi="Times New Roman"/>
                <w:sz w:val="20"/>
              </w:rPr>
              <w:t>Tổng đầu tư EVNSPC cho Phú Quốc</w:t>
            </w:r>
          </w:p>
        </w:tc>
        <w:tc>
          <w:tcPr>
            <w:tcW w:type="dxa" w:w="3120"/>
          </w:tcPr>
          <w:p>
            <w:pPr>
              <w:spacing w:before="60" w:after="60"/>
            </w:pPr>
            <w:r>
              <w:rPr>
                <w:rFonts w:ascii="Times New Roman" w:hAnsi="Times New Roman"/>
                <w:sz w:val="20"/>
              </w:rPr>
              <w:t>9.160 tỷ VND</w:t>
            </w:r>
          </w:p>
        </w:tc>
        <w:tc>
          <w:tcPr>
            <w:tcW w:type="dxa" w:w="3120"/>
          </w:tcPr>
          <w:p>
            <w:pPr>
              <w:spacing w:before="60" w:after="60"/>
            </w:pPr>
            <w:r>
              <w:rPr>
                <w:rFonts w:ascii="Times New Roman" w:hAnsi="Times New Roman"/>
                <w:sz w:val="20"/>
              </w:rPr>
              <w:t>EVN.com.vn[^4]</w:t>
            </w:r>
          </w:p>
        </w:tc>
      </w:tr>
      <w:tr>
        <w:tc>
          <w:tcPr>
            <w:tcW w:type="dxa" w:w="3120"/>
          </w:tcPr>
          <w:p>
            <w:pPr>
              <w:spacing w:before="60" w:after="60"/>
            </w:pPr>
            <w:r>
              <w:rPr>
                <w:rFonts w:ascii="Times New Roman" w:hAnsi="Times New Roman"/>
                <w:sz w:val="20"/>
              </w:rPr>
              <w:t>Dung lượng tuyến 220 kV mới</w:t>
            </w:r>
          </w:p>
        </w:tc>
        <w:tc>
          <w:tcPr>
            <w:tcW w:type="dxa" w:w="3120"/>
          </w:tcPr>
          <w:p>
            <w:pPr>
              <w:spacing w:before="60" w:after="60"/>
            </w:pPr>
            <w:r>
              <w:rPr>
                <w:rFonts w:ascii="Times New Roman" w:hAnsi="Times New Roman"/>
                <w:sz w:val="20"/>
              </w:rPr>
              <w:t>Gấp 5 lần tuyến 110 kV cũ</w:t>
            </w:r>
          </w:p>
        </w:tc>
        <w:tc>
          <w:tcPr>
            <w:tcW w:type="dxa" w:w="3120"/>
          </w:tcPr>
          <w:p>
            <w:pPr>
              <w:spacing w:before="60" w:after="60"/>
            </w:pPr>
            <w:r>
              <w:rPr>
                <w:rFonts w:ascii="Times New Roman" w:hAnsi="Times New Roman"/>
                <w:sz w:val="20"/>
              </w:rPr>
              <w:t>TheInvestor.vn[^6]</w:t>
            </w:r>
          </w:p>
        </w:tc>
      </w:tr>
    </w:tbl>
    <w:p>
      <w:pPr>
        <w:spacing w:before="0" w:after="80"/>
      </w:pPr>
    </w:p>
    <w:p>
      <w:pPr>
        <w:pStyle w:val="Heading3"/>
        <w:spacing w:before="240" w:after="160"/>
      </w:pPr>
      <w:r>
        <w:rPr>
          <w:rFonts w:ascii="Times New Roman" w:hAnsi="Times New Roman" w:eastAsia="Times New Roman"/>
          <w:color w:val="1A1A2E"/>
          <w:sz w:val="32"/>
        </w:rPr>
        <w:t>Phụ lục B: Hồ sơ năng lực CLP (tóm tắt)</w:t>
      </w:r>
    </w:p>
    <w:p>
      <w:pPr>
        <w:spacing w:after="40" w:before="20"/>
        <w:ind w:left="720" w:hanging="357"/>
      </w:pPr>
      <w:r>
        <w:rPr>
          <w:sz w:val="20"/>
        </w:rPr>
        <w:t xml:space="preserve">• </w:t>
      </w:r>
      <w:r>
        <w:rPr>
          <w:b/>
        </w:rPr>
        <w:t>Tên đầy đủ:</w:t>
      </w:r>
      <w:r>
        <w:t>CLP Holdings Limited</w:t>
      </w:r>
    </w:p>
    <w:p>
      <w:pPr>
        <w:spacing w:after="40" w:before="20"/>
        <w:ind w:left="720" w:hanging="357"/>
      </w:pPr>
      <w:r>
        <w:rPr>
          <w:sz w:val="20"/>
        </w:rPr>
        <w:t xml:space="preserve">• </w:t>
      </w:r>
      <w:r>
        <w:rPr>
          <w:b/>
        </w:rPr>
        <w:t>Thành lập:</w:t>
      </w:r>
      <w:r>
        <w:t>1901 (125 năm)</w:t>
      </w:r>
    </w:p>
    <w:p>
      <w:pPr>
        <w:spacing w:after="40" w:before="20"/>
        <w:ind w:left="720" w:hanging="357"/>
      </w:pPr>
      <w:r>
        <w:rPr>
          <w:sz w:val="20"/>
        </w:rPr>
        <w:t xml:space="preserve">• </w:t>
      </w:r>
      <w:r>
        <w:rPr>
          <w:b/>
        </w:rPr>
        <w:t>Trụ sở:</w:t>
      </w:r>
      <w:r>
        <w:t>Hồng Kông</w:t>
      </w:r>
    </w:p>
    <w:p>
      <w:pPr>
        <w:spacing w:after="40" w:before="20"/>
        <w:ind w:left="720" w:hanging="357"/>
      </w:pPr>
      <w:r>
        <w:rPr>
          <w:sz w:val="20"/>
        </w:rPr>
        <w:t xml:space="preserve">• </w:t>
      </w:r>
      <w:r>
        <w:rPr>
          <w:b/>
        </w:rPr>
        <w:t>Công suất:</w:t>
      </w:r>
      <w:r>
        <w:t>~23.000 MW phát điện và lưu trữ</w:t>
      </w:r>
    </w:p>
    <w:p>
      <w:pPr>
        <w:spacing w:after="40" w:before="20"/>
        <w:ind w:left="720" w:hanging="357"/>
      </w:pPr>
      <w:r>
        <w:rPr>
          <w:sz w:val="20"/>
        </w:rPr>
        <w:t xml:space="preserve">• </w:t>
      </w:r>
      <w:r>
        <w:rPr>
          <w:b/>
        </w:rPr>
        <w:t>Phạm vi:</w:t>
      </w:r>
      <w:r>
        <w:t>Hồng Kông, Trung Quốc Đại lục, Úc, Ấn Độ, Đài Loan</w:t>
      </w:r>
    </w:p>
    <w:p>
      <w:pPr>
        <w:spacing w:after="40" w:before="20"/>
        <w:ind w:left="720" w:hanging="357"/>
      </w:pPr>
      <w:r>
        <w:rPr>
          <w:sz w:val="20"/>
        </w:rPr>
        <w:t xml:space="preserve">• </w:t>
      </w:r>
      <w:r>
        <w:rPr>
          <w:b/>
        </w:rPr>
        <w:t>Đại diện VN:</w:t>
      </w:r>
      <w:r>
        <w:t>Hàn Thế Phong — Phó GĐ, CLP SEA Infrastructure Limited[^3]</w:t>
      </w:r>
    </w:p>
    <w:p>
      <w:pPr>
        <w:pStyle w:val="Heading3"/>
        <w:spacing w:before="240" w:after="160"/>
      </w:pPr>
      <w:r>
        <w:rPr>
          <w:rFonts w:ascii="Times New Roman" w:hAnsi="Times New Roman" w:eastAsia="Times New Roman"/>
          <w:color w:val="1A1A2E"/>
          <w:sz w:val="32"/>
        </w:rPr>
        <w:t>Phụ lục C: Khung pháp lý năng lượng tái tạo</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Văn bản</w:t>
            </w:r>
          </w:p>
        </w:tc>
        <w:tc>
          <w:tcPr>
            <w:tcW w:type="dxa" w:w="4680"/>
            <w:shd w:fill="E2E8F0" w:val="clear"/>
          </w:tcPr>
          <w:p>
            <w:pPr>
              <w:spacing w:before="60" w:after="60"/>
            </w:pPr>
            <w:r>
              <w:rPr>
                <w:rFonts w:ascii="Times New Roman" w:hAnsi="Times New Roman"/>
                <w:b/>
                <w:sz w:val="20"/>
              </w:rPr>
              <w:t>Nội dung liên quan</w:t>
            </w:r>
          </w:p>
        </w:tc>
      </w:tr>
      <w:tr>
        <w:tc>
          <w:tcPr>
            <w:tcW w:type="dxa" w:w="4680"/>
          </w:tcPr>
          <w:p>
            <w:pPr>
              <w:spacing w:before="60" w:after="60"/>
            </w:pPr>
            <w:r>
              <w:rPr>
                <w:rFonts w:ascii="Times New Roman" w:hAnsi="Times New Roman"/>
                <w:sz w:val="20"/>
              </w:rPr>
              <w:t>Quy hoạch Điện VIII(QĐ 500/QĐ-TTg, 15/5/2023)</w:t>
            </w:r>
          </w:p>
        </w:tc>
        <w:tc>
          <w:tcPr>
            <w:tcW w:type="dxa" w:w="4680"/>
          </w:tcPr>
          <w:p>
            <w:pPr>
              <w:spacing w:before="60" w:after="60"/>
            </w:pPr>
            <w:r>
              <w:rPr>
                <w:rFonts w:ascii="Times New Roman" w:hAnsi="Times New Roman"/>
                <w:sz w:val="20"/>
              </w:rPr>
              <w:t>Mục tiêu 2030: 15.000 MW điện gió; phát triển điện mặt trời mái nhà phân tán[^25]</w:t>
            </w:r>
          </w:p>
        </w:tc>
      </w:tr>
      <w:tr>
        <w:tc>
          <w:tcPr>
            <w:tcW w:type="dxa" w:w="4680"/>
          </w:tcPr>
          <w:p>
            <w:pPr>
              <w:spacing w:before="60" w:after="60"/>
            </w:pPr>
            <w:r>
              <w:rPr>
                <w:rFonts w:ascii="Times New Roman" w:hAnsi="Times New Roman"/>
                <w:sz w:val="20"/>
              </w:rPr>
              <w:t>Nghị định 80/2024/NĐ-CP</w:t>
            </w:r>
          </w:p>
        </w:tc>
        <w:tc>
          <w:tcPr>
            <w:tcW w:type="dxa" w:w="4680"/>
          </w:tcPr>
          <w:p>
            <w:pPr>
              <w:spacing w:before="60" w:after="60"/>
            </w:pPr>
            <w:r>
              <w:rPr>
                <w:rFonts w:ascii="Times New Roman" w:hAnsi="Times New Roman"/>
                <w:sz w:val="20"/>
              </w:rPr>
              <w:t>Cơ chế mua bán điện trực tiếp (DPPA) giữa nguồn phát NLTT và khách hàng lớn</w:t>
            </w:r>
          </w:p>
        </w:tc>
      </w:tr>
      <w:tr>
        <w:tc>
          <w:tcPr>
            <w:tcW w:type="dxa" w:w="4680"/>
          </w:tcPr>
          <w:p>
            <w:pPr>
              <w:spacing w:before="60" w:after="60"/>
            </w:pPr>
            <w:r>
              <w:rPr>
                <w:rFonts w:ascii="Times New Roman" w:hAnsi="Times New Roman"/>
                <w:sz w:val="20"/>
              </w:rPr>
              <w:t>Luật Điện lực (sửa đổi 2024)</w:t>
            </w:r>
          </w:p>
        </w:tc>
        <w:tc>
          <w:tcPr>
            <w:tcW w:type="dxa" w:w="4680"/>
          </w:tcPr>
          <w:p>
            <w:pPr>
              <w:spacing w:before="60" w:after="60"/>
            </w:pPr>
            <w:r>
              <w:rPr>
                <w:rFonts w:ascii="Times New Roman" w:hAnsi="Times New Roman"/>
                <w:sz w:val="20"/>
              </w:rPr>
              <w:t>Cho phép tư nhân đầu tư phát điện, truyền tải</w:t>
            </w:r>
          </w:p>
        </w:tc>
      </w:tr>
    </w:tbl>
    <w:p>
      <w:pPr>
        <w:spacing w:before="0" w:after="80"/>
      </w:pPr>
    </w:p>
    <w:p>
      <w:pPr>
        <w:pStyle w:val="Heading3"/>
        <w:spacing w:before="240" w:after="160"/>
      </w:pPr>
      <w:r>
        <w:rPr>
          <w:rFonts w:ascii="Times New Roman" w:hAnsi="Times New Roman" w:eastAsia="Times New Roman"/>
          <w:color w:val="1A1A2E"/>
          <w:sz w:val="32"/>
        </w:rPr>
        <w:t>Phụ lục D: Bảng thuật ngữ</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Thuật ngữ</w:t>
            </w:r>
          </w:p>
        </w:tc>
        <w:tc>
          <w:tcPr>
            <w:tcW w:type="dxa" w:w="4680"/>
            <w:shd w:fill="E2E8F0" w:val="clear"/>
          </w:tcPr>
          <w:p>
            <w:pPr>
              <w:spacing w:before="60" w:after="60"/>
            </w:pPr>
            <w:r>
              <w:rPr>
                <w:rFonts w:ascii="Times New Roman" w:hAnsi="Times New Roman"/>
                <w:b/>
                <w:sz w:val="20"/>
              </w:rPr>
              <w:t>Giải nghĩa</w:t>
            </w:r>
          </w:p>
        </w:tc>
      </w:tr>
      <w:tr>
        <w:tc>
          <w:tcPr>
            <w:tcW w:type="dxa" w:w="4680"/>
          </w:tcPr>
          <w:p>
            <w:pPr>
              <w:spacing w:before="60" w:after="60"/>
            </w:pPr>
            <w:r>
              <w:rPr>
                <w:rFonts w:ascii="Times New Roman" w:hAnsi="Times New Roman"/>
                <w:sz w:val="20"/>
              </w:rPr>
              <w:t>BESS</w:t>
            </w:r>
          </w:p>
        </w:tc>
        <w:tc>
          <w:tcPr>
            <w:tcW w:type="dxa" w:w="4680"/>
          </w:tcPr>
          <w:p>
            <w:pPr>
              <w:spacing w:before="60" w:after="60"/>
            </w:pPr>
            <w:r>
              <w:rPr>
                <w:rFonts w:ascii="Times New Roman" w:hAnsi="Times New Roman"/>
                <w:sz w:val="20"/>
              </w:rPr>
              <w:t>Battery Energy Storage System — Hệ thống pin lưu trữ năng lượng</w:t>
            </w:r>
          </w:p>
        </w:tc>
      </w:tr>
      <w:tr>
        <w:tc>
          <w:tcPr>
            <w:tcW w:type="dxa" w:w="4680"/>
          </w:tcPr>
          <w:p>
            <w:pPr>
              <w:spacing w:before="60" w:after="60"/>
            </w:pPr>
            <w:r>
              <w:rPr>
                <w:rFonts w:ascii="Times New Roman" w:hAnsi="Times New Roman"/>
                <w:sz w:val="20"/>
              </w:rPr>
              <w:t>DPPA</w:t>
            </w:r>
          </w:p>
        </w:tc>
        <w:tc>
          <w:tcPr>
            <w:tcW w:type="dxa" w:w="4680"/>
          </w:tcPr>
          <w:p>
            <w:pPr>
              <w:spacing w:before="60" w:after="60"/>
            </w:pPr>
            <w:r>
              <w:rPr>
                <w:rFonts w:ascii="Times New Roman" w:hAnsi="Times New Roman"/>
                <w:sz w:val="20"/>
              </w:rPr>
              <w:t>Direct Power Purchase Agreement — Hợp đồng mua điện trực tiếp</w:t>
            </w:r>
          </w:p>
        </w:tc>
      </w:tr>
      <w:tr>
        <w:tc>
          <w:tcPr>
            <w:tcW w:type="dxa" w:w="4680"/>
          </w:tcPr>
          <w:p>
            <w:pPr>
              <w:spacing w:before="60" w:after="60"/>
            </w:pPr>
            <w:r>
              <w:rPr>
                <w:rFonts w:ascii="Times New Roman" w:hAnsi="Times New Roman"/>
                <w:sz w:val="20"/>
              </w:rPr>
              <w:t>PPA</w:t>
            </w:r>
          </w:p>
        </w:tc>
        <w:tc>
          <w:tcPr>
            <w:tcW w:type="dxa" w:w="4680"/>
          </w:tcPr>
          <w:p>
            <w:pPr>
              <w:spacing w:before="60" w:after="60"/>
            </w:pPr>
            <w:r>
              <w:rPr>
                <w:rFonts w:ascii="Times New Roman" w:hAnsi="Times New Roman"/>
                <w:sz w:val="20"/>
              </w:rPr>
              <w:t>Power Purchase Agreement — Hợp đồng mua bán điện</w:t>
            </w:r>
          </w:p>
        </w:tc>
      </w:tr>
      <w:tr>
        <w:tc>
          <w:tcPr>
            <w:tcW w:type="dxa" w:w="4680"/>
          </w:tcPr>
          <w:p>
            <w:pPr>
              <w:spacing w:before="60" w:after="60"/>
            </w:pPr>
            <w:r>
              <w:rPr>
                <w:rFonts w:ascii="Times New Roman" w:hAnsi="Times New Roman"/>
                <w:sz w:val="20"/>
              </w:rPr>
              <w:t>Microgrid</w:t>
            </w:r>
          </w:p>
        </w:tc>
        <w:tc>
          <w:tcPr>
            <w:tcW w:type="dxa" w:w="4680"/>
          </w:tcPr>
          <w:p>
            <w:pPr>
              <w:spacing w:before="60" w:after="60"/>
            </w:pPr>
            <w:r>
              <w:rPr>
                <w:rFonts w:ascii="Times New Roman" w:hAnsi="Times New Roman"/>
                <w:sz w:val="20"/>
              </w:rPr>
              <w:t>Lưới điện siêu nhỏ có khả năng vận hành độc lập</w:t>
            </w:r>
          </w:p>
        </w:tc>
      </w:tr>
      <w:tr>
        <w:tc>
          <w:tcPr>
            <w:tcW w:type="dxa" w:w="4680"/>
          </w:tcPr>
          <w:p>
            <w:pPr>
              <w:spacing w:before="60" w:after="60"/>
            </w:pPr>
            <w:r>
              <w:rPr>
                <w:rFonts w:ascii="Times New Roman" w:hAnsi="Times New Roman"/>
                <w:sz w:val="20"/>
              </w:rPr>
              <w:t>LCOE</w:t>
            </w:r>
          </w:p>
        </w:tc>
        <w:tc>
          <w:tcPr>
            <w:tcW w:type="dxa" w:w="4680"/>
          </w:tcPr>
          <w:p>
            <w:pPr>
              <w:spacing w:before="60" w:after="60"/>
            </w:pPr>
            <w:r>
              <w:rPr>
                <w:rFonts w:ascii="Times New Roman" w:hAnsi="Times New Roman"/>
                <w:sz w:val="20"/>
              </w:rPr>
              <w:t>Levelized Cost of Energy — Chi phí bình quân toàn vòng đời</w:t>
            </w:r>
          </w:p>
        </w:tc>
      </w:tr>
      <w:tr>
        <w:tc>
          <w:tcPr>
            <w:tcW w:type="dxa" w:w="4680"/>
          </w:tcPr>
          <w:p>
            <w:pPr>
              <w:spacing w:before="60" w:after="60"/>
            </w:pPr>
            <w:r>
              <w:rPr>
                <w:rFonts w:ascii="Times New Roman" w:hAnsi="Times New Roman"/>
                <w:sz w:val="20"/>
              </w:rPr>
              <w:t>MWp</w:t>
            </w:r>
          </w:p>
        </w:tc>
        <w:tc>
          <w:tcPr>
            <w:tcW w:type="dxa" w:w="4680"/>
          </w:tcPr>
          <w:p>
            <w:pPr>
              <w:spacing w:before="60" w:after="60"/>
            </w:pPr>
            <w:r>
              <w:rPr>
                <w:rFonts w:ascii="Times New Roman" w:hAnsi="Times New Roman"/>
                <w:sz w:val="20"/>
              </w:rPr>
              <w:t>Megawatt-peak — Công suất đỉnh (điện mặt trời)</w:t>
            </w:r>
          </w:p>
        </w:tc>
      </w:tr>
      <w:tr>
        <w:tc>
          <w:tcPr>
            <w:tcW w:type="dxa" w:w="4680"/>
          </w:tcPr>
          <w:p>
            <w:pPr>
              <w:spacing w:before="60" w:after="60"/>
            </w:pPr>
            <w:r>
              <w:rPr>
                <w:rFonts w:ascii="Times New Roman" w:hAnsi="Times New Roman"/>
                <w:sz w:val="20"/>
              </w:rPr>
              <w:t>ESG</w:t>
            </w:r>
          </w:p>
        </w:tc>
        <w:tc>
          <w:tcPr>
            <w:tcW w:type="dxa" w:w="4680"/>
          </w:tcPr>
          <w:p>
            <w:pPr>
              <w:spacing w:before="60" w:after="60"/>
            </w:pPr>
            <w:r>
              <w:rPr>
                <w:rFonts w:ascii="Times New Roman" w:hAnsi="Times New Roman"/>
                <w:sz w:val="20"/>
              </w:rPr>
              <w:t>Environmental, Social, Governance — Tiêu chuẩn bền vững</w:t>
            </w:r>
          </w:p>
        </w:tc>
      </w:tr>
      <w:tr>
        <w:tc>
          <w:tcPr>
            <w:tcW w:type="dxa" w:w="4680"/>
          </w:tcPr>
          <w:p>
            <w:pPr>
              <w:spacing w:before="60" w:after="60"/>
            </w:pPr>
            <w:r>
              <w:rPr>
                <w:rFonts w:ascii="Times New Roman" w:hAnsi="Times New Roman"/>
                <w:sz w:val="20"/>
              </w:rPr>
              <w:t>SBTi</w:t>
            </w:r>
          </w:p>
        </w:tc>
        <w:tc>
          <w:tcPr>
            <w:tcW w:type="dxa" w:w="4680"/>
          </w:tcPr>
          <w:p>
            <w:pPr>
              <w:spacing w:before="60" w:after="60"/>
            </w:pPr>
            <w:r>
              <w:rPr>
                <w:rFonts w:ascii="Times New Roman" w:hAnsi="Times New Roman"/>
                <w:sz w:val="20"/>
              </w:rPr>
              <w:t>Science Based Targets initiative — Cam kết giảm phát thải dựa trên khoa học</w:t>
            </w:r>
          </w:p>
        </w:tc>
      </w:tr>
      <w:tr>
        <w:tc>
          <w:tcPr>
            <w:tcW w:type="dxa" w:w="4680"/>
          </w:tcPr>
          <w:p>
            <w:pPr>
              <w:spacing w:before="60" w:after="60"/>
            </w:pPr>
            <w:r>
              <w:rPr>
                <w:rFonts w:ascii="Times New Roman" w:hAnsi="Times New Roman"/>
                <w:sz w:val="20"/>
              </w:rPr>
              <w:t>EVNSPC</w:t>
            </w:r>
          </w:p>
        </w:tc>
        <w:tc>
          <w:tcPr>
            <w:tcW w:type="dxa" w:w="4680"/>
          </w:tcPr>
          <w:p>
            <w:pPr>
              <w:spacing w:before="60" w:after="60"/>
            </w:pPr>
            <w:r>
              <w:rPr>
                <w:rFonts w:ascii="Times New Roman" w:hAnsi="Times New Roman"/>
                <w:sz w:val="20"/>
              </w:rPr>
              <w:t>Tổng công ty Điện lực miền Nam</w:t>
            </w:r>
          </w:p>
        </w:tc>
      </w:tr>
      <w:tr>
        <w:tc>
          <w:tcPr>
            <w:tcW w:type="dxa" w:w="4680"/>
          </w:tcPr>
          <w:p>
            <w:pPr>
              <w:spacing w:before="60" w:after="60"/>
            </w:pPr>
            <w:r>
              <w:rPr>
                <w:rFonts w:ascii="Times New Roman" w:hAnsi="Times New Roman"/>
                <w:sz w:val="20"/>
              </w:rPr>
              <w:t>ATS</w:t>
            </w:r>
          </w:p>
        </w:tc>
        <w:tc>
          <w:tcPr>
            <w:tcW w:type="dxa" w:w="4680"/>
          </w:tcPr>
          <w:p>
            <w:pPr>
              <w:spacing w:before="60" w:after="60"/>
            </w:pPr>
            <w:r>
              <w:rPr>
                <w:rFonts w:ascii="Times New Roman" w:hAnsi="Times New Roman"/>
                <w:sz w:val="20"/>
              </w:rPr>
              <w:t>Automatic Transfer Switch — Bộ chuyển mạch tự động</w:t>
            </w:r>
          </w:p>
        </w:tc>
      </w:tr>
    </w:tbl>
    <w:p>
      <w:pPr>
        <w:spacing w:before="0" w:after="80"/>
      </w:pPr>
    </w:p>
    <w:p>
      <w:pPr>
        <w:pStyle w:val="Heading3"/>
        <w:spacing w:before="240" w:after="160"/>
      </w:pPr>
      <w:r>
        <w:rPr>
          <w:rFonts w:ascii="Times New Roman" w:hAnsi="Times New Roman" w:eastAsia="Times New Roman"/>
          <w:color w:val="1A1A2E"/>
          <w:sz w:val="32"/>
        </w:rPr>
        <w:t>Phụ lục E: Cơ sở tính toán nhu cầu điện (Electricity Needs Computation)</w:t>
      </w:r>
    </w:p>
    <w:p>
      <w:pPr>
        <w:pStyle w:val="Heading4"/>
        <w:spacing w:before="240" w:after="160"/>
      </w:pPr>
      <w:r>
        <w:rPr>
          <w:rFonts w:ascii="Times New Roman" w:hAnsi="Times New Roman" w:eastAsia="Times New Roman"/>
          <w:color w:val="1A1A2E"/>
          <w:sz w:val="28"/>
        </w:rPr>
        <w:t>E.1. Phương pháp tính toán</w:t>
      </w:r>
    </w:p>
    <w:p>
      <w:r>
        <w:t xml:space="preserve">Nhu cầu điện được ước tính dựa trên </w:t>
      </w:r>
      <w:r>
        <w:rPr>
          <w:b/>
        </w:rPr>
        <w:t>benchmark quốc tế</w:t>
      </w:r>
      <w:r>
        <w:t xml:space="preserve"> cho từng loại cơ sở, sử dụng hai chỉ số chính:</w:t>
        <w:br/>
        <w:t xml:space="preserve">- </w:t>
      </w:r>
      <w:r>
        <w:rPr>
          <w:b/>
        </w:rPr>
        <w:t>Công suất đỉnh (Peak demand, kW):</w:t>
      </w:r>
      <w:r>
        <w:t xml:space="preserve"> Lượng điện tối đa cần tại bất kỳ thời điểm nào</w:t>
        <w:br/>
        <w:t xml:space="preserve">- </w:t>
      </w:r>
      <w:r>
        <w:rPr>
          <w:b/>
        </w:rPr>
        <w:t>Sản lượng tiêu thụ (Annual consumption, kWh/năm):</w:t>
      </w:r>
      <w:r>
        <w:t xml:space="preserve"> Tổng điện tiêu thụ trong năm</w:t>
      </w:r>
    </w:p>
    <w:p>
      <w:pPr>
        <w:pStyle w:val="Heading4"/>
        <w:spacing w:before="240" w:after="160"/>
      </w:pPr>
      <w:r>
        <w:rPr>
          <w:rFonts w:ascii="Times New Roman" w:hAnsi="Times New Roman" w:eastAsia="Times New Roman"/>
          <w:color w:val="1A1A2E"/>
          <w:sz w:val="28"/>
        </w:rPr>
        <w:t>E.2. Khách sạn 5 sao — 12.000 phòng mới</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Benchmark quốc tế: khách sạn 5 sao vùng nhiệt đới</w:t>
            </w:r>
          </w:p>
        </w:tc>
        <w:tc>
          <w:tcPr>
            <w:tcW w:type="dxa" w:w="3120"/>
          </w:tcPr>
          <w:p>
            <w:pPr>
              <w:spacing w:before="60" w:after="60"/>
            </w:pPr>
            <w:r>
              <w:rPr>
                <w:rFonts w:ascii="Times New Roman" w:hAnsi="Times New Roman"/>
                <w:sz w:val="20"/>
              </w:rPr>
              <w:t>12.000-15.000 kWh/phòng/năm</w:t>
            </w:r>
          </w:p>
        </w:tc>
        <w:tc>
          <w:tcPr>
            <w:tcW w:type="dxa" w:w="3120"/>
          </w:tcPr>
          <w:p>
            <w:pPr>
              <w:spacing w:before="60" w:after="60"/>
            </w:pPr>
            <w:r>
              <w:rPr>
                <w:rFonts w:ascii="Times New Roman" w:hAnsi="Times New Roman"/>
                <w:sz w:val="20"/>
              </w:rPr>
              <w:t>AEMACO Energy Audit Report[^15]</w:t>
            </w:r>
          </w:p>
        </w:tc>
      </w:tr>
      <w:tr>
        <w:tc>
          <w:tcPr>
            <w:tcW w:type="dxa" w:w="3120"/>
          </w:tcPr>
          <w:p>
            <w:pPr>
              <w:spacing w:before="60" w:after="60"/>
            </w:pPr>
            <w:r>
              <w:rPr>
                <w:rFonts w:ascii="Times New Roman" w:hAnsi="Times New Roman"/>
                <w:sz w:val="20"/>
              </w:rPr>
              <w:t>Benchmark Malta (4-5 sao)</w:t>
            </w:r>
          </w:p>
        </w:tc>
        <w:tc>
          <w:tcPr>
            <w:tcW w:type="dxa" w:w="3120"/>
          </w:tcPr>
          <w:p>
            <w:pPr>
              <w:spacing w:before="60" w:after="60"/>
            </w:pPr>
            <w:r>
              <w:rPr>
                <w:rFonts w:ascii="Times New Roman" w:hAnsi="Times New Roman"/>
                <w:sz w:val="20"/>
              </w:rPr>
              <w:t>35.867 kWh/phòng/năm</w:t>
            </w:r>
          </w:p>
        </w:tc>
        <w:tc>
          <w:tcPr>
            <w:tcW w:type="dxa" w:w="3120"/>
          </w:tcPr>
          <w:p>
            <w:pPr>
              <w:spacing w:before="60" w:after="60"/>
            </w:pPr>
            <w:r>
              <w:rPr>
                <w:rFonts w:ascii="Times New Roman" w:hAnsi="Times New Roman"/>
                <w:sz w:val="20"/>
              </w:rPr>
              <w:t>Government of Mauritius[^15]</w:t>
            </w:r>
          </w:p>
        </w:tc>
      </w:tr>
      <w:tr>
        <w:tc>
          <w:tcPr>
            <w:tcW w:type="dxa" w:w="3120"/>
          </w:tcPr>
          <w:p>
            <w:pPr>
              <w:spacing w:before="60" w:after="60"/>
            </w:pPr>
            <w:r>
              <w:rPr>
                <w:rFonts w:ascii="Times New Roman" w:hAnsi="Times New Roman"/>
                <w:sz w:val="20"/>
              </w:rPr>
              <w:t>Peak demand factor (công suất đỉnh/trung bình)</w:t>
            </w:r>
          </w:p>
        </w:tc>
        <w:tc>
          <w:tcPr>
            <w:tcW w:type="dxa" w:w="3120"/>
          </w:tcPr>
          <w:p>
            <w:pPr>
              <w:spacing w:before="60" w:after="60"/>
            </w:pPr>
            <w:r>
              <w:rPr>
                <w:rFonts w:ascii="Times New Roman" w:hAnsi="Times New Roman"/>
                <w:sz w:val="20"/>
              </w:rPr>
              <w:t>2,5-3,0x</w:t>
            </w:r>
          </w:p>
        </w:tc>
        <w:tc>
          <w:tcPr>
            <w:tcW w:type="dxa" w:w="3120"/>
          </w:tcPr>
          <w:p>
            <w:pPr>
              <w:spacing w:before="60" w:after="60"/>
            </w:pPr>
            <w:r>
              <w:rPr>
                <w:rFonts w:ascii="Times New Roman" w:hAnsi="Times New Roman"/>
                <w:sz w:val="20"/>
              </w:rPr>
              <w:t>Industry standard</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Tiêu thụ/năm = 12.000 phòng × 12.000 kWh/phòng/năm = 144 triệu kWh</w:t>
      </w:r>
      <w:r>
        <w:br/>
      </w:r>
      <w:r>
        <w:rPr>
          <w:rFonts w:ascii="Consolas" w:hAnsi="Consolas"/>
          <w:color w:val="333333"/>
          <w:sz w:val="18"/>
        </w:rPr>
        <w:t xml:space="preserve">              → đến × 15.000 kWh/phòng/năm = 180 triệu kWh</w:t>
      </w:r>
      <w:r>
        <w:br/>
      </w:r>
      <w:r>
        <w:rPr>
          <w:rFonts w:ascii="Consolas" w:hAnsi="Consolas"/>
          <w:color w:val="333333"/>
          <w:sz w:val="18"/>
        </w:rPr>
      </w:r>
      <w:r>
        <w:br/>
      </w:r>
      <w:r>
        <w:rPr>
          <w:rFonts w:ascii="Consolas" w:hAnsi="Consolas"/>
          <w:color w:val="333333"/>
          <w:sz w:val="18"/>
        </w:rPr>
        <w:t>Công suất trung bình = 144.000.000 kWh ÷ 8.760 giờ/năm = 16,4 MW</w:t>
      </w:r>
      <w:r>
        <w:br/>
      </w:r>
      <w:r>
        <w:rPr>
          <w:rFonts w:ascii="Consolas" w:hAnsi="Consolas"/>
          <w:color w:val="333333"/>
          <w:sz w:val="18"/>
        </w:rPr>
        <w:t>Công suất đỉnh = 16,4 MW × 2,2 (peak factor) ≈ 36 MW</w:t>
      </w:r>
      <w:r>
        <w:br/>
      </w:r>
      <w:r>
        <w:rPr>
          <w:rFonts w:ascii="Consolas" w:hAnsi="Consolas"/>
          <w:color w:val="333333"/>
          <w:sz w:val="18"/>
        </w:rPr>
        <w:t xml:space="preserve">              → đến 20,5 MW × 2,3 ≈ 48 MW</w:t>
      </w:r>
      <w:r>
        <w:br/>
      </w:r>
      <w:r>
        <w:rPr>
          <w:rFonts w:ascii="Consolas" w:hAnsi="Consolas"/>
          <w:color w:val="333333"/>
          <w:sz w:val="18"/>
        </w:rPr>
      </w:r>
      <w:r>
        <w:br/>
      </w:r>
      <w:r>
        <w:rPr>
          <w:rFonts w:ascii="Consolas" w:hAnsi="Consolas"/>
          <w:color w:val="333333"/>
          <w:sz w:val="18"/>
        </w:rPr>
        <w:t>Kết luận: 36-48 MW peak | 144-180 triệu kWh/năm</w:t>
      </w:r>
    </w:p>
    <w:p>
      <w:r>
        <w:rPr>
          <w:i/>
        </w:rPr>
        <w:t>Ghi chú: Bao gồm HVAC (50-70% tổng tiêu thụ), chiếu sáng (10-20%), nước nóng (15-25%), bể bơi, spa, nhà hàng, bếp, giặt là.[^15]</w:t>
      </w:r>
    </w:p>
    <w:p>
      <w:pPr>
        <w:pStyle w:val="Heading4"/>
        <w:spacing w:before="240" w:after="160"/>
      </w:pPr>
      <w:r>
        <w:rPr>
          <w:rFonts w:ascii="Times New Roman" w:hAnsi="Times New Roman" w:eastAsia="Times New Roman"/>
          <w:color w:val="1A1A2E"/>
          <w:sz w:val="28"/>
        </w:rPr>
        <w:t>E.3. Sân bay Phú Quốc (mở rộng)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EUI nhà ga sân bay (Trung Quốc hub)</w:t>
            </w:r>
          </w:p>
        </w:tc>
        <w:tc>
          <w:tcPr>
            <w:tcW w:type="dxa" w:w="3120"/>
          </w:tcPr>
          <w:p>
            <w:pPr>
              <w:spacing w:before="60" w:after="60"/>
            </w:pPr>
            <w:r>
              <w:rPr>
                <w:rFonts w:ascii="Times New Roman" w:hAnsi="Times New Roman"/>
                <w:sz w:val="20"/>
              </w:rPr>
              <w:t>177 kWh/m²/năm</w:t>
            </w:r>
          </w:p>
        </w:tc>
        <w:tc>
          <w:tcPr>
            <w:tcW w:type="dxa" w:w="3120"/>
          </w:tcPr>
          <w:p>
            <w:pPr>
              <w:spacing w:before="60" w:after="60"/>
            </w:pPr>
            <w:r>
              <w:rPr>
                <w:rFonts w:ascii="Times New Roman" w:hAnsi="Times New Roman"/>
                <w:sz w:val="20"/>
              </w:rPr>
              <w:t>University of Reading[^16]</w:t>
            </w:r>
          </w:p>
        </w:tc>
      </w:tr>
      <w:tr>
        <w:tc>
          <w:tcPr>
            <w:tcW w:type="dxa" w:w="3120"/>
          </w:tcPr>
          <w:p>
            <w:pPr>
              <w:spacing w:before="60" w:after="60"/>
            </w:pPr>
            <w:r>
              <w:rPr>
                <w:rFonts w:ascii="Times New Roman" w:hAnsi="Times New Roman"/>
                <w:sz w:val="20"/>
              </w:rPr>
              <w:t>EUI sân bay Hồng Kông</w:t>
            </w:r>
          </w:p>
        </w:tc>
        <w:tc>
          <w:tcPr>
            <w:tcW w:type="dxa" w:w="3120"/>
          </w:tcPr>
          <w:p>
            <w:pPr>
              <w:spacing w:before="60" w:after="60"/>
            </w:pPr>
            <w:r>
              <w:rPr>
                <w:rFonts w:ascii="Times New Roman" w:hAnsi="Times New Roman"/>
                <w:sz w:val="20"/>
              </w:rPr>
              <w:t>371-374 kWh/m²/năm</w:t>
            </w:r>
          </w:p>
        </w:tc>
        <w:tc>
          <w:tcPr>
            <w:tcW w:type="dxa" w:w="3120"/>
          </w:tcPr>
          <w:p>
            <w:pPr>
              <w:spacing w:before="60" w:after="60"/>
            </w:pPr>
            <w:r>
              <w:rPr>
                <w:rFonts w:ascii="Times New Roman" w:hAnsi="Times New Roman"/>
                <w:sz w:val="20"/>
              </w:rPr>
              <w:t>CIBSE[^16]</w:t>
            </w:r>
          </w:p>
        </w:tc>
      </w:tr>
      <w:tr>
        <w:tc>
          <w:tcPr>
            <w:tcW w:type="dxa" w:w="3120"/>
          </w:tcPr>
          <w:p>
            <w:pPr>
              <w:spacing w:before="60" w:after="60"/>
            </w:pPr>
            <w:r>
              <w:rPr>
                <w:rFonts w:ascii="Times New Roman" w:hAnsi="Times New Roman"/>
                <w:sz w:val="20"/>
              </w:rPr>
              <w:t>EUI sân bay Hy Lạp</w:t>
            </w:r>
          </w:p>
        </w:tc>
        <w:tc>
          <w:tcPr>
            <w:tcW w:type="dxa" w:w="3120"/>
          </w:tcPr>
          <w:p>
            <w:pPr>
              <w:spacing w:before="60" w:after="60"/>
            </w:pPr>
            <w:r>
              <w:rPr>
                <w:rFonts w:ascii="Times New Roman" w:hAnsi="Times New Roman"/>
                <w:sz w:val="20"/>
              </w:rPr>
              <w:t>200-270 kWh/m²/năm</w:t>
            </w:r>
          </w:p>
        </w:tc>
        <w:tc>
          <w:tcPr>
            <w:tcW w:type="dxa" w:w="3120"/>
          </w:tcPr>
          <w:p>
            <w:pPr>
              <w:spacing w:before="60" w:after="60"/>
            </w:pPr>
            <w:r>
              <w:rPr>
                <w:rFonts w:ascii="Times New Roman" w:hAnsi="Times New Roman"/>
                <w:sz w:val="20"/>
              </w:rPr>
              <w:t>Medium / Research[^16]</w:t>
            </w:r>
          </w:p>
        </w:tc>
      </w:tr>
      <w:tr>
        <w:tc>
          <w:tcPr>
            <w:tcW w:type="dxa" w:w="3120"/>
          </w:tcPr>
          <w:p>
            <w:pPr>
              <w:spacing w:before="60" w:after="60"/>
            </w:pPr>
            <w:r>
              <w:rPr>
                <w:rFonts w:ascii="Times New Roman" w:hAnsi="Times New Roman"/>
                <w:sz w:val="20"/>
              </w:rPr>
              <w:t>Diện tích T2 + hạ tầng ước tính</w:t>
            </w:r>
          </w:p>
        </w:tc>
        <w:tc>
          <w:tcPr>
            <w:tcW w:type="dxa" w:w="3120"/>
          </w:tcPr>
          <w:p>
            <w:pPr>
              <w:spacing w:before="60" w:after="60"/>
            </w:pPr>
            <w:r>
              <w:rPr>
                <w:rFonts w:ascii="Times New Roman" w:hAnsi="Times New Roman"/>
                <w:sz w:val="20"/>
              </w:rPr>
              <w:t>~120.000 m²</w:t>
            </w:r>
          </w:p>
        </w:tc>
        <w:tc>
          <w:tcPr>
            <w:tcW w:type="dxa" w:w="3120"/>
          </w:tcPr>
          <w:p>
            <w:pPr>
              <w:spacing w:before="60" w:after="60"/>
            </w:pPr>
            <w:r>
              <w:rPr>
                <w:rFonts w:ascii="Times New Roman" w:hAnsi="Times New Roman"/>
                <w:sz w:val="20"/>
              </w:rPr>
              <w:t>Ước tính từ quy mô dự án</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Scenario thấp: 120.000 m² × 200 kWh/m²/năm = 24 triệu kWh → Peak ≈ 8 MW</w:t>
      </w:r>
      <w:r>
        <w:br/>
      </w:r>
      <w:r>
        <w:rPr>
          <w:rFonts w:ascii="Consolas" w:hAnsi="Consolas"/>
          <w:color w:val="333333"/>
          <w:sz w:val="18"/>
        </w:rPr>
        <w:t>Scenario cao:  120.000 m² × 350 kWh/m²/năm = 42 triệu kWh → Peak ≈ 12 MW</w:t>
      </w:r>
      <w:r>
        <w:br/>
      </w:r>
      <w:r>
        <w:rPr>
          <w:rFonts w:ascii="Consolas" w:hAnsi="Consolas"/>
          <w:color w:val="333333"/>
          <w:sz w:val="18"/>
        </w:rPr>
      </w:r>
      <w:r>
        <w:br/>
      </w:r>
      <w:r>
        <w:rPr>
          <w:rFonts w:ascii="Consolas" w:hAnsi="Consolas"/>
          <w:color w:val="333333"/>
          <w:sz w:val="18"/>
        </w:rPr>
        <w:t>Kết luận: 8-12 MW peak | 28-42 triệu kWh/năm</w:t>
      </w:r>
    </w:p>
    <w:p>
      <w:r>
        <w:rPr>
          <w:i/>
        </w:rPr>
        <w:t>Ghi chú: Bao gồm hệ thống điều hòa (30-60% tổng tiêu thụ), chiếu sáng nhà ga 24/7, hệ thống an ninh, băng chuyền hành lý, radar-dẫn đường, đường băng.[^16]</w:t>
      </w:r>
    </w:p>
    <w:p>
      <w:pPr>
        <w:pStyle w:val="Heading4"/>
        <w:spacing w:before="240" w:after="160"/>
      </w:pPr>
      <w:r>
        <w:rPr>
          <w:rFonts w:ascii="Times New Roman" w:hAnsi="Times New Roman" w:eastAsia="Times New Roman"/>
          <w:color w:val="1A1A2E"/>
          <w:sz w:val="28"/>
        </w:rPr>
        <w:t>E.4. Trung tâm Hội nghị APEC 6.500 chỗ + Nhà hát 4.000 chỗ</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HVAC: cooling capacity</w:t>
            </w:r>
          </w:p>
        </w:tc>
        <w:tc>
          <w:tcPr>
            <w:tcW w:type="dxa" w:w="3120"/>
          </w:tcPr>
          <w:p>
            <w:pPr>
              <w:spacing w:before="60" w:after="60"/>
            </w:pPr>
            <w:r>
              <w:rPr>
                <w:rFonts w:ascii="Times New Roman" w:hAnsi="Times New Roman"/>
                <w:sz w:val="20"/>
              </w:rPr>
              <w:t>0,04-0,4 kW/chỗ</w:t>
            </w:r>
          </w:p>
        </w:tc>
        <w:tc>
          <w:tcPr>
            <w:tcW w:type="dxa" w:w="3120"/>
          </w:tcPr>
          <w:p>
            <w:pPr>
              <w:spacing w:before="60" w:after="60"/>
            </w:pPr>
            <w:r>
              <w:rPr>
                <w:rFonts w:ascii="Times New Roman" w:hAnsi="Times New Roman"/>
                <w:sz w:val="20"/>
              </w:rPr>
              <w:t>Ingener.by / ASHRAE[^17]</w:t>
            </w:r>
          </w:p>
        </w:tc>
      </w:tr>
      <w:tr>
        <w:tc>
          <w:tcPr>
            <w:tcW w:type="dxa" w:w="3120"/>
          </w:tcPr>
          <w:p>
            <w:pPr>
              <w:spacing w:before="60" w:after="60"/>
            </w:pPr>
            <w:r>
              <w:rPr>
                <w:rFonts w:ascii="Times New Roman" w:hAnsi="Times New Roman"/>
                <w:sz w:val="20"/>
              </w:rPr>
              <w:t>Lighting power density</w:t>
            </w:r>
          </w:p>
        </w:tc>
        <w:tc>
          <w:tcPr>
            <w:tcW w:type="dxa" w:w="3120"/>
          </w:tcPr>
          <w:p>
            <w:pPr>
              <w:spacing w:before="60" w:after="60"/>
            </w:pPr>
            <w:r>
              <w:rPr>
                <w:rFonts w:ascii="Times New Roman" w:hAnsi="Times New Roman"/>
                <w:sz w:val="20"/>
              </w:rPr>
              <w:t>0,004-0,015 kW/chỗ</w:t>
            </w:r>
          </w:p>
        </w:tc>
        <w:tc>
          <w:tcPr>
            <w:tcW w:type="dxa" w:w="3120"/>
          </w:tcPr>
          <w:p>
            <w:pPr>
              <w:spacing w:before="60" w:after="60"/>
            </w:pPr>
            <w:r>
              <w:rPr>
                <w:rFonts w:ascii="Times New Roman" w:hAnsi="Times New Roman"/>
                <w:sz w:val="20"/>
              </w:rPr>
              <w:t>PSU / ASHRAE[^17]</w:t>
            </w:r>
          </w:p>
        </w:tc>
      </w:tr>
      <w:tr>
        <w:tc>
          <w:tcPr>
            <w:tcW w:type="dxa" w:w="3120"/>
          </w:tcPr>
          <w:p>
            <w:pPr>
              <w:spacing w:before="60" w:after="60"/>
            </w:pPr>
            <w:r>
              <w:rPr>
                <w:rFonts w:ascii="Times New Roman" w:hAnsi="Times New Roman"/>
                <w:sz w:val="20"/>
              </w:rPr>
              <w:t>Audio/Visual peak load</w:t>
            </w:r>
          </w:p>
        </w:tc>
        <w:tc>
          <w:tcPr>
            <w:tcW w:type="dxa" w:w="3120"/>
          </w:tcPr>
          <w:p>
            <w:pPr>
              <w:spacing w:before="60" w:after="60"/>
            </w:pPr>
            <w:r>
              <w:rPr>
                <w:rFonts w:ascii="Times New Roman" w:hAnsi="Times New Roman"/>
                <w:sz w:val="20"/>
              </w:rPr>
              <w:t>4,4-11,7 kW/phòng hội nghị</w:t>
            </w:r>
          </w:p>
        </w:tc>
        <w:tc>
          <w:tcPr>
            <w:tcW w:type="dxa" w:w="3120"/>
          </w:tcPr>
          <w:p>
            <w:pPr>
              <w:spacing w:before="60" w:after="60"/>
            </w:pPr>
            <w:r>
              <w:rPr>
                <w:rFonts w:ascii="Times New Roman" w:hAnsi="Times New Roman"/>
                <w:sz w:val="20"/>
              </w:rPr>
              <w:t>Industry benchmark[^17]</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Tổng chỗ: 6.500 + 4.000 = 10.500 chỗ</w:t>
      </w:r>
      <w:r>
        <w:br/>
      </w:r>
      <w:r>
        <w:rPr>
          <w:rFonts w:ascii="Consolas" w:hAnsi="Consolas"/>
          <w:color w:val="333333"/>
          <w:sz w:val="18"/>
        </w:rPr>
        <w:t>Scenario thấp: 10.500 × 0,5 kW/chỗ = 5,25 MW</w:t>
      </w:r>
      <w:r>
        <w:br/>
      </w:r>
      <w:r>
        <w:rPr>
          <w:rFonts w:ascii="Consolas" w:hAnsi="Consolas"/>
          <w:color w:val="333333"/>
          <w:sz w:val="18"/>
        </w:rPr>
        <w:t>Scenario cao:  10.500 × 0,8 kW/chỗ = 8,4 MW</w:t>
      </w:r>
      <w:r>
        <w:br/>
      </w:r>
      <w:r>
        <w:rPr>
          <w:rFonts w:ascii="Consolas" w:hAnsi="Consolas"/>
          <w:color w:val="333333"/>
          <w:sz w:val="18"/>
        </w:rPr>
      </w:r>
      <w:r>
        <w:br/>
      </w:r>
      <w:r>
        <w:rPr>
          <w:rFonts w:ascii="Consolas" w:hAnsi="Consolas"/>
          <w:color w:val="333333"/>
          <w:sz w:val="18"/>
        </w:rPr>
        <w:t>Kết luận: 5-8 MW peak | 8-13 triệu kWh/năm (hoạt động ~1.600-2.000 giờ/năm)</w:t>
      </w:r>
    </w:p>
    <w:p>
      <w:pPr>
        <w:pStyle w:val="Heading4"/>
        <w:spacing w:before="240" w:after="160"/>
      </w:pPr>
      <w:r>
        <w:rPr>
          <w:rFonts w:ascii="Times New Roman" w:hAnsi="Times New Roman" w:eastAsia="Times New Roman"/>
          <w:color w:val="1A1A2E"/>
          <w:sz w:val="28"/>
        </w:rPr>
        <w:t>E.5. Tàu điện LRT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Công suất trạm biến áp LRT</w:t>
            </w:r>
          </w:p>
        </w:tc>
        <w:tc>
          <w:tcPr>
            <w:tcW w:type="dxa" w:w="3120"/>
          </w:tcPr>
          <w:p>
            <w:pPr>
              <w:spacing w:before="60" w:after="60"/>
            </w:pPr>
            <w:r>
              <w:rPr>
                <w:rFonts w:ascii="Times New Roman" w:hAnsi="Times New Roman"/>
                <w:sz w:val="20"/>
              </w:rPr>
              <w:t>1,5-5,5 MW/trạm</w:t>
            </w:r>
          </w:p>
        </w:tc>
        <w:tc>
          <w:tcPr>
            <w:tcW w:type="dxa" w:w="3120"/>
          </w:tcPr>
          <w:p>
            <w:pPr>
              <w:spacing w:before="60" w:after="60"/>
            </w:pPr>
            <w:r>
              <w:rPr>
                <w:rFonts w:ascii="Times New Roman" w:hAnsi="Times New Roman"/>
                <w:sz w:val="20"/>
              </w:rPr>
              <w:t>Valley Metro / TRB[^18]</w:t>
            </w:r>
          </w:p>
        </w:tc>
      </w:tr>
      <w:tr>
        <w:tc>
          <w:tcPr>
            <w:tcW w:type="dxa" w:w="3120"/>
          </w:tcPr>
          <w:p>
            <w:pPr>
              <w:spacing w:before="60" w:after="60"/>
            </w:pPr>
            <w:r>
              <w:rPr>
                <w:rFonts w:ascii="Times New Roman" w:hAnsi="Times New Roman"/>
                <w:sz w:val="20"/>
              </w:rPr>
              <w:t>Tiêu thụ năng lượng</w:t>
            </w:r>
          </w:p>
        </w:tc>
        <w:tc>
          <w:tcPr>
            <w:tcW w:type="dxa" w:w="3120"/>
          </w:tcPr>
          <w:p>
            <w:pPr>
              <w:spacing w:before="60" w:after="60"/>
            </w:pPr>
            <w:r>
              <w:rPr>
                <w:rFonts w:ascii="Times New Roman" w:hAnsi="Times New Roman"/>
                <w:sz w:val="20"/>
              </w:rPr>
              <w:t>7-8 kWh/vehicle-km</w:t>
            </w:r>
          </w:p>
        </w:tc>
        <w:tc>
          <w:tcPr>
            <w:tcW w:type="dxa" w:w="3120"/>
          </w:tcPr>
          <w:p>
            <w:pPr>
              <w:spacing w:before="60" w:after="60"/>
            </w:pPr>
            <w:r>
              <w:rPr>
                <w:rFonts w:ascii="Times New Roman" w:hAnsi="Times New Roman"/>
                <w:sz w:val="20"/>
              </w:rPr>
              <w:t>GCRTA Cleveland[^18]</w:t>
            </w:r>
          </w:p>
        </w:tc>
      </w:tr>
      <w:tr>
        <w:tc>
          <w:tcPr>
            <w:tcW w:type="dxa" w:w="3120"/>
          </w:tcPr>
          <w:p>
            <w:pPr>
              <w:spacing w:before="60" w:after="60"/>
            </w:pPr>
            <w:r>
              <w:rPr>
                <w:rFonts w:ascii="Times New Roman" w:hAnsi="Times New Roman"/>
                <w:sz w:val="20"/>
              </w:rPr>
              <w:t>Số trạm biến áp ước tính</w:t>
            </w:r>
          </w:p>
        </w:tc>
        <w:tc>
          <w:tcPr>
            <w:tcW w:type="dxa" w:w="3120"/>
          </w:tcPr>
          <w:p>
            <w:pPr>
              <w:spacing w:before="60" w:after="60"/>
            </w:pPr>
            <w:r>
              <w:rPr>
                <w:rFonts w:ascii="Times New Roman" w:hAnsi="Times New Roman"/>
                <w:sz w:val="20"/>
              </w:rPr>
              <w:t>2-3 trạm</w:t>
            </w:r>
          </w:p>
        </w:tc>
        <w:tc>
          <w:tcPr>
            <w:tcW w:type="dxa" w:w="3120"/>
          </w:tcPr>
          <w:p>
            <w:pPr>
              <w:spacing w:before="60" w:after="60"/>
            </w:pPr>
            <w:r>
              <w:rPr>
                <w:rFonts w:ascii="Times New Roman" w:hAnsi="Times New Roman"/>
                <w:sz w:val="20"/>
              </w:rPr>
              <w:t>Tùy chiều dài tuyến</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Peak demand: 2 trạm × 2,5 MW/trạm = 5 MW (scenario cao)</w:t>
      </w:r>
      <w:r>
        <w:br/>
      </w:r>
      <w:r>
        <w:rPr>
          <w:rFonts w:ascii="Consolas" w:hAnsi="Consolas"/>
          <w:color w:val="333333"/>
          <w:sz w:val="18"/>
        </w:rPr>
        <w:t xml:space="preserve">           → 3 trạm × 1,5 MW/trạm = 4,5 MW</w:t>
      </w:r>
      <w:r>
        <w:br/>
      </w:r>
      <w:r>
        <w:rPr>
          <w:rFonts w:ascii="Consolas" w:hAnsi="Consolas"/>
          <w:color w:val="333333"/>
          <w:sz w:val="18"/>
        </w:rPr>
        <w:t>Tiêu thụ: ~10-16 triệu kWh/năm (tùy tần suất và chiều dài tuyến)</w:t>
      </w:r>
      <w:r>
        <w:br/>
      </w:r>
      <w:r>
        <w:rPr>
          <w:rFonts w:ascii="Consolas" w:hAnsi="Consolas"/>
          <w:color w:val="333333"/>
          <w:sz w:val="18"/>
        </w:rPr>
      </w:r>
      <w:r>
        <w:br/>
      </w:r>
      <w:r>
        <w:rPr>
          <w:rFonts w:ascii="Consolas" w:hAnsi="Consolas"/>
          <w:color w:val="333333"/>
          <w:sz w:val="18"/>
        </w:rPr>
        <w:t>Kết luận: 3-5 MW peak | 10-16 triệu kWh/năm</w:t>
      </w:r>
    </w:p>
    <w:p>
      <w:pPr>
        <w:pStyle w:val="Heading4"/>
        <w:spacing w:before="240" w:after="160"/>
      </w:pPr>
      <w:r>
        <w:rPr>
          <w:rFonts w:ascii="Times New Roman" w:hAnsi="Times New Roman" w:eastAsia="Times New Roman"/>
          <w:color w:val="1A1A2E"/>
          <w:sz w:val="28"/>
        </w:rPr>
        <w:t>E.6. Trạm sạc xe điện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Trạm sạc nhanh DC</w:t>
            </w:r>
          </w:p>
        </w:tc>
        <w:tc>
          <w:tcPr>
            <w:tcW w:type="dxa" w:w="3120"/>
          </w:tcPr>
          <w:p>
            <w:pPr>
              <w:spacing w:before="60" w:after="60"/>
            </w:pPr>
            <w:r>
              <w:rPr>
                <w:rFonts w:ascii="Times New Roman" w:hAnsi="Times New Roman"/>
                <w:sz w:val="20"/>
              </w:rPr>
              <w:t>50-150 kW/trạm</w:t>
            </w:r>
          </w:p>
        </w:tc>
        <w:tc>
          <w:tcPr>
            <w:tcW w:type="dxa" w:w="3120"/>
          </w:tcPr>
          <w:p>
            <w:pPr>
              <w:spacing w:before="60" w:after="60"/>
            </w:pPr>
            <w:r>
              <w:rPr>
                <w:rFonts w:ascii="Times New Roman" w:hAnsi="Times New Roman"/>
                <w:sz w:val="20"/>
              </w:rPr>
              <w:t>Tiêu chuẩn ngành</w:t>
            </w:r>
          </w:p>
        </w:tc>
      </w:tr>
      <w:tr>
        <w:tc>
          <w:tcPr>
            <w:tcW w:type="dxa" w:w="3120"/>
          </w:tcPr>
          <w:p>
            <w:pPr>
              <w:spacing w:before="60" w:after="60"/>
            </w:pPr>
            <w:r>
              <w:rPr>
                <w:rFonts w:ascii="Times New Roman" w:hAnsi="Times New Roman"/>
                <w:sz w:val="20"/>
              </w:rPr>
              <w:t>Trạm sạc xe buýt điện</w:t>
            </w:r>
          </w:p>
        </w:tc>
        <w:tc>
          <w:tcPr>
            <w:tcW w:type="dxa" w:w="3120"/>
          </w:tcPr>
          <w:p>
            <w:pPr>
              <w:spacing w:before="60" w:after="60"/>
            </w:pPr>
            <w:r>
              <w:rPr>
                <w:rFonts w:ascii="Times New Roman" w:hAnsi="Times New Roman"/>
                <w:sz w:val="20"/>
              </w:rPr>
              <w:t>100-300 kW/trạm</w:t>
            </w:r>
          </w:p>
        </w:tc>
        <w:tc>
          <w:tcPr>
            <w:tcW w:type="dxa" w:w="3120"/>
          </w:tcPr>
          <w:p>
            <w:pPr>
              <w:spacing w:before="60" w:after="60"/>
            </w:pPr>
            <w:r>
              <w:rPr>
                <w:rFonts w:ascii="Times New Roman" w:hAnsi="Times New Roman"/>
                <w:sz w:val="20"/>
              </w:rPr>
              <w:t>VinBus specification[^19]</w:t>
            </w:r>
          </w:p>
        </w:tc>
      </w:tr>
      <w:tr>
        <w:tc>
          <w:tcPr>
            <w:tcW w:type="dxa" w:w="3120"/>
          </w:tcPr>
          <w:p>
            <w:pPr>
              <w:spacing w:before="60" w:after="60"/>
            </w:pPr>
            <w:r>
              <w:rPr>
                <w:rFonts w:ascii="Times New Roman" w:hAnsi="Times New Roman"/>
                <w:sz w:val="20"/>
              </w:rPr>
              <w:t>Số trạm Phase 1 ước tính</w:t>
            </w:r>
          </w:p>
        </w:tc>
        <w:tc>
          <w:tcPr>
            <w:tcW w:type="dxa" w:w="3120"/>
          </w:tcPr>
          <w:p>
            <w:pPr>
              <w:spacing w:before="60" w:after="60"/>
            </w:pPr>
            <w:r>
              <w:rPr>
                <w:rFonts w:ascii="Times New Roman" w:hAnsi="Times New Roman"/>
                <w:sz w:val="20"/>
              </w:rPr>
              <w:t>30-50 trạm</w:t>
            </w:r>
          </w:p>
        </w:tc>
        <w:tc>
          <w:tcPr>
            <w:tcW w:type="dxa" w:w="3120"/>
          </w:tcPr>
          <w:p>
            <w:pPr>
              <w:spacing w:before="60" w:after="60"/>
            </w:pPr>
            <w:r>
              <w:rPr>
                <w:rFonts w:ascii="Times New Roman" w:hAnsi="Times New Roman"/>
                <w:sz w:val="20"/>
              </w:rPr>
              <w:t>Ước tính từ 51 xe buýt + cá nhân</w:t>
            </w:r>
          </w:p>
        </w:tc>
      </w:tr>
    </w:tbl>
    <w:p>
      <w:pPr>
        <w:spacing w:before="0" w:after="80"/>
      </w:pP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Peak: 50 trạm × 100 kW (trung bình) = 5 MW → điều chỉnh diversity factor 0,6 = 3 MW</w:t>
      </w:r>
      <w:r>
        <w:br/>
      </w:r>
      <w:r>
        <w:rPr>
          <w:rFonts w:ascii="Consolas" w:hAnsi="Consolas"/>
          <w:color w:val="333333"/>
          <w:sz w:val="18"/>
        </w:rPr>
        <w:t>Kết luận: 2-4 MW peak | 5-10 triệu kWh/năm</w:t>
      </w:r>
    </w:p>
    <w:p>
      <w:pPr>
        <w:pStyle w:val="Heading4"/>
        <w:spacing w:before="240" w:after="160"/>
      </w:pPr>
      <w:r>
        <w:rPr>
          <w:rFonts w:ascii="Times New Roman" w:hAnsi="Times New Roman" w:eastAsia="Times New Roman"/>
          <w:color w:val="1A1A2E"/>
          <w:sz w:val="28"/>
        </w:rPr>
        <w:t>E.7. Tổng hợp nhu cầu điện toàn danh mục</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Cơ sở</w:t>
            </w:r>
          </w:p>
        </w:tc>
        <w:tc>
          <w:tcPr>
            <w:tcW w:type="dxa" w:w="1872"/>
            <w:shd w:fill="E2E8F0" w:val="clear"/>
          </w:tcPr>
          <w:p>
            <w:pPr>
              <w:spacing w:before="60" w:after="60"/>
            </w:pPr>
            <w:r>
              <w:rPr>
                <w:rFonts w:ascii="Times New Roman" w:hAnsi="Times New Roman"/>
                <w:b/>
                <w:sz w:val="20"/>
              </w:rPr>
              <w:t>MW peak (thấp)</w:t>
            </w:r>
          </w:p>
        </w:tc>
        <w:tc>
          <w:tcPr>
            <w:tcW w:type="dxa" w:w="1872"/>
            <w:shd w:fill="E2E8F0" w:val="clear"/>
          </w:tcPr>
          <w:p>
            <w:pPr>
              <w:spacing w:before="60" w:after="60"/>
            </w:pPr>
            <w:r>
              <w:rPr>
                <w:rFonts w:ascii="Times New Roman" w:hAnsi="Times New Roman"/>
                <w:b/>
                <w:sz w:val="20"/>
              </w:rPr>
              <w:t>MW peak (cao)</w:t>
            </w:r>
          </w:p>
        </w:tc>
        <w:tc>
          <w:tcPr>
            <w:tcW w:type="dxa" w:w="1872"/>
            <w:shd w:fill="E2E8F0" w:val="clear"/>
          </w:tcPr>
          <w:p>
            <w:pPr>
              <w:spacing w:before="60" w:after="60"/>
            </w:pPr>
            <w:r>
              <w:rPr>
                <w:rFonts w:ascii="Times New Roman" w:hAnsi="Times New Roman"/>
                <w:b/>
                <w:sz w:val="20"/>
              </w:rPr>
              <w:t>Triệu kWh/năm (thấp)</w:t>
            </w:r>
          </w:p>
        </w:tc>
        <w:tc>
          <w:tcPr>
            <w:tcW w:type="dxa" w:w="1872"/>
            <w:shd w:fill="E2E8F0" w:val="clear"/>
          </w:tcPr>
          <w:p>
            <w:pPr>
              <w:spacing w:before="60" w:after="60"/>
            </w:pPr>
            <w:r>
              <w:rPr>
                <w:rFonts w:ascii="Times New Roman" w:hAnsi="Times New Roman"/>
                <w:b/>
                <w:sz w:val="20"/>
              </w:rPr>
              <w:t>Triệu kWh/năm (cao)</w:t>
            </w:r>
          </w:p>
        </w:tc>
      </w:tr>
      <w:tr>
        <w:tc>
          <w:tcPr>
            <w:tcW w:type="dxa" w:w="1872"/>
          </w:tcPr>
          <w:p>
            <w:pPr>
              <w:spacing w:before="60" w:after="60"/>
            </w:pPr>
            <w:r>
              <w:rPr>
                <w:rFonts w:ascii="Times New Roman" w:hAnsi="Times New Roman"/>
                <w:sz w:val="20"/>
              </w:rPr>
              <w:t>Khách sạn 5 sao (12.000 phòng)</w:t>
            </w:r>
          </w:p>
        </w:tc>
        <w:tc>
          <w:tcPr>
            <w:tcW w:type="dxa" w:w="1872"/>
          </w:tcPr>
          <w:p>
            <w:pPr>
              <w:spacing w:before="60" w:after="60"/>
            </w:pPr>
            <w:r>
              <w:rPr>
                <w:rFonts w:ascii="Times New Roman" w:hAnsi="Times New Roman"/>
                <w:sz w:val="20"/>
              </w:rPr>
              <w:t>36</w:t>
            </w:r>
          </w:p>
        </w:tc>
        <w:tc>
          <w:tcPr>
            <w:tcW w:type="dxa" w:w="1872"/>
          </w:tcPr>
          <w:p>
            <w:pPr>
              <w:spacing w:before="60" w:after="60"/>
            </w:pPr>
            <w:r>
              <w:rPr>
                <w:rFonts w:ascii="Times New Roman" w:hAnsi="Times New Roman"/>
                <w:sz w:val="20"/>
              </w:rPr>
              <w:t>48</w:t>
            </w:r>
          </w:p>
        </w:tc>
        <w:tc>
          <w:tcPr>
            <w:tcW w:type="dxa" w:w="1872"/>
          </w:tcPr>
          <w:p>
            <w:pPr>
              <w:spacing w:before="60" w:after="60"/>
            </w:pPr>
            <w:r>
              <w:rPr>
                <w:rFonts w:ascii="Times New Roman" w:hAnsi="Times New Roman"/>
                <w:sz w:val="20"/>
              </w:rPr>
              <w:t>144</w:t>
            </w:r>
          </w:p>
        </w:tc>
        <w:tc>
          <w:tcPr>
            <w:tcW w:type="dxa" w:w="1872"/>
          </w:tcPr>
          <w:p>
            <w:pPr>
              <w:spacing w:before="60" w:after="60"/>
            </w:pPr>
            <w:r>
              <w:rPr>
                <w:rFonts w:ascii="Times New Roman" w:hAnsi="Times New Roman"/>
                <w:sz w:val="20"/>
              </w:rPr>
              <w:t>180</w:t>
            </w:r>
          </w:p>
        </w:tc>
      </w:tr>
      <w:tr>
        <w:tc>
          <w:tcPr>
            <w:tcW w:type="dxa" w:w="1872"/>
          </w:tcPr>
          <w:p>
            <w:pPr>
              <w:spacing w:before="60" w:after="60"/>
            </w:pPr>
            <w:r>
              <w:rPr>
                <w:rFonts w:ascii="Times New Roman" w:hAnsi="Times New Roman"/>
                <w:sz w:val="20"/>
              </w:rPr>
              <w:t>Sân bay mở rộng</w:t>
            </w:r>
          </w:p>
        </w:tc>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12</w:t>
            </w:r>
          </w:p>
        </w:tc>
        <w:tc>
          <w:tcPr>
            <w:tcW w:type="dxa" w:w="1872"/>
          </w:tcPr>
          <w:p>
            <w:pPr>
              <w:spacing w:before="60" w:after="60"/>
            </w:pPr>
            <w:r>
              <w:rPr>
                <w:rFonts w:ascii="Times New Roman" w:hAnsi="Times New Roman"/>
                <w:sz w:val="20"/>
              </w:rPr>
              <w:t>28</w:t>
            </w:r>
          </w:p>
        </w:tc>
        <w:tc>
          <w:tcPr>
            <w:tcW w:type="dxa" w:w="1872"/>
          </w:tcPr>
          <w:p>
            <w:pPr>
              <w:spacing w:before="60" w:after="60"/>
            </w:pPr>
            <w:r>
              <w:rPr>
                <w:rFonts w:ascii="Times New Roman" w:hAnsi="Times New Roman"/>
                <w:sz w:val="20"/>
              </w:rPr>
              <w:t>42</w:t>
            </w:r>
          </w:p>
        </w:tc>
      </w:tr>
      <w:tr>
        <w:tc>
          <w:tcPr>
            <w:tcW w:type="dxa" w:w="1872"/>
          </w:tcPr>
          <w:p>
            <w:pPr>
              <w:spacing w:before="60" w:after="60"/>
            </w:pPr>
            <w:r>
              <w:rPr>
                <w:rFonts w:ascii="Times New Roman" w:hAnsi="Times New Roman"/>
                <w:sz w:val="20"/>
              </w:rPr>
              <w:t>TTHH APEC + Nhà hát</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13</w:t>
            </w:r>
          </w:p>
        </w:tc>
      </w:tr>
      <w:tr>
        <w:tc>
          <w:tcPr>
            <w:tcW w:type="dxa" w:w="1872"/>
          </w:tcPr>
          <w:p>
            <w:pPr>
              <w:spacing w:before="60" w:after="60"/>
            </w:pPr>
            <w:r>
              <w:rPr>
                <w:rFonts w:ascii="Times New Roman" w:hAnsi="Times New Roman"/>
                <w:sz w:val="20"/>
              </w:rPr>
              <w:t>Tàu điện LRT</w:t>
            </w:r>
          </w:p>
        </w:tc>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10</w:t>
            </w:r>
          </w:p>
        </w:tc>
        <w:tc>
          <w:tcPr>
            <w:tcW w:type="dxa" w:w="1872"/>
          </w:tcPr>
          <w:p>
            <w:pPr>
              <w:spacing w:before="60" w:after="60"/>
            </w:pPr>
            <w:r>
              <w:rPr>
                <w:rFonts w:ascii="Times New Roman" w:hAnsi="Times New Roman"/>
                <w:sz w:val="20"/>
              </w:rPr>
              <w:t>16</w:t>
            </w:r>
          </w:p>
        </w:tc>
      </w:tr>
      <w:tr>
        <w:tc>
          <w:tcPr>
            <w:tcW w:type="dxa" w:w="1872"/>
          </w:tcPr>
          <w:p>
            <w:pPr>
              <w:spacing w:before="60" w:after="60"/>
            </w:pPr>
            <w:r>
              <w:rPr>
                <w:rFonts w:ascii="Times New Roman" w:hAnsi="Times New Roman"/>
                <w:sz w:val="20"/>
              </w:rPr>
              <w:t>Trạm sạc EV</w:t>
            </w:r>
          </w:p>
        </w:tc>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4</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10</w:t>
            </w:r>
          </w:p>
        </w:tc>
      </w:tr>
      <w:tr>
        <w:tc>
          <w:tcPr>
            <w:tcW w:type="dxa" w:w="1872"/>
          </w:tcPr>
          <w:p>
            <w:pPr>
              <w:spacing w:before="60" w:after="60"/>
            </w:pPr>
            <w:r>
              <w:rPr>
                <w:rFonts w:ascii="Times New Roman" w:hAnsi="Times New Roman"/>
                <w:sz w:val="20"/>
              </w:rPr>
              <w:t>Khu thương mại</w:t>
            </w:r>
          </w:p>
        </w:tc>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10</w:t>
            </w:r>
          </w:p>
        </w:tc>
        <w:tc>
          <w:tcPr>
            <w:tcW w:type="dxa" w:w="1872"/>
          </w:tcPr>
          <w:p>
            <w:pPr>
              <w:spacing w:before="60" w:after="60"/>
            </w:pPr>
            <w:r>
              <w:rPr>
                <w:rFonts w:ascii="Times New Roman" w:hAnsi="Times New Roman"/>
                <w:sz w:val="20"/>
              </w:rPr>
              <w:t>16</w:t>
            </w:r>
          </w:p>
        </w:tc>
      </w:tr>
      <w:tr>
        <w:tc>
          <w:tcPr>
            <w:tcW w:type="dxa" w:w="1872"/>
          </w:tcPr>
          <w:p>
            <w:pPr>
              <w:spacing w:before="60" w:after="60"/>
            </w:pPr>
            <w:r>
              <w:rPr>
                <w:rFonts w:ascii="Times New Roman" w:hAnsi="Times New Roman"/>
                <w:sz w:val="20"/>
              </w:rPr>
              <w:t>Tổng bổ sung</w:t>
            </w:r>
          </w:p>
        </w:tc>
        <w:tc>
          <w:tcPr>
            <w:tcW w:type="dxa" w:w="1872"/>
          </w:tcPr>
          <w:p>
            <w:pPr>
              <w:spacing w:before="60" w:after="60"/>
            </w:pPr>
            <w:r>
              <w:rPr>
                <w:rFonts w:ascii="Times New Roman" w:hAnsi="Times New Roman"/>
                <w:sz w:val="20"/>
              </w:rPr>
              <w:t>57</w:t>
            </w:r>
          </w:p>
        </w:tc>
        <w:tc>
          <w:tcPr>
            <w:tcW w:type="dxa" w:w="1872"/>
          </w:tcPr>
          <w:p>
            <w:pPr>
              <w:spacing w:before="60" w:after="60"/>
            </w:pPr>
            <w:r>
              <w:rPr>
                <w:rFonts w:ascii="Times New Roman" w:hAnsi="Times New Roman"/>
                <w:sz w:val="20"/>
              </w:rPr>
              <w:t>82</w:t>
            </w:r>
          </w:p>
        </w:tc>
        <w:tc>
          <w:tcPr>
            <w:tcW w:type="dxa" w:w="1872"/>
          </w:tcPr>
          <w:p>
            <w:pPr>
              <w:spacing w:before="60" w:after="60"/>
            </w:pPr>
            <w:r>
              <w:rPr>
                <w:rFonts w:ascii="Times New Roman" w:hAnsi="Times New Roman"/>
                <w:sz w:val="20"/>
              </w:rPr>
              <w:t>205</w:t>
            </w:r>
          </w:p>
        </w:tc>
        <w:tc>
          <w:tcPr>
            <w:tcW w:type="dxa" w:w="1872"/>
          </w:tcPr>
          <w:p>
            <w:pPr>
              <w:spacing w:before="60" w:after="60"/>
            </w:pPr>
            <w:r>
              <w:rPr>
                <w:rFonts w:ascii="Times New Roman" w:hAnsi="Times New Roman"/>
                <w:sz w:val="20"/>
              </w:rPr>
              <w:t>277</w:t>
            </w:r>
          </w:p>
        </w:tc>
      </w:tr>
      <w:tr>
        <w:tc>
          <w:tcPr>
            <w:tcW w:type="dxa" w:w="1872"/>
          </w:tcPr>
          <w:p>
            <w:pPr>
              <w:spacing w:before="60" w:after="60"/>
            </w:pPr>
            <w:r>
              <w:rPr>
                <w:rFonts w:ascii="Times New Roman" w:hAnsi="Times New Roman"/>
                <w:sz w:val="20"/>
              </w:rPr>
              <w:t>+ Phụ tải hiện tại</w:t>
            </w:r>
          </w:p>
        </w:tc>
        <w:tc>
          <w:tcPr>
            <w:tcW w:type="dxa" w:w="1872"/>
          </w:tcPr>
          <w:p>
            <w:pPr>
              <w:spacing w:before="60" w:after="60"/>
            </w:pPr>
            <w:r>
              <w:rPr>
                <w:rFonts w:ascii="Times New Roman" w:hAnsi="Times New Roman"/>
                <w:sz w:val="20"/>
              </w:rPr>
              <w:t>167</w:t>
            </w:r>
          </w:p>
        </w:tc>
        <w:tc>
          <w:tcPr>
            <w:tcW w:type="dxa" w:w="1872"/>
          </w:tcPr>
          <w:p>
            <w:pPr>
              <w:spacing w:before="60" w:after="60"/>
            </w:pPr>
            <w:r>
              <w:rPr>
                <w:rFonts w:ascii="Times New Roman" w:hAnsi="Times New Roman"/>
                <w:sz w:val="20"/>
              </w:rPr>
              <w:t>192</w:t>
            </w:r>
          </w:p>
        </w:tc>
        <w:tc>
          <w:tcPr>
            <w:tcW w:type="dxa" w:w="1872"/>
          </w:tcPr>
          <w:p>
            <w:pPr>
              <w:spacing w:before="60" w:after="60"/>
            </w:pPr>
            <w:r>
              <w:rPr>
                <w:rFonts w:ascii="Times New Roman" w:hAnsi="Times New Roman"/>
                <w:sz w:val="20"/>
              </w:rPr>
              <w:t>987</w:t>
            </w:r>
          </w:p>
        </w:tc>
        <w:tc>
          <w:tcPr>
            <w:tcW w:type="dxa" w:w="1872"/>
          </w:tcPr>
          <w:p>
            <w:pPr>
              <w:spacing w:before="60" w:after="60"/>
            </w:pPr>
            <w:r>
              <w:rPr>
                <w:rFonts w:ascii="Times New Roman" w:hAnsi="Times New Roman"/>
                <w:sz w:val="20"/>
              </w:rPr>
              <w:t>1.059</w:t>
            </w:r>
          </w:p>
        </w:tc>
      </w:tr>
    </w:tbl>
    <w:p>
      <w:pPr>
        <w:spacing w:before="0" w:after="80"/>
      </w:pPr>
    </w:p>
    <w:p>
      <w:pPr>
        <w:spacing w:before="80" w:after="80"/>
        <w:ind w:left="850"/>
        <w:pBdr>
          <w:left w:val="single" w:sz="18" w:space="8" w:color="D0D7DE"/>
        </w:pBdr>
      </w:pPr>
      <w:r>
        <w:rPr>
          <w:b/>
          <w:color w:val="6A737D"/>
        </w:rPr>
        <w:t>So sánh</w:t>
      </w:r>
      <w:r>
        <w:rPr>
          <w:color w:val="6A737D"/>
        </w:rPr>
        <w:t xml:space="preserve">: Đỉnh phụ tải hiện tại 110 MW → lên </w:t>
      </w:r>
      <w:r>
        <w:rPr>
          <w:b/>
          <w:color w:val="6A737D"/>
        </w:rPr>
        <w:t>167-192 MW</w:t>
      </w:r>
      <w:r>
        <w:rPr>
          <w:color w:val="6A737D"/>
        </w:rPr>
        <w:t xml:space="preserve"> (+52-75%). Đây là mức </w:t>
      </w:r>
      <w:r>
        <w:rPr>
          <w:b/>
          <w:color w:val="6A737D"/>
        </w:rPr>
        <w:t>tối thiểu</w:t>
      </w:r>
      <w:r>
        <w:rPr>
          <w:color w:val="6A737D"/>
        </w:rPr>
        <w:t xml:space="preserve"> — chưa tính tăng trưởng 11%/năm từ dân cư và du lịch ngoài Sun Group.</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Danh mục trích dẫn nguồn</w:t>
      </w:r>
    </w:p>
    <w:p>
      <w:r>
        <w:t>[^1]: VnExpress, “Gần 30.000 hộ dân Phú Quốc mất điện do sự cố cáp ngầm”, vnexpress.net, 29/11/2025.</w:t>
        <w:br/>
        <w:t>[^2]: Bản ghi nhớ CLP - Sun Group, mục 1 “Phụ tải và tiêu thụ”, 23/02/2026. Đỉnh phụ tải 110 MW.</w:t>
        <w:br/>
        <w:t>[^3]: Hàn Thế Phong (CLP SEA Infrastructure Limited), “Bản ghi nhớ: Đảm bảo An ninh Năng lượng cho Danh mục Đầu tư Sun Group tại Phú Quốc”, 23/02/2026. Tài liệu cá nhân &amp; thăm dò — không phải đề xuất chính thức của CLP.</w:t>
        <w:br/>
        <w:t>[^4]: EVN.com.vn, “EVNSPC vượt chỉ tiêu đầu tư xây dựng lưới điện năm 2025”, evn.com.vn, 12/2025. Tổng 3 công trình cấp điện Phú Quốc: 9.160 tỷ VND.</w:t>
        <w:br/>
        <w:t>[^5]: Bộ Công Thương / World Bank, “Vietnam Solar Radiation Atlas”. Phú Quốc (vĩ tuyến 10°N): bức xạ 4,5–5,5 kWh/m²/ngày.</w:t>
        <w:br/>
        <w:t>[^6]: TheInvestor.vn, “New 220kV cross-sea power line increases Phu Quoc electricity provision five times”, theinvestor.vn. Dự kiến đáp ứng đến 2035.</w:t>
        <w:br/>
        <w:t>[^7]: EVN.com.vn / Vietnam.vn, “EVNSPC khởi công trạm biến áp 220 kV Phú Quốc”, 12/2025.</w:t>
        <w:br/>
        <w:t>[^8]: Vinaincon.com.vn, “Hợp đồng thi công đường dây 110 kV Phú Quốc – Nam Phú Quốc”, ký 17/07/2023, thời gian thi công 210 ngày.</w:t>
        <w:br/>
        <w:t>[^9]: VietnamNet / Báo Mới, “Cáp ngầm 110 kV Hà Tiên - Phú Quốc bị hư hỏng do ép cọc thi công đường ven biển”, 29/11/2025.</w:t>
        <w:br/>
        <w:t>[^10]: Báo Mới / VOH, “Mất điện diện rộng tại Phú Quốc: Dương Đông, Cửa Cạn, Hàm Ninh, Bắc đảo”, 29/11/2025.</w:t>
        <w:br/>
        <w:t>[^11]: Tuổi Trẻ Online, “Phú Quốc mất điện 30-40 giờ liên tục, gián đoạn nước sạch Bắc đảo”, tuoitre.vn, 11/2025.</w:t>
        <w:br/>
        <w:t>[^12]: VnExpress, “EVNSPC huy động máy phát diesel từ đất liền về Phú Quốc”, vnexpress.net, 29-30/11/2025.</w:t>
        <w:br/>
        <w:t>[^13]: Quảng Ngãi TV / Báo Mới, “Khắc phục sự cố cáp ngầm Phú Quốc dự kiến mất khoảng 1 tháng”, quangngaitv.vn, 11/2025.</w:t>
        <w:br/>
        <w:t>[^14]: Dân Trí, “Đơn vị gây sự cố cáp ngầm Phú Quốc tạm ứng 2,4 tỷ đồng sửa chữa”, dantri.com.vn, 12/2025.</w:t>
        <w:br/>
        <w:t>[^15]: AEMACO.com, “Luxury Hotel Energy Consumption Benchmarks”. Khách sạn 5 sao vùng nóng: 12.000-15.000 kWh/phòng/năm. HVAC: 50-70%, chiếu sáng: 10-20%, nước nóng: 15-25%. Xem thêm: Government of Mauritius (govmu.org), “4-5 Star Hotel Energy Audit Malta”: 35.867 kWh/phòng/năm.</w:t>
        <w:br/>
        <w:t>[^16]: University of Reading (UK), “Energy Performance of Chinese Hub Airport Terminals”, reading.ac.uk. EUI trung bình: 177 kWh/m²/năm, 30-60% từ HVAC. CIBSE, “Airport Energy Benchmarks”: HKIA 371-374 kWh/m². ASHRAE, “Airport Terminal Energy Use Intensity”, ashrae.org.</w:t>
        <w:br/>
        <w:t>[^17]: Ingener.by / ASHRAE, “Convention Center HVAC &amp; Lighting Benchmarks”. HVAC: 0,04-0,4 kW/chỗ; Lighting: 0,004-0,015 kW/chỗ. Audio/Visual peak: 4,4-11,7 kW. PSU (Penn State University), “Lighting Power Density Standards”.</w:t>
        <w:br/>
        <w:t>[^18]: Valley Metro (US), “Light Rail Power Supply Infrastructure”, valleymetro.org. Trạm biến áp: 1,5-5,5 MW, 850V DC. TRB (Transportation Research Board), “LRT Power Systems”. GCRTA Cleveland: 7-8 kWh/vehicle-km.</w:t>
        <w:br/>
        <w:t>[^19]: Tiêu chuẩn ngành sạc xe điện: DC fast charger 50-150 kW (CCS/CHAdeMO), xe buýt điện 100-300 kW. VinBus Phú Quốc: 51 xe trên 3 tuyến.</w:t>
        <w:br/>
        <w:t>[^20]: Marubeni Corporation / VinFast Energy, “BESS 1.8 MW / 3.7 MWh at Vinpearl Resort Hon Tre”, 12/2024. Mô hình ba bên: Marubeni đầu tư, VinFast sản xuất pin lithium-ion, Vinpearl hưởng lợi không bỏ vốn.</w:t>
        <w:br/>
        <w:t>[^21]: Fluence Energy (Siemens-AES joint venture), “35 GWh/year Battery Manufacturing Facility in Bac Giang”, 08/2025. Nhà máy sản xuất pin lưu trữ tự động hóa, đủ cho 8,75 GW hệ thống 4 giờ/năm.</w:t>
        <w:br/>
        <w:t>[^22]: BloombergNEF, “Lithium-Ion Battery Pack Prices 2024-2025”. Chi phí pin lưu trữ quy mô utility: ~80 USD/kWh và tiếp tục giảm.</w:t>
        <w:br/>
        <w:t>[^23]: Bộ Công Thương, “Quy hoạch Phát triển Năng lượng Tái tạo Việt Nam”. Bức xạ mặt trời trung bình Việt Nam: 3,5-5,0 kWh/m²/ngày; miền Nam (bao gồm Phú Quốc): 4,5-5,5 kWh/m²/ngày.</w:t>
        <w:br/>
        <w:t>[^24]: HICAP 2024 Sustainable Hotel Awards, “Climate &amp; Biodiversity Action Award — Six Senses Ninh Van Bay”. 800 tấm pin mặt trời, cung cấp 26-28% điện năng tiêu thụ.</w:t>
        <w:br/>
        <w:t>[^25]: Quyết định 500/QĐ-TTg ngày 15/5/2023, “Quy hoạch Phát triển Điện lực Quốc gia thời kỳ 2021-2030, tầm nhìn đến năm 2050” (Quy hoạch Điện VIII). Mục tiêu 2030: ~15.000 MW điện gió.</w:t>
        <w:br/>
        <w:t>[^26]: IEEE / Microgrid Knowledge, “Microgrid Fundamentals: Automatic Transfer and Islanding Capabilities”. Chuyển mạch &lt; 20 ms cho critical loads.</w:t>
      </w:r>
    </w:p>
    <w:p>
      <w:pPr>
        <w:spacing w:before="120" w:after="120"/>
        <w:pBdr>
          <w:bottom w:val="single" w:sz="12" w:space="1" w:color="CCCCCC"/>
        </w:pBdr>
      </w:pPr>
    </w:p>
    <w:p>
      <w:r>
        <w:rPr>
          <w:b/>
        </w:rPr>
        <w:t>— Hết báo cáo —</w:t>
      </w:r>
    </w:p>
    <w:p>
      <w:r>
        <w:rPr>
          <w:i/>
        </w:rPr>
        <w:t>Tài liệu này là tài sản mật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