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Times New Roman" w:hAnsi="Times New Roman" w:eastAsia="Times New Roman"/>
          <w:color w:val="1A1A2E"/>
          <w:sz w:val="40"/>
        </w:rPr>
        <w:t>BÁO CÁO ĐÁNH GIÁ TÁC ĐỘNG XUNG ĐỘT IRAN–MỸ–ISRAEL ĐẾN HOẠT ĐỘNG TẬP ĐOÀN HÓA CHẤT VIỆT NAM (VINACHEM)</w:t>
      </w:r>
    </w:p>
    <w:p>
      <w:r>
        <w:rPr>
          <w:b/>
        </w:rPr>
        <w:t>Ngày:</w:t>
      </w:r>
      <w:r>
        <w:t xml:space="preserve"> 03/03/2026</w:t>
        <w:br/>
      </w:r>
      <w:r>
        <w:rPr>
          <w:b/>
        </w:rPr>
        <w:t>Phân loại:</w:t>
      </w:r>
      <w:r>
        <w:t xml:space="preserve"> Nội bộ — Báo cáo nhanh</w:t>
        <w:br/>
      </w:r>
      <w:r>
        <w:rPr>
          <w:b/>
        </w:rPr>
        <w:t>Đơn vị soạn thảo:</w:t>
      </w:r>
      <w:r>
        <w:t xml:space="preserve"> Ban Chiến lược &amp; Kế hoạch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Tóm tắt quản trị</w:t>
      </w:r>
    </w:p>
    <w:p>
      <w:r>
        <w:t>Xung đột quân sự Mỹ–Israel–Iran bắt đầu từ ngày 28/02/2026 đang gây ra xáo trộn lớn trên thị trường năng lượng và hàng hóa toàn cầu. Eo biển Hormuz, tuyến vận tải chiếm khoảng 20% nguồn cung dầu và 22% thương mại LNG thế giới, gần như ngừng hoạt động[^1][^2]. Giá dầu Brent tăng 13% lên 82 USD/thùng, giá khí đốt châu Âu tăng 41%[^3]. QatarEnergy — nhà cung cấp LNG lớn nhất thế giới — đã ngừng sản xuất sau khi cơ sở tại Ras Laffan bị tấn công bằng drone[^3].</w:t>
      </w:r>
    </w:p>
    <w:p>
      <w:r>
        <w:t>Tác động đến Vinachem có thể tóm gọn trong 5 điểm chính:</w:t>
      </w:r>
    </w:p>
    <w:p>
      <w:pPr>
        <w:spacing w:after="40" w:before="20"/>
        <w:ind w:left="720" w:hanging="357"/>
      </w:pPr>
      <w:r>
        <w:t xml:space="preserve">1. </w:t>
      </w:r>
      <w:r>
        <w:t>Nhóm phân bón (60% doanh thu) đứng trước cơ hội ngắn hạn khi giá ure toàn cầu tăng 13% lên 550–606 USD/tấn[^4], nhưng đồng thời chịu áp lực chi phí đầu vào (khí, năng lượng) tăng.</w:t>
      </w:r>
    </w:p>
    <w:p>
      <w:pPr>
        <w:spacing w:after="40" w:before="20"/>
        <w:ind w:left="720" w:hanging="357"/>
      </w:pPr>
      <w:r>
        <w:t xml:space="preserve">2. </w:t>
      </w:r>
      <w:r>
        <w:t>Nhóm cao su và lốp (DRC, CSM) bị tác động kép: chi phí cao su tổng hợp dự kiến tăng 15–25%[^5] cộng với thuế nhập khẩu 10% mới của Mỹ áp dụng từ 24/02/2026[^6].</w:t>
      </w:r>
    </w:p>
    <w:p>
      <w:pPr>
        <w:spacing w:after="40" w:before="20"/>
        <w:ind w:left="720" w:hanging="357"/>
      </w:pPr>
      <w:r>
        <w:t xml:space="preserve">3. </w:t>
      </w:r>
      <w:r>
        <w:t>Nhóm hóa chất cơ bản chịu ảnh hưởng trực tiếp từ giá nguyên liệu hóa dầu (naphtha, LPG) leo thang.</w:t>
      </w:r>
    </w:p>
    <w:p>
      <w:pPr>
        <w:spacing w:after="40" w:before="20"/>
        <w:ind w:left="720" w:hanging="357"/>
      </w:pPr>
      <w:r>
        <w:t xml:space="preserve">4. </w:t>
      </w:r>
      <w:r>
        <w:t>Nhóm khai thác apatit và thuốc bảo vệ thực vật chịu tác động gián tiếp qua chi phí năng lượng và vận tải.</w:t>
      </w:r>
    </w:p>
    <w:p>
      <w:pPr>
        <w:spacing w:after="40" w:before="20"/>
        <w:ind w:left="720" w:hanging="357"/>
      </w:pPr>
      <w:r>
        <w:t xml:space="preserve">5. </w:t>
      </w:r>
      <w:r>
        <w:t>Nhóm điện hóa, pin ắc quy chịu ảnh hưởng hạn chế nhất trong ngắn hạn.</w:t>
      </w:r>
    </w:p>
    <w:p>
      <w:r>
        <w:t>Khuyến nghị ưu tiên: rà soát lại hợp đồng mua nguyên liệu nhập khẩu, đánh giá lại giá bán phân bón theo diễn biến thị trường, và xây dựng kịch bản ứng phó theo hai kịch bản chiến tranh ngắn (4–7 ngày) và kéo dài (trên 4 tuần).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 Bối cảnh và phương pháp</w:t>
      </w:r>
    </w:p>
    <w:p>
      <w:pPr>
        <w:pStyle w:val="Heading3"/>
        <w:spacing w:before="240" w:after="160"/>
      </w:pPr>
      <w:r>
        <w:rPr>
          <w:rFonts w:ascii="Times New Roman" w:hAnsi="Times New Roman" w:eastAsia="Times New Roman"/>
          <w:color w:val="1A1A2E"/>
          <w:sz w:val="32"/>
        </w:rPr>
        <w:t>1.1 Diễn biến xung đột</w:t>
      </w:r>
    </w:p>
    <w:p>
      <w:r>
        <w:t>Ngày 28/02/2026, liên quân Mỹ–Israel tiến hành không kích quy mô lớn vào các mục tiêu quân sự, hạt nhân và cơ sở lãnh đạo của Iran[^7]. Tehran phản công trong vòng 4 giờ, tấn công vào Israel, các căn cứ Mỹ tại Bahrain, Kuwait, Qatar và cơ sở hạ tầng dân sự trên toàn vùng Vịnh[^2][^7].</w:t>
      </w:r>
    </w:p>
    <w:p>
      <w:r>
        <w:t>Đến ngày 02/03/2026, ít nhất 3 tàu chở dầu bị hư hại tại eo biển Hormuz, lưu lượng tàu hàng giảm từ hơn 50 chuyến/ngày xuống còn 7 chuyến[^2]. Maersk thông báo ngừng vận chuyển qua cả eo biển Hormuz và kênh Suez[^1]. Iran tuyên bố “sẽ đốt bất kỳ tàu nào” cố đi qua Hormuz[^2].</w:t>
      </w:r>
    </w:p>
    <w:p>
      <w:r>
        <w:t>Tổng thống Trump phát biểu chiến sự có thể kéo dài 4–5 tuần[^1].</w:t>
      </w:r>
    </w:p>
    <w:p>
      <w:pPr>
        <w:pStyle w:val="Heading3"/>
        <w:spacing w:before="240" w:after="160"/>
      </w:pPr>
      <w:r>
        <w:rPr>
          <w:rFonts w:ascii="Times New Roman" w:hAnsi="Times New Roman" w:eastAsia="Times New Roman"/>
          <w:color w:val="1A1A2E"/>
          <w:sz w:val="32"/>
        </w:rPr>
        <w:t>1.2 Phương pháp đánh giá</w:t>
      </w:r>
    </w:p>
    <w:p>
      <w:r>
        <w:t>Báo cáo sử dụng phương pháp phân tích chuỗi giá trị kết hợp đánh giá kịch bản dựa trên khung phân tích của ING Economics[^7]:</w:t>
      </w:r>
    </w:p>
    <w:p>
      <w:pPr>
        <w:spacing w:after="40" w:before="20"/>
        <w:ind w:left="720" w:hanging="357"/>
      </w:pPr>
      <w:r>
        <w:rPr>
          <w:sz w:val="20"/>
        </w:rPr>
        <w:t xml:space="preserve">• </w:t>
      </w:r>
      <w:r>
        <w:rPr>
          <w:b/>
        </w:rPr>
        <w:t>Kịch bản 1 (KB1)</w:t>
      </w:r>
      <w:r>
        <w:t>— chiến tranh ngắn, 4–7 ngày: mức giá năng lượng tăng tạm thời, vận tải hồi phục nhanh. Tác động vĩ mô hạn chế.</w:t>
      </w:r>
    </w:p>
    <w:p>
      <w:pPr>
        <w:spacing w:after="40" w:before="20"/>
        <w:ind w:left="720" w:hanging="357"/>
      </w:pPr>
      <w:r>
        <w:rPr>
          <w:sz w:val="20"/>
        </w:rPr>
        <w:t xml:space="preserve">• </w:t>
      </w:r>
      <w:r>
        <w:rPr>
          <w:b/>
        </w:rPr>
        <w:t>Kịch bản 2 (KB2)</w:t>
      </w:r>
      <w:r>
        <w:t>— chiến tranh kéo dài, trên 4 tuần: dầu có thể vượt 100 USD/thùng, LNG châu Âu có thể lên 80–100 EUR/MWh, gián đoạn chuỗi cung ứng toàn cầu nghiêm trọng[^7].</w:t>
      </w:r>
    </w:p>
    <w:p>
      <w:r>
        <w:t>Các số liệu thị trường sử dụng trong báo cáo lấy tại thời điểm 02/03/2026. Chi tiết phương pháp xem Phụ lục A.</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II. Tổng quan tác động vĩ mô</w:t>
      </w:r>
    </w:p>
    <w:p>
      <w:pPr>
        <w:pStyle w:val="Heading3"/>
        <w:spacing w:before="240" w:after="160"/>
      </w:pPr>
      <w:r>
        <w:rPr>
          <w:rFonts w:ascii="Times New Roman" w:hAnsi="Times New Roman" w:eastAsia="Times New Roman"/>
          <w:color w:val="1A1A2E"/>
          <w:sz w:val="32"/>
        </w:rPr>
        <w:t>2.1 Năng lượng và hàng hóa</w:t>
      </w:r>
    </w:p>
    <w:p>
      <w:r>
        <w:t>Bảng giá hàng hóa chính (tính đến 02/03/2026):</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Hàng hóa</w:t>
            </w:r>
          </w:p>
        </w:tc>
        <w:tc>
          <w:tcPr>
            <w:tcW w:type="dxa" w:w="2340"/>
            <w:shd w:fill="E2E8F0" w:val="clear"/>
          </w:tcPr>
          <w:p>
            <w:pPr>
              <w:spacing w:before="60" w:after="60"/>
            </w:pPr>
            <w:r>
              <w:rPr>
                <w:rFonts w:ascii="Times New Roman" w:hAnsi="Times New Roman"/>
                <w:b/>
                <w:sz w:val="20"/>
              </w:rPr>
              <w:t>Giá trước xung đột</w:t>
            </w:r>
          </w:p>
        </w:tc>
        <w:tc>
          <w:tcPr>
            <w:tcW w:type="dxa" w:w="2340"/>
            <w:shd w:fill="E2E8F0" w:val="clear"/>
          </w:tcPr>
          <w:p>
            <w:pPr>
              <w:spacing w:before="60" w:after="60"/>
            </w:pPr>
            <w:r>
              <w:rPr>
                <w:rFonts w:ascii="Times New Roman" w:hAnsi="Times New Roman"/>
                <w:b/>
                <w:sz w:val="20"/>
              </w:rPr>
              <w:t>Giá ngày 02/03</w:t>
            </w:r>
          </w:p>
        </w:tc>
        <w:tc>
          <w:tcPr>
            <w:tcW w:type="dxa" w:w="2340"/>
            <w:shd w:fill="E2E8F0" w:val="clear"/>
          </w:tcPr>
          <w:p>
            <w:pPr>
              <w:spacing w:before="60" w:after="60"/>
            </w:pPr>
            <w:r>
              <w:rPr>
                <w:rFonts w:ascii="Times New Roman" w:hAnsi="Times New Roman"/>
                <w:b/>
                <w:sz w:val="20"/>
              </w:rPr>
              <w:t>Biến động</w:t>
            </w:r>
          </w:p>
        </w:tc>
      </w:tr>
      <w:tr>
        <w:tc>
          <w:tcPr>
            <w:tcW w:type="dxa" w:w="2340"/>
          </w:tcPr>
          <w:p>
            <w:pPr>
              <w:spacing w:before="60" w:after="60"/>
            </w:pPr>
            <w:r>
              <w:rPr>
                <w:rFonts w:ascii="Times New Roman" w:hAnsi="Times New Roman"/>
                <w:sz w:val="20"/>
              </w:rPr>
              <w:t>Dầu Brent</w:t>
            </w:r>
          </w:p>
        </w:tc>
        <w:tc>
          <w:tcPr>
            <w:tcW w:type="dxa" w:w="2340"/>
          </w:tcPr>
          <w:p>
            <w:pPr>
              <w:spacing w:before="60" w:after="60"/>
            </w:pPr>
            <w:r>
              <w:rPr>
                <w:rFonts w:ascii="Times New Roman" w:hAnsi="Times New Roman"/>
                <w:sz w:val="20"/>
              </w:rPr>
              <w:t>72 USD/thùng</w:t>
            </w:r>
          </w:p>
        </w:tc>
        <w:tc>
          <w:tcPr>
            <w:tcW w:type="dxa" w:w="2340"/>
          </w:tcPr>
          <w:p>
            <w:pPr>
              <w:spacing w:before="60" w:after="60"/>
            </w:pPr>
            <w:r>
              <w:rPr>
                <w:rFonts w:ascii="Times New Roman" w:hAnsi="Times New Roman"/>
                <w:sz w:val="20"/>
              </w:rPr>
              <w:t>77–82 USD/thùng</w:t>
            </w:r>
          </w:p>
        </w:tc>
        <w:tc>
          <w:tcPr>
            <w:tcW w:type="dxa" w:w="2340"/>
          </w:tcPr>
          <w:p>
            <w:pPr>
              <w:spacing w:before="60" w:after="60"/>
            </w:pPr>
            <w:r>
              <w:rPr>
                <w:rFonts w:ascii="Times New Roman" w:hAnsi="Times New Roman"/>
                <w:sz w:val="20"/>
              </w:rPr>
              <w:t>+7% đến +13%[^3]</w:t>
            </w:r>
          </w:p>
        </w:tc>
      </w:tr>
      <w:tr>
        <w:tc>
          <w:tcPr>
            <w:tcW w:type="dxa" w:w="2340"/>
          </w:tcPr>
          <w:p>
            <w:pPr>
              <w:spacing w:before="60" w:after="60"/>
            </w:pPr>
            <w:r>
              <w:rPr>
                <w:rFonts w:ascii="Times New Roman" w:hAnsi="Times New Roman"/>
                <w:sz w:val="20"/>
              </w:rPr>
              <w:t>Khí đốt châu Âu (TTF)</w:t>
            </w:r>
          </w:p>
        </w:tc>
        <w:tc>
          <w:tcPr>
            <w:tcW w:type="dxa" w:w="2340"/>
          </w:tcPr>
          <w:p>
            <w:pPr>
              <w:spacing w:before="60" w:after="60"/>
            </w:pPr>
            <w:r>
              <w:rPr>
                <w:rFonts w:ascii="Times New Roman" w:hAnsi="Times New Roman"/>
                <w:sz w:val="20"/>
              </w:rPr>
              <w:t>32 EUR/MWh</w:t>
            </w:r>
          </w:p>
        </w:tc>
        <w:tc>
          <w:tcPr>
            <w:tcW w:type="dxa" w:w="2340"/>
          </w:tcPr>
          <w:p>
            <w:pPr>
              <w:spacing w:before="60" w:after="60"/>
            </w:pPr>
            <w:r>
              <w:rPr>
                <w:rFonts w:ascii="Times New Roman" w:hAnsi="Times New Roman"/>
                <w:sz w:val="20"/>
              </w:rPr>
              <w:t>45 EUR/MWh</w:t>
            </w:r>
          </w:p>
        </w:tc>
        <w:tc>
          <w:tcPr>
            <w:tcW w:type="dxa" w:w="2340"/>
          </w:tcPr>
          <w:p>
            <w:pPr>
              <w:spacing w:before="60" w:after="60"/>
            </w:pPr>
            <w:r>
              <w:rPr>
                <w:rFonts w:ascii="Times New Roman" w:hAnsi="Times New Roman"/>
                <w:sz w:val="20"/>
              </w:rPr>
              <w:t>+41%[^3]</w:t>
            </w:r>
          </w:p>
        </w:tc>
      </w:tr>
      <w:tr>
        <w:tc>
          <w:tcPr>
            <w:tcW w:type="dxa" w:w="2340"/>
          </w:tcPr>
          <w:p>
            <w:pPr>
              <w:spacing w:before="60" w:after="60"/>
            </w:pPr>
            <w:r>
              <w:rPr>
                <w:rFonts w:ascii="Times New Roman" w:hAnsi="Times New Roman"/>
                <w:sz w:val="20"/>
              </w:rPr>
              <w:t>Khí đốt Anh</w:t>
            </w:r>
          </w:p>
        </w:tc>
        <w:tc>
          <w:tcPr>
            <w:tcW w:type="dxa" w:w="2340"/>
          </w:tcPr>
          <w:p>
            <w:pPr>
              <w:spacing w:before="60" w:after="60"/>
            </w:pPr>
            <w:r>
              <w:rPr>
                <w:rFonts w:ascii="Times New Roman" w:hAnsi="Times New Roman"/>
                <w:sz w:val="20"/>
              </w:rPr>
              <w:t>79p/therm</w:t>
            </w:r>
          </w:p>
        </w:tc>
        <w:tc>
          <w:tcPr>
            <w:tcW w:type="dxa" w:w="2340"/>
          </w:tcPr>
          <w:p>
            <w:pPr>
              <w:spacing w:before="60" w:after="60"/>
            </w:pPr>
            <w:r>
              <w:rPr>
                <w:rFonts w:ascii="Times New Roman" w:hAnsi="Times New Roman"/>
                <w:sz w:val="20"/>
              </w:rPr>
              <w:t>110p/therm</w:t>
            </w:r>
          </w:p>
        </w:tc>
        <w:tc>
          <w:tcPr>
            <w:tcW w:type="dxa" w:w="2340"/>
          </w:tcPr>
          <w:p>
            <w:pPr>
              <w:spacing w:before="60" w:after="60"/>
            </w:pPr>
            <w:r>
              <w:rPr>
                <w:rFonts w:ascii="Times New Roman" w:hAnsi="Times New Roman"/>
                <w:sz w:val="20"/>
              </w:rPr>
              <w:t>+40%[^3]</w:t>
            </w:r>
          </w:p>
        </w:tc>
      </w:tr>
      <w:tr>
        <w:tc>
          <w:tcPr>
            <w:tcW w:type="dxa" w:w="2340"/>
          </w:tcPr>
          <w:p>
            <w:pPr>
              <w:spacing w:before="60" w:after="60"/>
            </w:pPr>
            <w:r>
              <w:rPr>
                <w:rFonts w:ascii="Times New Roman" w:hAnsi="Times New Roman"/>
                <w:sz w:val="20"/>
              </w:rPr>
              <w:t>Vàng</w:t>
            </w:r>
          </w:p>
        </w:tc>
        <w:tc>
          <w:tcPr>
            <w:tcW w:type="dxa" w:w="2340"/>
          </w:tcPr>
          <w:p>
            <w:pPr>
              <w:spacing w:before="60" w:after="60"/>
            </w:pPr>
            <w:r>
              <w:rPr>
                <w:rFonts w:ascii="Times New Roman" w:hAnsi="Times New Roman"/>
                <w:sz w:val="20"/>
              </w:rPr>
              <w:t>5.276 USD/oz</w:t>
            </w:r>
          </w:p>
        </w:tc>
        <w:tc>
          <w:tcPr>
            <w:tcW w:type="dxa" w:w="2340"/>
          </w:tcPr>
          <w:p>
            <w:pPr>
              <w:spacing w:before="60" w:after="60"/>
            </w:pPr>
            <w:r>
              <w:rPr>
                <w:rFonts w:ascii="Times New Roman" w:hAnsi="Times New Roman"/>
                <w:sz w:val="20"/>
              </w:rPr>
              <w:t>5.408 USD/oz</w:t>
            </w:r>
          </w:p>
        </w:tc>
        <w:tc>
          <w:tcPr>
            <w:tcW w:type="dxa" w:w="2340"/>
          </w:tcPr>
          <w:p>
            <w:pPr>
              <w:spacing w:before="60" w:after="60"/>
            </w:pPr>
            <w:r>
              <w:rPr>
                <w:rFonts w:ascii="Times New Roman" w:hAnsi="Times New Roman"/>
                <w:sz w:val="20"/>
              </w:rPr>
              <w:t>+2,5%[^1]</w:t>
            </w:r>
          </w:p>
        </w:tc>
      </w:tr>
      <w:tr>
        <w:tc>
          <w:tcPr>
            <w:tcW w:type="dxa" w:w="2340"/>
          </w:tcPr>
          <w:p>
            <w:pPr>
              <w:spacing w:before="60" w:after="60"/>
            </w:pPr>
            <w:r>
              <w:rPr>
                <w:rFonts w:ascii="Times New Roman" w:hAnsi="Times New Roman"/>
                <w:sz w:val="20"/>
              </w:rPr>
              <w:t>Ure (FOB New Orleans)</w:t>
            </w:r>
          </w:p>
        </w:tc>
        <w:tc>
          <w:tcPr>
            <w:tcW w:type="dxa" w:w="2340"/>
          </w:tcPr>
          <w:p>
            <w:pPr>
              <w:spacing w:before="60" w:after="60"/>
            </w:pPr>
            <w:r>
              <w:rPr>
                <w:rFonts w:ascii="Times New Roman" w:hAnsi="Times New Roman"/>
                <w:sz w:val="20"/>
              </w:rPr>
              <w:t>529 USD/tấn</w:t>
            </w:r>
          </w:p>
        </w:tc>
        <w:tc>
          <w:tcPr>
            <w:tcW w:type="dxa" w:w="2340"/>
          </w:tcPr>
          <w:p>
            <w:pPr>
              <w:spacing w:before="60" w:after="60"/>
            </w:pPr>
            <w:r>
              <w:rPr>
                <w:rFonts w:ascii="Times New Roman" w:hAnsi="Times New Roman"/>
                <w:sz w:val="20"/>
              </w:rPr>
              <w:t>606 USD/tấn</w:t>
            </w:r>
          </w:p>
        </w:tc>
        <w:tc>
          <w:tcPr>
            <w:tcW w:type="dxa" w:w="2340"/>
          </w:tcPr>
          <w:p>
            <w:pPr>
              <w:spacing w:before="60" w:after="60"/>
            </w:pPr>
            <w:r>
              <w:rPr>
                <w:rFonts w:ascii="Times New Roman" w:hAnsi="Times New Roman"/>
                <w:sz w:val="20"/>
              </w:rPr>
              <w:t>+14,6%[^4]</w:t>
            </w:r>
          </w:p>
        </w:tc>
      </w:tr>
      <w:tr>
        <w:tc>
          <w:tcPr>
            <w:tcW w:type="dxa" w:w="2340"/>
          </w:tcPr>
          <w:p>
            <w:pPr>
              <w:spacing w:before="60" w:after="60"/>
            </w:pPr>
            <w:r>
              <w:rPr>
                <w:rFonts w:ascii="Times New Roman" w:hAnsi="Times New Roman"/>
                <w:sz w:val="20"/>
              </w:rPr>
              <w:t>Ure (FOB Ai Cập)</w:t>
            </w:r>
          </w:p>
        </w:tc>
        <w:tc>
          <w:tcPr>
            <w:tcW w:type="dxa" w:w="2340"/>
          </w:tcPr>
          <w:p>
            <w:pPr>
              <w:spacing w:before="60" w:after="60"/>
            </w:pPr>
            <w:r>
              <w:rPr>
                <w:rFonts w:ascii="Times New Roman" w:hAnsi="Times New Roman"/>
                <w:sz w:val="20"/>
              </w:rPr>
              <w:t>487 USD/tấn</w:t>
            </w:r>
          </w:p>
        </w:tc>
        <w:tc>
          <w:tcPr>
            <w:tcW w:type="dxa" w:w="2340"/>
          </w:tcPr>
          <w:p>
            <w:pPr>
              <w:spacing w:before="60" w:after="60"/>
            </w:pPr>
            <w:r>
              <w:rPr>
                <w:rFonts w:ascii="Times New Roman" w:hAnsi="Times New Roman"/>
                <w:sz w:val="20"/>
              </w:rPr>
              <w:t>550 USD/tấn</w:t>
            </w:r>
          </w:p>
        </w:tc>
        <w:tc>
          <w:tcPr>
            <w:tcW w:type="dxa" w:w="2340"/>
          </w:tcPr>
          <w:p>
            <w:pPr>
              <w:spacing w:before="60" w:after="60"/>
            </w:pPr>
            <w:r>
              <w:rPr>
                <w:rFonts w:ascii="Times New Roman" w:hAnsi="Times New Roman"/>
                <w:sz w:val="20"/>
              </w:rPr>
              <w:t>+13%[^4]</w:t>
            </w:r>
          </w:p>
        </w:tc>
      </w:tr>
    </w:tbl>
    <w:p>
      <w:pPr>
        <w:spacing w:before="0" w:after="80"/>
      </w:pPr>
    </w:p>
    <w:p>
      <w:r>
        <w:t>Nếu xung đột kéo dài (KB2), giá dầu có thể lên 100–140 USD/thùng, giá khí TTF có thể lên 80–100 EUR/MWh[^7].</w:t>
      </w:r>
    </w:p>
    <w:p>
      <w:pPr>
        <w:pStyle w:val="Heading3"/>
        <w:spacing w:before="240" w:after="160"/>
      </w:pPr>
      <w:r>
        <w:rPr>
          <w:rFonts w:ascii="Times New Roman" w:hAnsi="Times New Roman" w:eastAsia="Times New Roman"/>
          <w:color w:val="1A1A2E"/>
          <w:sz w:val="32"/>
        </w:rPr>
        <w:t>2.2 Gián đoạn eo biển Hormuz</w:t>
      </w:r>
    </w:p>
    <w:p>
      <w:r>
        <w:t>Eo biển Hormuz rộng chỉ 32 km tại điểm hẹp nhất, là tuyến vận chuyển bắt buộc cho khoảng 20 triệu thùng dầu mỗi ngày và hơn 100 tỷ m³ LNG mỗi năm[^7]. Nó cũng là tuyến vận chuyển cho khoảng 1/3 thương mại phân bón toàn cầu[^4].</w:t>
      </w:r>
    </w:p>
    <w:p>
      <w:r>
        <w:t>Tổ chức Hàng hải quốc tế (IMO) đã kêu gọi tất cả tàu tránh đi qua khu vực[^1]. Các hãng bảo hiểm hàng hải đã hủy bảo hiểm “rủi ro chiến tranh” cho tàu đi qua vùng Vịnh[^2].</w:t>
      </w:r>
    </w:p>
    <w:p>
      <w:pPr>
        <w:pStyle w:val="Heading3"/>
        <w:spacing w:before="240" w:after="160"/>
      </w:pPr>
      <w:r>
        <w:rPr>
          <w:rFonts w:ascii="Times New Roman" w:hAnsi="Times New Roman" w:eastAsia="Times New Roman"/>
          <w:color w:val="1A1A2E"/>
          <w:sz w:val="32"/>
        </w:rPr>
        <w:t>2.3 Tác động đến châu Á và Việt Nam</w:t>
      </w:r>
    </w:p>
    <w:p>
      <w:r>
        <w:t>Châu Á phụ thuộc rất lớn vào nguồn dầu Trung Đông. Nhật Bản và Philippines nhập gần 90% dầu từ vùng Vịnh; Trung Quốc và Ấn Độ lần lượt nhập 38% và 46%[^8]. Mỗi 10% tăng giá dầu có thể đẩy CPI tăng khoảng 0,2 điểm phần trăm tại các nền kinh tế mới nổi châu Á[^8].</w:t>
      </w:r>
    </w:p>
    <w:p>
      <w:r>
        <w:t>Việt Nam tuy không nhập khẩu trực tiếp nhiều dầu từ Trung Đông, nhưng giá dầu là giá toàn cầu. Các tác động truyền dẫn bao gồm: giá xăng dầu trong nước tăng, chi phí vận tải biển tăng, giá nguyên liệu hóa chất nhập khẩu leo thang và áp lực lạm phát gia tăng (chi tiết xem Phụ lục B).</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III. Phân tích tác động theo 6 nhóm ngành Vinachem</w:t>
      </w:r>
    </w:p>
    <w:p>
      <w:pPr>
        <w:pStyle w:val="Heading3"/>
        <w:spacing w:before="240" w:after="160"/>
      </w:pPr>
      <w:r>
        <w:rPr>
          <w:rFonts w:ascii="Times New Roman" w:hAnsi="Times New Roman" w:eastAsia="Times New Roman"/>
          <w:color w:val="1A1A2E"/>
          <w:sz w:val="32"/>
        </w:rPr>
        <w:t>3.1 Khai thác quặng apatit</w:t>
      </w:r>
    </w:p>
    <w:p>
      <w:r>
        <w:t>Apatit là nguyên liệu thượng nguồn cho sản xuất phân bón và axit của Tập đoàn. Hoạt động khai thác chủ yếu tại Lào Cai, sử dụng nguồn quặng nội địa nên không phụ thuộc trực tiếp vào chuỗi cung ứng Trung Đông.</w:t>
      </w:r>
    </w:p>
    <w:p>
      <w:r>
        <w:t>Tuy nhiên, chi phí khai thác sẽ chịu tác động gián tiếp qua hai kênh: giá nhiên liệu diesel cho thiết bị khai thác và vận chuyển, cùng với giá điện sản xuất nếu giá khí đầu vào cho các nhà máy điện trong nước tăng.</w:t>
      </w:r>
    </w:p>
    <w:p>
      <w:r>
        <w:t xml:space="preserve">Mức ảnh hưởng: </w:t>
      </w:r>
      <w:r>
        <w:rPr>
          <w:b/>
        </w:rPr>
        <w:t>thấp đến trung bình</w:t>
      </w:r>
      <w:r>
        <w:t xml:space="preserve"> (KB1: thấp, KB2: trung bình).</w:t>
      </w:r>
    </w:p>
    <w:p>
      <w:pPr>
        <w:pStyle w:val="Heading3"/>
        <w:spacing w:before="240" w:after="160"/>
      </w:pPr>
      <w:r>
        <w:rPr>
          <w:rFonts w:ascii="Times New Roman" w:hAnsi="Times New Roman" w:eastAsia="Times New Roman"/>
          <w:color w:val="1A1A2E"/>
          <w:sz w:val="32"/>
        </w:rPr>
        <w:t>3.2 Phân bón (Ure, DAP, supe lân, NPK)</w:t>
      </w:r>
    </w:p>
    <w:p>
      <w:r>
        <w:t>Đây là nhóm chịu tác động phức tạp nhất, vừa có rủi ro vừa có cơ hội. Nhóm phân bón chiếm khoảng 60% tổng doanh thu Tập đoàn, trong đó Vinachem nắm 52% thị phần DAP và 65% thị phần supe lân nội địa[^9].</w:t>
      </w:r>
    </w:p>
    <w:p>
      <w:r>
        <w:rPr>
          <w:b/>
        </w:rPr>
        <w:t>Cơ hội.</w:t>
      </w:r>
      <w:r>
        <w:t xml:space="preserve"> Giá ure toàn cầu tăng mạnh do Trung Đông chiếm khoảng 33% xuất khẩu phân đạm thế giới, gần như toàn bộ đi qua Hormuz[^10]. Iran riêng lẻ chiếm khoảng 10% xuất khẩu ure toàn cầu[^4]. Khi nguồn cung từ khu vực này bị gián đoạn, sản phẩm phân bón sản xuất nội địa của Vinachem có lợi thế cạnh tranh rõ rệt do không phụ thuộc vào tuyến vận tải này. Nếu giá phân bón thế giới tiếp tục tăng, Vinachem có thể điều chỉnh giá bán hợp lý với biên lợi nhuận tốt hơn.</w:t>
      </w:r>
    </w:p>
    <w:p>
      <w:r>
        <w:t>Ngoài ra, thời điểm xung đột trùng với vụ xuân ở Bắc bán cầu, nhu cầu phân bón đang ở mức cao trong năm[^4]. Nông dân cần phân bón đúng thời vụ, không thể trì hoãn, tạo điều kiện cho sản phẩm nội địa.</w:t>
      </w:r>
    </w:p>
    <w:p>
      <w:r>
        <w:rPr>
          <w:b/>
        </w:rPr>
        <w:t>Rủi ro.</w:t>
      </w:r>
      <w:r>
        <w:t xml:space="preserve"> Sản xuất ure cần khí tự nhiên làm nguyên liệu đầu vào. Nếu giá khí tăng cao (KB2), chi phí sản xuất sẽ tăng theo. Một số nguyên liệu phụ trợ (chất xúc tác, hóa chất chuyên dụng) có thể bị gián đoạn nguồn cung nếu tuyến vận tải qua Suez và Hormuz đều bị ảnh hưởng. Ngoài ra, DAP phụ thuộc một phần vào axit phosphoric; nếu 85–90% xuất khẩu phosphate toàn cầu bị ảnh hưởng như một số phân tích chỉ ra[^10], nguồn cung axit phosphoric nhập khẩu cũng sẽ bị thắt chặt.</w:t>
      </w:r>
    </w:p>
    <w:p>
      <w:r>
        <w:t xml:space="preserve">Mức ảnh hưởng: </w:t>
      </w:r>
      <w:r>
        <w:rPr>
          <w:b/>
        </w:rPr>
        <w:t>cao</w:t>
      </w:r>
      <w:r>
        <w:t xml:space="preserve"> (cả cơ hội lẫn rủi ro, dù KB1 hay KB2).</w:t>
      </w:r>
    </w:p>
    <w:p>
      <w:pPr>
        <w:pStyle w:val="Heading3"/>
        <w:spacing w:before="240" w:after="160"/>
      </w:pPr>
      <w:r>
        <w:rPr>
          <w:rFonts w:ascii="Times New Roman" w:hAnsi="Times New Roman" w:eastAsia="Times New Roman"/>
          <w:color w:val="1A1A2E"/>
          <w:sz w:val="32"/>
        </w:rPr>
        <w:t>3.3 Cao su và lốp (DRC, CSM)</w:t>
      </w:r>
    </w:p>
    <w:p>
      <w:r>
        <w:t>Nhóm này chịu áp lực từ nhiều phía cùng lúc. CSM xuất khẩu chủ yếu sang thị trường Mỹ.</w:t>
      </w:r>
    </w:p>
    <w:p>
      <w:r>
        <w:rPr>
          <w:b/>
        </w:rPr>
        <w:t>Chi phí nguyên liệu.</w:t>
      </w:r>
      <w:r>
        <w:t xml:space="preserve"> Cao su tổng hợp là sản phẩm phụ của ngành hóa dầu, giá phụ thuộc trực tiếp vào giá dầu. Các phân tích cho thấy chi phí nguyên liệu hóa dầu cho sản xuất lốp có thể tăng 15–25% trong kịch bản gián đoạn kéo dài[^5]. Chi phí vận tải cũng tăng do phụ phí “rủi ro chiến tranh” và tuyến đường biển bị kéo dài.</w:t>
      </w:r>
    </w:p>
    <w:p>
      <w:r>
        <w:rPr>
          <w:b/>
        </w:rPr>
        <w:t>Thuế nhập khẩu Mỹ.</w:t>
      </w:r>
      <w:r>
        <w:t xml:space="preserve"> Từ ngày 24/02/2026, Mỹ áp thuế nhập khẩu 10% lên hàng hóa từ tất cả các quốc gia theo Mục 122 Đạo luật Thương mại 1974, có thể tăng lên 15%[^6]. Thuế này cộng dồn lên các mức thuế chống bán phá giá hiện hành với lốp xe từ một số nước châu Á (26–46%)[^5]. CSM và DRC cần đánh giá lại khả năng cạnh tranh giá tại thị trường Mỹ.</w:t>
      </w:r>
    </w:p>
    <w:p>
      <w:r>
        <w:rPr>
          <w:b/>
        </w:rPr>
        <w:t>Chi phí vận chuyển.</w:t>
      </w:r>
      <w:r>
        <w:t xml:space="preserve"> Phí vận tải biển tăng do bảo hiểm “rủi ro chiến tranh”, tàu phải đi vòng tránh các khu vực xung đột, và phụ phí nhiên liệu tăng theo giá dầu.</w:t>
      </w:r>
    </w:p>
    <w:p>
      <w:r>
        <w:t xml:space="preserve">Mức ảnh hưởng: </w:t>
      </w:r>
      <w:r>
        <w:rPr>
          <w:b/>
        </w:rPr>
        <w:t>cao</w:t>
      </w:r>
      <w:r>
        <w:t xml:space="preserve"> (đặc biệt CSM do phụ thuộc thị trường Mỹ).</w:t>
      </w:r>
    </w:p>
    <w:p>
      <w:pPr>
        <w:pStyle w:val="Heading3"/>
        <w:spacing w:before="240" w:after="160"/>
      </w:pPr>
      <w:r>
        <w:rPr>
          <w:rFonts w:ascii="Times New Roman" w:hAnsi="Times New Roman" w:eastAsia="Times New Roman"/>
          <w:color w:val="1A1A2E"/>
          <w:sz w:val="32"/>
        </w:rPr>
        <w:t>3.4 Điện hóa, pin ắc quy</w:t>
      </w:r>
    </w:p>
    <w:p>
      <w:r>
        <w:t>Nhóm này ít chịu ảnh hưởng trực tiếp từ xung đột. Nguyên liệu chính (chì, axit sulfuric, nhựa) không phụ thuộc nhiều vào tuyến vận tải Trung Đông. Tuy nhiên, chi phí năng lượng sản xuất và vận chuyển sẽ tăng nhẹ theo xu hướng chung.</w:t>
      </w:r>
    </w:p>
    <w:p>
      <w:r>
        <w:t xml:space="preserve">Mức ảnh hưởng: </w:t>
      </w:r>
      <w:r>
        <w:rPr>
          <w:b/>
        </w:rPr>
        <w:t>thấp</w:t>
      </w:r>
      <w:r>
        <w:t>.</w:t>
      </w:r>
    </w:p>
    <w:p>
      <w:pPr>
        <w:pStyle w:val="Heading3"/>
        <w:spacing w:before="240" w:after="160"/>
      </w:pPr>
      <w:r>
        <w:rPr>
          <w:rFonts w:ascii="Times New Roman" w:hAnsi="Times New Roman" w:eastAsia="Times New Roman"/>
          <w:color w:val="1A1A2E"/>
          <w:sz w:val="32"/>
        </w:rPr>
        <w:t>3.5 Hóa chất cơ bản và tiêu dùng</w:t>
      </w:r>
    </w:p>
    <w:p>
      <w:r>
        <w:t>Ngành hóa chất cơ bản phụ thuộc đáng kể vào nguyên liệu hóa dầu. Khoảng 15–20% chi phí vận hành của ngành hóa chất đến từ năng lượng và nguyên liệu đầu vào[^11]. Các sản phẩm như xút (NaOH), axit, dung môi đều chịu áp lực từ giá nguyên liệu tăng.</w:t>
      </w:r>
    </w:p>
    <w:p>
      <w:r>
        <w:t>Khả năng chuyển chi phí sang giá bán phụ thuộc vào cung cầu thị trường nội địa. Trong ngắn hạn, nhu cầu hóa chất cơ bản tương đối ổn định nên có thể điều chỉnh giá một phần.</w:t>
      </w:r>
    </w:p>
    <w:p>
      <w:r>
        <w:t xml:space="preserve">Mức ảnh hưởng: </w:t>
      </w:r>
      <w:r>
        <w:rPr>
          <w:b/>
        </w:rPr>
        <w:t>trung bình</w:t>
      </w:r>
      <w:r>
        <w:t>.</w:t>
      </w:r>
    </w:p>
    <w:p>
      <w:pPr>
        <w:pStyle w:val="Heading3"/>
        <w:spacing w:before="240" w:after="160"/>
      </w:pPr>
      <w:r>
        <w:rPr>
          <w:rFonts w:ascii="Times New Roman" w:hAnsi="Times New Roman" w:eastAsia="Times New Roman"/>
          <w:color w:val="1A1A2E"/>
          <w:sz w:val="32"/>
        </w:rPr>
        <w:t>3.6 Thuốc bảo vệ thực vật</w:t>
      </w:r>
    </w:p>
    <w:p>
      <w:r>
        <w:t>Tác động chủ yếu gián tiếp qua hai kênh: chi phí nguyên liệu hóa chất tăng (một số hoạt chất có nguồn gốc hóa dầu) và chi phí vận chuyển. Mặt khác, nếu giá nông sản tăng do lo ngại thiếu phân bón, nông dân có thể sẵn sàng đầu tư nhiều hơn cho bảo vệ mùa vụ.</w:t>
      </w:r>
    </w:p>
    <w:p>
      <w:r>
        <w:t xml:space="preserve">Mức ảnh hưởng: </w:t>
      </w:r>
      <w:r>
        <w:rPr>
          <w:b/>
        </w:rPr>
        <w:t>thấp đến trung bình</w:t>
      </w:r>
      <w:r>
        <w:t>.</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IV. Ma trận rủi ro và cơ hội tổng hợp</w:t>
      </w:r>
    </w:p>
    <w:p>
      <w:pPr>
        <w:spacing w:before="80"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val="clear"/>
          </w:tcPr>
          <w:p>
            <w:pPr>
              <w:spacing w:before="60" w:after="60"/>
            </w:pPr>
            <w:r>
              <w:rPr>
                <w:rFonts w:ascii="Times New Roman" w:hAnsi="Times New Roman"/>
                <w:b/>
                <w:sz w:val="20"/>
              </w:rPr>
              <w:t>Nhóm ngành</w:t>
            </w:r>
          </w:p>
        </w:tc>
        <w:tc>
          <w:tcPr>
            <w:tcW w:type="dxa" w:w="1560"/>
            <w:shd w:fill="E2E8F0" w:val="clear"/>
          </w:tcPr>
          <w:p>
            <w:pPr>
              <w:spacing w:before="60" w:after="60"/>
            </w:pPr>
            <w:r>
              <w:rPr>
                <w:rFonts w:ascii="Times New Roman" w:hAnsi="Times New Roman"/>
                <w:b/>
                <w:sz w:val="20"/>
              </w:rPr>
              <w:t>Mức ảnh hưởng</w:t>
            </w:r>
          </w:p>
        </w:tc>
        <w:tc>
          <w:tcPr>
            <w:tcW w:type="dxa" w:w="1560"/>
            <w:shd w:fill="E2E8F0" w:val="clear"/>
          </w:tcPr>
          <w:p>
            <w:pPr>
              <w:spacing w:before="60" w:after="60"/>
            </w:pPr>
            <w:r>
              <w:rPr>
                <w:rFonts w:ascii="Times New Roman" w:hAnsi="Times New Roman"/>
                <w:b/>
                <w:sz w:val="20"/>
              </w:rPr>
              <w:t>Rủi ro chính</w:t>
            </w:r>
          </w:p>
        </w:tc>
        <w:tc>
          <w:tcPr>
            <w:tcW w:type="dxa" w:w="1560"/>
            <w:shd w:fill="E2E8F0" w:val="clear"/>
          </w:tcPr>
          <w:p>
            <w:pPr>
              <w:spacing w:before="60" w:after="60"/>
            </w:pPr>
            <w:r>
              <w:rPr>
                <w:rFonts w:ascii="Times New Roman" w:hAnsi="Times New Roman"/>
                <w:b/>
                <w:sz w:val="20"/>
              </w:rPr>
              <w:t>Cơ hội chính</w:t>
            </w:r>
          </w:p>
        </w:tc>
        <w:tc>
          <w:tcPr>
            <w:tcW w:type="dxa" w:w="1560"/>
            <w:shd w:fill="E2E8F0" w:val="clear"/>
          </w:tcPr>
          <w:p>
            <w:pPr>
              <w:spacing w:before="60" w:after="60"/>
            </w:pPr>
            <w:r>
              <w:rPr>
                <w:rFonts w:ascii="Times New Roman" w:hAnsi="Times New Roman"/>
                <w:b/>
                <w:sz w:val="20"/>
              </w:rPr>
              <w:t>KB1</w:t>
            </w:r>
          </w:p>
        </w:tc>
        <w:tc>
          <w:tcPr>
            <w:tcW w:type="dxa" w:w="1560"/>
            <w:shd w:fill="E2E8F0" w:val="clear"/>
          </w:tcPr>
          <w:p>
            <w:pPr>
              <w:spacing w:before="60" w:after="60"/>
            </w:pPr>
            <w:r>
              <w:rPr>
                <w:rFonts w:ascii="Times New Roman" w:hAnsi="Times New Roman"/>
                <w:b/>
                <w:sz w:val="20"/>
              </w:rPr>
              <w:t>KB2</w:t>
            </w:r>
          </w:p>
        </w:tc>
      </w:tr>
      <w:tr>
        <w:tc>
          <w:tcPr>
            <w:tcW w:type="dxa" w:w="1560"/>
          </w:tcPr>
          <w:p>
            <w:pPr>
              <w:spacing w:before="60" w:after="60"/>
            </w:pPr>
            <w:r>
              <w:rPr>
                <w:rFonts w:ascii="Times New Roman" w:hAnsi="Times New Roman"/>
                <w:sz w:val="20"/>
              </w:rPr>
              <w:t>Apatit</w:t>
            </w:r>
          </w:p>
        </w:tc>
        <w:tc>
          <w:tcPr>
            <w:tcW w:type="dxa" w:w="1560"/>
          </w:tcPr>
          <w:p>
            <w:pPr>
              <w:spacing w:before="60" w:after="60"/>
            </w:pPr>
            <w:r>
              <w:rPr>
                <w:rFonts w:ascii="Times New Roman" w:hAnsi="Times New Roman"/>
                <w:sz w:val="20"/>
              </w:rPr>
              <w:t>Thấp–TB</w:t>
            </w:r>
          </w:p>
        </w:tc>
        <w:tc>
          <w:tcPr>
            <w:tcW w:type="dxa" w:w="1560"/>
          </w:tcPr>
          <w:p>
            <w:pPr>
              <w:spacing w:before="60" w:after="60"/>
            </w:pPr>
            <w:r>
              <w:rPr>
                <w:rFonts w:ascii="Times New Roman" w:hAnsi="Times New Roman"/>
                <w:sz w:val="20"/>
              </w:rPr>
              <w:t>Chi phí nhiên liệu khai thác</w:t>
            </w:r>
          </w:p>
        </w:tc>
        <w:tc>
          <w:tcPr>
            <w:tcW w:type="dxa" w:w="1560"/>
          </w:tcPr>
          <w:p>
            <w:pPr>
              <w:spacing w:before="60" w:after="60"/>
            </w:pPr>
            <w:r>
              <w:rPr>
                <w:rFonts w:ascii="Times New Roman" w:hAnsi="Times New Roman"/>
                <w:sz w:val="20"/>
              </w:rPr>
              <w:t>Ít</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TB</w:t>
            </w:r>
          </w:p>
        </w:tc>
      </w:tr>
      <w:tr>
        <w:tc>
          <w:tcPr>
            <w:tcW w:type="dxa" w:w="1560"/>
          </w:tcPr>
          <w:p>
            <w:pPr>
              <w:spacing w:before="60" w:after="60"/>
            </w:pPr>
            <w:r>
              <w:rPr>
                <w:rFonts w:ascii="Times New Roman" w:hAnsi="Times New Roman"/>
                <w:sz w:val="20"/>
              </w:rPr>
              <w:t>Phân bón</w:t>
            </w:r>
          </w:p>
        </w:tc>
        <w:tc>
          <w:tcPr>
            <w:tcW w:type="dxa" w:w="1560"/>
          </w:tcPr>
          <w:p>
            <w:pPr>
              <w:spacing w:before="60" w:after="60"/>
            </w:pPr>
            <w:r>
              <w:rPr>
                <w:rFonts w:ascii="Times New Roman" w:hAnsi="Times New Roman"/>
                <w:sz w:val="20"/>
              </w:rPr>
              <w:t>Cao</w:t>
            </w:r>
          </w:p>
        </w:tc>
        <w:tc>
          <w:tcPr>
            <w:tcW w:type="dxa" w:w="1560"/>
          </w:tcPr>
          <w:p>
            <w:pPr>
              <w:spacing w:before="60" w:after="60"/>
            </w:pPr>
            <w:r>
              <w:rPr>
                <w:rFonts w:ascii="Times New Roman" w:hAnsi="Times New Roman"/>
                <w:sz w:val="20"/>
              </w:rPr>
              <w:t>Chi phí khí, gián đoạn nguyên liệu phụ</w:t>
            </w:r>
          </w:p>
        </w:tc>
        <w:tc>
          <w:tcPr>
            <w:tcW w:type="dxa" w:w="1560"/>
          </w:tcPr>
          <w:p>
            <w:pPr>
              <w:spacing w:before="60" w:after="60"/>
            </w:pPr>
            <w:r>
              <w:rPr>
                <w:rFonts w:ascii="Times New Roman" w:hAnsi="Times New Roman"/>
                <w:sz w:val="20"/>
              </w:rPr>
              <w:t>Giá bán tăng, thay thế nhập khẩu</w:t>
            </w:r>
          </w:p>
        </w:tc>
        <w:tc>
          <w:tcPr>
            <w:tcW w:type="dxa" w:w="1560"/>
          </w:tcPr>
          <w:p>
            <w:pPr>
              <w:spacing w:before="60" w:after="60"/>
            </w:pPr>
            <w:r>
              <w:rPr>
                <w:rFonts w:ascii="Times New Roman" w:hAnsi="Times New Roman"/>
                <w:sz w:val="20"/>
              </w:rPr>
              <w:t>TB</w:t>
            </w:r>
          </w:p>
        </w:tc>
        <w:tc>
          <w:tcPr>
            <w:tcW w:type="dxa" w:w="1560"/>
          </w:tcPr>
          <w:p>
            <w:pPr>
              <w:spacing w:before="60" w:after="60"/>
            </w:pPr>
            <w:r>
              <w:rPr>
                <w:rFonts w:ascii="Times New Roman" w:hAnsi="Times New Roman"/>
                <w:sz w:val="20"/>
              </w:rPr>
              <w:t>Cao</w:t>
            </w:r>
          </w:p>
        </w:tc>
      </w:tr>
      <w:tr>
        <w:tc>
          <w:tcPr>
            <w:tcW w:type="dxa" w:w="1560"/>
          </w:tcPr>
          <w:p>
            <w:pPr>
              <w:spacing w:before="60" w:after="60"/>
            </w:pPr>
            <w:r>
              <w:rPr>
                <w:rFonts w:ascii="Times New Roman" w:hAnsi="Times New Roman"/>
                <w:sz w:val="20"/>
              </w:rPr>
              <w:t>Cao su, lốp</w:t>
            </w:r>
          </w:p>
        </w:tc>
        <w:tc>
          <w:tcPr>
            <w:tcW w:type="dxa" w:w="1560"/>
          </w:tcPr>
          <w:p>
            <w:pPr>
              <w:spacing w:before="60" w:after="60"/>
            </w:pPr>
            <w:r>
              <w:rPr>
                <w:rFonts w:ascii="Times New Roman" w:hAnsi="Times New Roman"/>
                <w:sz w:val="20"/>
              </w:rPr>
              <w:t>Cao</w:t>
            </w:r>
          </w:p>
        </w:tc>
        <w:tc>
          <w:tcPr>
            <w:tcW w:type="dxa" w:w="1560"/>
          </w:tcPr>
          <w:p>
            <w:pPr>
              <w:spacing w:before="60" w:after="60"/>
            </w:pPr>
            <w:r>
              <w:rPr>
                <w:rFonts w:ascii="Times New Roman" w:hAnsi="Times New Roman"/>
                <w:sz w:val="20"/>
              </w:rPr>
              <w:t>Chi phí nguyên liệu +15-25%, thuế Mỹ 10%, cước vận chuyển</w:t>
            </w:r>
          </w:p>
        </w:tc>
        <w:tc>
          <w:tcPr>
            <w:tcW w:type="dxa" w:w="1560"/>
          </w:tcPr>
          <w:p>
            <w:pPr>
              <w:spacing w:before="60" w:after="60"/>
            </w:pPr>
            <w:r>
              <w:rPr>
                <w:rFonts w:ascii="Times New Roman" w:hAnsi="Times New Roman"/>
                <w:sz w:val="20"/>
              </w:rPr>
              <w:t>Ít</w:t>
            </w:r>
          </w:p>
        </w:tc>
        <w:tc>
          <w:tcPr>
            <w:tcW w:type="dxa" w:w="1560"/>
          </w:tcPr>
          <w:p>
            <w:pPr>
              <w:spacing w:before="60" w:after="60"/>
            </w:pPr>
            <w:r>
              <w:rPr>
                <w:rFonts w:ascii="Times New Roman" w:hAnsi="Times New Roman"/>
                <w:sz w:val="20"/>
              </w:rPr>
              <w:t>TB</w:t>
            </w:r>
          </w:p>
        </w:tc>
        <w:tc>
          <w:tcPr>
            <w:tcW w:type="dxa" w:w="1560"/>
          </w:tcPr>
          <w:p>
            <w:pPr>
              <w:spacing w:before="60" w:after="60"/>
            </w:pPr>
            <w:r>
              <w:rPr>
                <w:rFonts w:ascii="Times New Roman" w:hAnsi="Times New Roman"/>
                <w:sz w:val="20"/>
              </w:rPr>
              <w:t>Cao</w:t>
            </w:r>
          </w:p>
        </w:tc>
      </w:tr>
      <w:tr>
        <w:tc>
          <w:tcPr>
            <w:tcW w:type="dxa" w:w="1560"/>
          </w:tcPr>
          <w:p>
            <w:pPr>
              <w:spacing w:before="60" w:after="60"/>
            </w:pPr>
            <w:r>
              <w:rPr>
                <w:rFonts w:ascii="Times New Roman" w:hAnsi="Times New Roman"/>
                <w:sz w:val="20"/>
              </w:rPr>
              <w:t>Điện hóa, pin</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Chi phí năng lượng tăng nhẹ</w:t>
            </w:r>
          </w:p>
        </w:tc>
        <w:tc>
          <w:tcPr>
            <w:tcW w:type="dxa" w:w="1560"/>
          </w:tcPr>
          <w:p>
            <w:pPr>
              <w:spacing w:before="60" w:after="60"/>
            </w:pPr>
            <w:r>
              <w:rPr>
                <w:rFonts w:ascii="Times New Roman" w:hAnsi="Times New Roman"/>
                <w:sz w:val="20"/>
              </w:rPr>
              <w:t>Ít</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Thấp</w:t>
            </w:r>
          </w:p>
        </w:tc>
      </w:tr>
      <w:tr>
        <w:tc>
          <w:tcPr>
            <w:tcW w:type="dxa" w:w="1560"/>
          </w:tcPr>
          <w:p>
            <w:pPr>
              <w:spacing w:before="60" w:after="60"/>
            </w:pPr>
            <w:r>
              <w:rPr>
                <w:rFonts w:ascii="Times New Roman" w:hAnsi="Times New Roman"/>
                <w:sz w:val="20"/>
              </w:rPr>
              <w:t>Hóa chất CB</w:t>
            </w:r>
          </w:p>
        </w:tc>
        <w:tc>
          <w:tcPr>
            <w:tcW w:type="dxa" w:w="1560"/>
          </w:tcPr>
          <w:p>
            <w:pPr>
              <w:spacing w:before="60" w:after="60"/>
            </w:pPr>
            <w:r>
              <w:rPr>
                <w:rFonts w:ascii="Times New Roman" w:hAnsi="Times New Roman"/>
                <w:sz w:val="20"/>
              </w:rPr>
              <w:t>TB</w:t>
            </w:r>
          </w:p>
        </w:tc>
        <w:tc>
          <w:tcPr>
            <w:tcW w:type="dxa" w:w="1560"/>
          </w:tcPr>
          <w:p>
            <w:pPr>
              <w:spacing w:before="60" w:after="60"/>
            </w:pPr>
            <w:r>
              <w:rPr>
                <w:rFonts w:ascii="Times New Roman" w:hAnsi="Times New Roman"/>
                <w:sz w:val="20"/>
              </w:rPr>
              <w:t>Giá nguyên liệu hóa dầu</w:t>
            </w:r>
          </w:p>
        </w:tc>
        <w:tc>
          <w:tcPr>
            <w:tcW w:type="dxa" w:w="1560"/>
          </w:tcPr>
          <w:p>
            <w:pPr>
              <w:spacing w:before="60" w:after="60"/>
            </w:pPr>
            <w:r>
              <w:rPr>
                <w:rFonts w:ascii="Times New Roman" w:hAnsi="Times New Roman"/>
                <w:sz w:val="20"/>
              </w:rPr>
              <w:t>Điều chỉnh giá bán</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TB</w:t>
            </w:r>
          </w:p>
        </w:tc>
      </w:tr>
      <w:tr>
        <w:tc>
          <w:tcPr>
            <w:tcW w:type="dxa" w:w="1560"/>
          </w:tcPr>
          <w:p>
            <w:pPr>
              <w:spacing w:before="60" w:after="60"/>
            </w:pPr>
            <w:r>
              <w:rPr>
                <w:rFonts w:ascii="Times New Roman" w:hAnsi="Times New Roman"/>
                <w:sz w:val="20"/>
              </w:rPr>
              <w:t>Thuốc BVTV</w:t>
            </w:r>
          </w:p>
        </w:tc>
        <w:tc>
          <w:tcPr>
            <w:tcW w:type="dxa" w:w="1560"/>
          </w:tcPr>
          <w:p>
            <w:pPr>
              <w:spacing w:before="60" w:after="60"/>
            </w:pPr>
            <w:r>
              <w:rPr>
                <w:rFonts w:ascii="Times New Roman" w:hAnsi="Times New Roman"/>
                <w:sz w:val="20"/>
              </w:rPr>
              <w:t>Thấp–TB</w:t>
            </w:r>
          </w:p>
        </w:tc>
        <w:tc>
          <w:tcPr>
            <w:tcW w:type="dxa" w:w="1560"/>
          </w:tcPr>
          <w:p>
            <w:pPr>
              <w:spacing w:before="60" w:after="60"/>
            </w:pPr>
            <w:r>
              <w:rPr>
                <w:rFonts w:ascii="Times New Roman" w:hAnsi="Times New Roman"/>
                <w:sz w:val="20"/>
              </w:rPr>
              <w:t>Chi phí nguyên liệu, vận chuyển</w:t>
            </w:r>
          </w:p>
        </w:tc>
        <w:tc>
          <w:tcPr>
            <w:tcW w:type="dxa" w:w="1560"/>
          </w:tcPr>
          <w:p>
            <w:pPr>
              <w:spacing w:before="60" w:after="60"/>
            </w:pPr>
            <w:r>
              <w:rPr>
                <w:rFonts w:ascii="Times New Roman" w:hAnsi="Times New Roman"/>
                <w:sz w:val="20"/>
              </w:rPr>
              <w:t>Nhu cầu nông nghiệp ổn định</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TB</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V. Kiến nghị hành động</w:t>
      </w:r>
    </w:p>
    <w:p>
      <w:pPr>
        <w:pStyle w:val="Heading3"/>
        <w:spacing w:before="240" w:after="160"/>
      </w:pPr>
      <w:r>
        <w:rPr>
          <w:rFonts w:ascii="Times New Roman" w:hAnsi="Times New Roman" w:eastAsia="Times New Roman"/>
          <w:color w:val="1A1A2E"/>
          <w:sz w:val="32"/>
        </w:rPr>
        <w:t>5.1 Ngay lập tức (0–30 ngày)</w:t>
      </w:r>
    </w:p>
    <w:p>
      <w:pPr>
        <w:spacing w:after="40" w:before="20"/>
        <w:ind w:left="720" w:hanging="357"/>
      </w:pPr>
      <w:r>
        <w:t xml:space="preserve">1. </w:t>
      </w:r>
      <w:r>
        <w:rPr>
          <w:b/>
        </w:rPr>
        <w:t>Rà soát hợp đồng mua nguyên liệu nhập khẩu.</w:t>
      </w:r>
      <w:r>
        <w:t xml:space="preserve"> Xác định các hợp đồng mua hóa chất, chất xúc tác và nguyên liệu phụ có tuyến vận chuyển đi qua Hormuz hoặc Suez. Liên hệ nhà cung cấp để nắm tình trạng giao hàng và đánh giá nguồn thay thế.</w:t>
      </w:r>
    </w:p>
    <w:p>
      <w:pPr>
        <w:spacing w:after="40" w:before="20"/>
        <w:ind w:left="720" w:hanging="357"/>
      </w:pPr>
      <w:r>
        <w:t xml:space="preserve">2. </w:t>
      </w:r>
      <w:r>
        <w:rPr>
          <w:b/>
        </w:rPr>
        <w:t>Đánh giá lại chính sách giá phân bón.</w:t>
      </w:r>
      <w:r>
        <w:t xml:space="preserve"> Với giá ure quốc tế tăng 13–15%, nhóm phân bón nên cập nhật giá bán hợp lý trong phạm vi cho phép, cân nhắc giữa mục tiêu lợi nhuận và trách nhiệm bình ổn giá thị trường nội địa.</w:t>
      </w:r>
    </w:p>
    <w:p>
      <w:pPr>
        <w:spacing w:after="40" w:before="20"/>
        <w:ind w:left="720" w:hanging="357"/>
      </w:pPr>
      <w:r>
        <w:t xml:space="preserve">3. </w:t>
      </w:r>
      <w:r>
        <w:rPr>
          <w:b/>
        </w:rPr>
        <w:t>CSM, DRC: tính toán lại biên lợi nhuận xuất khẩu sang Mỹ.</w:t>
      </w:r>
      <w:r>
        <w:t xml:space="preserve"> Với thuế 10% mới cộng chi phí nguyên liệu và vận chuyển tăng, cần đánh giá xem đơn hàng nào vẫn có lãi, đơn hàng nào cần đàm phán lại giá hoặc chuyển hướng thị trường.</w:t>
      </w:r>
    </w:p>
    <w:p>
      <w:pPr>
        <w:spacing w:after="40" w:before="20"/>
        <w:ind w:left="720" w:hanging="357"/>
      </w:pPr>
      <w:r>
        <w:t xml:space="preserve">4. </w:t>
      </w:r>
      <w:r>
        <w:rPr>
          <w:b/>
        </w:rPr>
        <w:t>Theo dõi sát diễn biến giá khí tự nhiên đầu vào</w:t>
      </w:r>
      <w:r>
        <w:t xml:space="preserve"> cho nhà máy ure. Nếu giá khí tăng quá ngưỡng hòa vốn, cần có phương án điều chỉnh sản lượng hoặc tối ưu hiệu suất tiêu thụ khí.</w:t>
      </w:r>
    </w:p>
    <w:p>
      <w:pPr>
        <w:pStyle w:val="Heading3"/>
        <w:spacing w:before="240" w:after="160"/>
      </w:pPr>
      <w:r>
        <w:rPr>
          <w:rFonts w:ascii="Times New Roman" w:hAnsi="Times New Roman" w:eastAsia="Times New Roman"/>
          <w:color w:val="1A1A2E"/>
          <w:sz w:val="32"/>
        </w:rPr>
        <w:t>5.2 Trung hạn (1–6 tháng)</w:t>
      </w:r>
    </w:p>
    <w:p>
      <w:pPr>
        <w:spacing w:after="40" w:before="20"/>
        <w:ind w:left="720" w:hanging="357"/>
      </w:pPr>
      <w:r>
        <w:t xml:space="preserve">1. </w:t>
      </w:r>
      <w:r>
        <w:rPr>
          <w:b/>
        </w:rPr>
        <w:t>Đa dạng hóa thị trường xuất khẩu cho nhóm cao su, lốp.</w:t>
      </w:r>
      <w:r>
        <w:t xml:space="preserve"> Giảm phụ thuộc vào thị trường Mỹ bằng cách mở rộng sang ASEAN, EU hoặc các thị trường khác ít chịu ảnh hưởng thuế.</w:t>
      </w:r>
    </w:p>
    <w:p>
      <w:pPr>
        <w:spacing w:after="40" w:before="20"/>
        <w:ind w:left="720" w:hanging="357"/>
      </w:pPr>
      <w:r>
        <w:t xml:space="preserve">2. </w:t>
      </w:r>
      <w:r>
        <w:rPr>
          <w:b/>
        </w:rPr>
        <w:t>Đánh giá chuỗi cung ứng nguyên liệu hóa chất.</w:t>
      </w:r>
      <w:r>
        <w:t xml:space="preserve"> Xác định các nguyên liệu có thể tìm nguồn thay thế nội địa hoặc từ các khu vực không phụ thuộc vào tuyến vận tải Trung Đông (Trung Quốc, Đông Bắc Á, nội địa).</w:t>
      </w:r>
    </w:p>
    <w:p>
      <w:pPr>
        <w:spacing w:after="40" w:before="20"/>
        <w:ind w:left="720" w:hanging="357"/>
      </w:pPr>
      <w:r>
        <w:t xml:space="preserve">3. </w:t>
      </w:r>
      <w:r>
        <w:rPr>
          <w:b/>
        </w:rPr>
        <w:t>Tận dụng cơ hội phân bón.</w:t>
      </w:r>
      <w:r>
        <w:t xml:space="preserve"> Nếu gián đoạn kéo dài, phân bón nội địa sẽ có lợi thế lớn. Cân nhắc tăng công suất tại các nhà máy DAP và supe lân; đẩy mạnh tiếp thị sản phẩm thay thế nhập khẩu.</w:t>
      </w:r>
    </w:p>
    <w:p>
      <w:pPr>
        <w:spacing w:after="40" w:before="20"/>
        <w:ind w:left="720" w:hanging="357"/>
      </w:pPr>
      <w:r>
        <w:t xml:space="preserve">4. </w:t>
      </w:r>
      <w:r>
        <w:rPr>
          <w:b/>
        </w:rPr>
        <w:t>Xây dựng quỹ dự phòng nguyên liệu</w:t>
      </w:r>
      <w:r>
        <w:t xml:space="preserve"> cho các mặt hàng có nguy cơ gián đoạn nguồn cung cao nhất.</w:t>
      </w:r>
    </w:p>
    <w:p>
      <w:pPr>
        <w:pStyle w:val="Heading3"/>
        <w:spacing w:before="240" w:after="160"/>
      </w:pPr>
      <w:r>
        <w:rPr>
          <w:rFonts w:ascii="Times New Roman" w:hAnsi="Times New Roman" w:eastAsia="Times New Roman"/>
          <w:color w:val="1A1A2E"/>
          <w:sz w:val="32"/>
        </w:rPr>
        <w:t>5.3 Theo dõi và dự phòng chiến lược</w:t>
      </w:r>
    </w:p>
    <w:p>
      <w:pPr>
        <w:spacing w:after="40" w:before="20"/>
        <w:ind w:left="720" w:hanging="357"/>
      </w:pPr>
      <w:r>
        <w:t xml:space="preserve">1. </w:t>
      </w:r>
      <w:r>
        <w:rPr>
          <w:b/>
        </w:rPr>
        <w:t>Thành lập nhóm theo dõi tình hình</w:t>
      </w:r>
      <w:r>
        <w:t xml:space="preserve"> (war room) cập nhật hằng ngày các chỉ số then chốt: giá dầu Brent, giá TTF, giá ure FOB, phí vận tải container, tình trạng eo biển Hormuz.</w:t>
      </w:r>
    </w:p>
    <w:p>
      <w:pPr>
        <w:spacing w:after="40" w:before="20"/>
        <w:ind w:left="720" w:hanging="357"/>
      </w:pPr>
      <w:r>
        <w:t xml:space="preserve">2. </w:t>
      </w:r>
      <w:r>
        <w:rPr>
          <w:b/>
        </w:rPr>
        <w:t>Chuẩn bị kịch bản KB2</w:t>
      </w:r>
      <w:r>
        <w:t xml:space="preserve"> (chiến tranh kéo dài): nếu giá dầu vượt 100 USD/thùng, cần kịch bản cắt giảm chi phí vận hành, tối ưu sản xuất và ưu tiên các sản phẩm có biên lợi nhuận cao.</w:t>
      </w:r>
    </w:p>
    <w:p>
      <w:pPr>
        <w:spacing w:after="40" w:before="20"/>
        <w:ind w:left="720" w:hanging="357"/>
      </w:pPr>
      <w:r>
        <w:t xml:space="preserve">3. </w:t>
      </w:r>
      <w:r>
        <w:rPr>
          <w:b/>
        </w:rPr>
        <w:t>Báo cáo cập nhật</w:t>
      </w:r>
      <w:r>
        <w:t xml:space="preserve"> 2 tuần/lần cho Ban lãnh đạo cho đến khi tình hình ổn định.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Nguồn tham khảo</w:t>
      </w:r>
    </w:p>
    <w:p>
      <w:r>
        <w:t xml:space="preserve">[^1]: Jones, C. &amp; Almeida, L. (02/03/2026). “Gas prices soar and oil jumps as Iran war pushes down global stock markets.” </w:t>
      </w:r>
      <w:r>
        <w:rPr>
          <w:i/>
        </w:rPr>
        <w:t>The Guardian</w:t>
      </w:r>
      <w:r>
        <w:t>. https://www.theguardian.com/world/2026/mar/02/oil-prices-iran-war-strait-of-hormuz-shipping</w:t>
      </w:r>
    </w:p>
    <w:p>
      <w:r>
        <w:t xml:space="preserve">[^2]: Davies, R., Swan, L., Symons, H., Wilson, H. &amp; Clarke, S. (02/03/2026). “How escalating Iran conflict is driving up oil and gas prices – a visual guide.” </w:t>
      </w:r>
      <w:r>
        <w:rPr>
          <w:i/>
        </w:rPr>
        <w:t>The Guardian</w:t>
      </w:r>
      <w:r>
        <w:t>. https://www.theguardian.com/world/2026/mar/02/iran-strait-of-hormuz-oil-gas-visualized</w:t>
      </w:r>
    </w:p>
    <w:p>
      <w:r>
        <w:t>[^3]: Tổng hợp dữ liệu thị trường từ [^1] và [^2]. Giá Brent 82 USD/thùng (đỉnh phiên 02/03), đóng cửa 77 USD. Giá TTF từ 32 lên 45 EUR/MWh.</w:t>
      </w:r>
    </w:p>
    <w:p>
      <w:r>
        <w:t>[^4]: Tổng hợp từ nhiều nguồn ngành phân bón: Producer.com, Morningstar, Michigan Farm News, FarmProgress (truy cập 02–03/03/2026). Giá ure FOB New Orleans tăng khoảng 77 USD lên 606 USD/tấn; FOB Ai Cập tăng lên 550 USD/tấn. Iran chiếm khoảng 10% xuất khẩu ure toàn cầu. Khoảng 1/3 thương mại phân bón toàn cầu đi qua Hormuz.</w:t>
      </w:r>
    </w:p>
    <w:p>
      <w:r>
        <w:t>[^5]: Tổng hợp từ Automotive Manufacturing Solutions, Kpler, Business Today India (truy cập 03/03/2026). Chi phí nguyên liệu hóa dầu cho sản xuất lốp dự kiến tăng 15–25% trong kịch bản gián đoạn kéo dài. Mỹ đã áp thuế chống bán phá giá 26–46% lên lốp xe từ một số nước châu Á trước đó.</w:t>
      </w:r>
    </w:p>
    <w:p>
      <w:r>
        <w:t>[^6]: S&amp;P Global, BNN Bloomberg, Tax Foundation (02/2026). Mỹ áp thuế nhập khẩu 10% theo Mục 122, Đạo luật Thương mại 1974, có hiệu lực từ 24/02/2026, thời hạn 150 ngày, có thể tăng lên 15%.</w:t>
      </w:r>
    </w:p>
    <w:p>
      <w:r>
        <w:t xml:space="preserve">[^7]: Brzeski, C., Patterson, W., Knightley, J., Song, L., Turner, C., Garvey, P. &amp; Bhargava, D. (02/03/2026). “War in the Middle East – implications for markets and macro.” </w:t>
      </w:r>
      <w:r>
        <w:rPr>
          <w:i/>
        </w:rPr>
        <w:t>ING THINK</w:t>
      </w:r>
      <w:r>
        <w:t>. https://think.ing.com/articles/war-in-the-middle-east-implications-for-markets-and-macro/</w:t>
      </w:r>
    </w:p>
    <w:p>
      <w:r>
        <w:t>[^8]: Tổng hợp từ ING THINK [^7], mục “Asia: Inflation and trade balances could come under strain.” Nhật Bản và Philippines nhập gần 90% dầu từ vùng Vịnh; Trung Quốc 38%, Ấn Độ 46%. Mỗi 10% tăng giá dầu đẩy CPI tăng khoảng 0,2 điểm phần trăm.</w:t>
      </w:r>
    </w:p>
    <w:p>
      <w:r>
        <w:t>[^9]: Vinachem (2025). Báo cáo kết quả sản xuất kinh doanh 2025, vinachem.com.vn. Thị phần: DAP 52%, supe lân 65%, lân nung chảy 78%.</w:t>
      </w:r>
    </w:p>
    <w:p>
      <w:r>
        <w:t>[^10]: Tổng hợp từ Illinois.edu, Michigan Farm News (truy cập 03/03/2026). Trung Đông chiếm khoảng 33% xuất khẩu phân đạm (chủ yếu ure) thế giới. Nhóm 5 quốc gia kiểm soát 85–90% xuất khẩu phosphate cũng bị ảnh hưởng bởi gián đoạn vận tải.</w:t>
      </w:r>
    </w:p>
    <w:p>
      <w:r>
        <w:t>[^11]: DiscoveryAlert, ResourceWise, Deloitte (2025–2026). Ngành hóa chất dành 15–20% chi phí vận hành cho năng lượng và nguyên liệu đầu vào.</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Phụ lục A — Phương pháp đánh giá chi tiết</w:t>
      </w:r>
    </w:p>
    <w:p>
      <w:pPr>
        <w:pStyle w:val="Heading3"/>
        <w:spacing w:before="240" w:after="160"/>
      </w:pPr>
      <w:r>
        <w:rPr>
          <w:rFonts w:ascii="Times New Roman" w:hAnsi="Times New Roman" w:eastAsia="Times New Roman"/>
          <w:color w:val="1A1A2E"/>
          <w:sz w:val="32"/>
        </w:rPr>
        <w:t>Khung phân tích</w:t>
      </w:r>
    </w:p>
    <w:p>
      <w:r>
        <w:t>Báo cáo kết hợp ba phương pháp:</w:t>
      </w:r>
    </w:p>
    <w:p>
      <w:pPr>
        <w:spacing w:after="40" w:before="20"/>
        <w:ind w:left="720" w:hanging="357"/>
      </w:pPr>
      <w:r>
        <w:t xml:space="preserve">1. </w:t>
      </w:r>
      <w:r>
        <w:rPr>
          <w:b/>
        </w:rPr>
        <w:t>Phân tích chuỗi giá trị (Value Chain Analysis).</w:t>
      </w:r>
      <w:r>
        <w:t xml:space="preserve"> Theo dõi tác động từ thượng nguồn (nguyên liệu, năng lượng) đến hạ nguồn (sản phẩm, thị trường) cho từng nhóm ngành.</w:t>
      </w:r>
    </w:p>
    <w:p>
      <w:pPr>
        <w:spacing w:after="40" w:before="20"/>
        <w:ind w:left="720" w:hanging="357"/>
      </w:pPr>
      <w:r>
        <w:t xml:space="preserve">2. </w:t>
      </w:r>
      <w:r>
        <w:rPr>
          <w:b/>
        </w:rPr>
        <w:t>Đánh giá kịch bản (Scenario Analysis)</w:t>
      </w:r>
      <w:r>
        <w:t xml:space="preserve"> dựa trên khung hai kịch bản của ING Economics[^7]:</w:t>
        <w:br/>
        <w:t xml:space="preserve">   - KB1 (chiến tranh ngắn, 4–7 ngày): tác động tạm thời, giá năng lượng hồi về mức trước xung đột trong 2–4 tuần. Hormuz mở lại nhanh.</w:t>
        <w:br/>
        <w:t xml:space="preserve">   - KB2 (chiến tranh kéo dài, trên 4 tuần): dầu 100–140 USD/thùng, LNG TTF 80–100 EUR/MWh. Gián đoạn chuỗi cung ứng toàn cầu kéo dài. Lạm phát tăng, ngân hàng trung ương khó cắt lãi suất.</w:t>
      </w:r>
    </w:p>
    <w:p>
      <w:pPr>
        <w:spacing w:after="40" w:before="20"/>
        <w:ind w:left="720" w:hanging="357"/>
      </w:pPr>
      <w:r>
        <w:t xml:space="preserve">3. </w:t>
      </w:r>
      <w:r>
        <w:rPr>
          <w:b/>
        </w:rPr>
        <w:t>Ma trận rủi ro/cơ hội.</w:t>
      </w:r>
      <w:r>
        <w:t xml:space="preserve"> Đánh giá mức ảnh hưởng (thấp/trung bình/cao) theo hai kịch bản cho từng nhóm ngành.</w:t>
      </w:r>
    </w:p>
    <w:p>
      <w:pPr>
        <w:pStyle w:val="Heading3"/>
        <w:spacing w:before="240" w:after="160"/>
      </w:pPr>
      <w:r>
        <w:rPr>
          <w:rFonts w:ascii="Times New Roman" w:hAnsi="Times New Roman" w:eastAsia="Times New Roman"/>
          <w:color w:val="1A1A2E"/>
          <w:sz w:val="32"/>
        </w:rPr>
        <w:t>Giới hạn</w:t>
      </w:r>
    </w:p>
    <w:p>
      <w:pPr>
        <w:spacing w:after="40" w:before="20"/>
        <w:ind w:left="720" w:hanging="357"/>
      </w:pPr>
      <w:r>
        <w:rPr>
          <w:sz w:val="20"/>
        </w:rPr>
        <w:t xml:space="preserve">• </w:t>
      </w:r>
      <w:r>
        <w:t>Số liệu thị trường tính đến 02/03/2026, tình hình thay đổi rất nhanh.</w:t>
      </w:r>
    </w:p>
    <w:p>
      <w:pPr>
        <w:spacing w:after="40" w:before="20"/>
        <w:ind w:left="720" w:hanging="357"/>
      </w:pPr>
      <w:r>
        <w:rPr>
          <w:sz w:val="20"/>
        </w:rPr>
        <w:t xml:space="preserve">• </w:t>
      </w:r>
      <w:r>
        <w:t>Không có dữ liệu chi tiết về cơ cấu chi phí đầu vào từng đơn vị thành viên Vinachem.</w:t>
      </w:r>
    </w:p>
    <w:p>
      <w:pPr>
        <w:spacing w:after="40" w:before="20"/>
        <w:ind w:left="720" w:hanging="357"/>
      </w:pPr>
      <w:r>
        <w:rPr>
          <w:sz w:val="20"/>
        </w:rPr>
        <w:t xml:space="preserve">• </w:t>
      </w:r>
      <w:r>
        <w:t>Chưa tính đến các biện pháp can thiệp của Nhà nước (bình ổn giá xăng dầu, trợ giá phân bón).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Phụ lục B — Kênh truyền dẫn tác động đến Việt Nam</w:t>
      </w:r>
    </w:p>
    <w:p>
      <w:pPr>
        <w:pStyle w:val="Heading3"/>
        <w:spacing w:before="240" w:after="160"/>
      </w:pPr>
      <w:r>
        <w:rPr>
          <w:rFonts w:ascii="Times New Roman" w:hAnsi="Times New Roman" w:eastAsia="Times New Roman"/>
          <w:color w:val="1A1A2E"/>
          <w:sz w:val="32"/>
        </w:rPr>
        <w:t>Kênh 1 — Giá xăng dầu nội địa</w:t>
      </w:r>
    </w:p>
    <w:p>
      <w:r>
        <w:t>Việt Nam nhập khẩu khoảng 70% nhu cầu xăng dầu. Giá dầu thế giới tăng truyền dẫn trực tiếp qua giá xăng, diesel bán lẻ. Điều này tăng chi phí vận tải, sản xuất nông nghiệp và chi phí sinh hoạt.</w:t>
      </w:r>
    </w:p>
    <w:p>
      <w:pPr>
        <w:pStyle w:val="Heading3"/>
        <w:spacing w:before="240" w:after="160"/>
      </w:pPr>
      <w:r>
        <w:rPr>
          <w:rFonts w:ascii="Times New Roman" w:hAnsi="Times New Roman" w:eastAsia="Times New Roman"/>
          <w:color w:val="1A1A2E"/>
          <w:sz w:val="32"/>
        </w:rPr>
        <w:t>Kênh 2 — Chi phí vận tải biển</w:t>
      </w:r>
    </w:p>
    <w:p>
      <w:r>
        <w:t>Phí bảo hiểm “rủi ro chiến tranh” tăng mạnh, phụ phí nhiên liệu tăng theo giá dầu, và một số tuyến vận tải phải đi vòng tránh Hormuz hoặc Suez. Điều này ảnh hưởng đến chi phí nhập khẩu nguyên liệu và xuất khẩu hàng hóa.</w:t>
      </w:r>
    </w:p>
    <w:p>
      <w:pPr>
        <w:pStyle w:val="Heading3"/>
        <w:spacing w:before="240" w:after="160"/>
      </w:pPr>
      <w:r>
        <w:rPr>
          <w:rFonts w:ascii="Times New Roman" w:hAnsi="Times New Roman" w:eastAsia="Times New Roman"/>
          <w:color w:val="1A1A2E"/>
          <w:sz w:val="32"/>
        </w:rPr>
        <w:t>Kênh 3 — Giá nguyên liệu hóa chất</w:t>
      </w:r>
    </w:p>
    <w:p>
      <w:r>
        <w:t>Naphtha (nguyên liệu chính cho sản xuất ethylene, propylene — gốc của nhiều hóa chất) giá tăng theo dầu. Methanol, các polymer cơ bản cũng chịu áp lực tương tự.</w:t>
      </w:r>
    </w:p>
    <w:p>
      <w:pPr>
        <w:pStyle w:val="Heading3"/>
        <w:spacing w:before="240" w:after="160"/>
      </w:pPr>
      <w:r>
        <w:rPr>
          <w:rFonts w:ascii="Times New Roman" w:hAnsi="Times New Roman" w:eastAsia="Times New Roman"/>
          <w:color w:val="1A1A2E"/>
          <w:sz w:val="32"/>
        </w:rPr>
        <w:t>Kênh 4 — Lạm phát và tỷ giá</w:t>
      </w:r>
    </w:p>
    <w:p>
      <w:r>
        <w:t>Nếu dầu tăng kéo dài, USD có xu hướng mạnh lên (do Mỹ tự chủ năng lượng hơn các nước khác). VND có thể chịu áp lực giảm giá, làm tăng thêm chi phí nhập khẩu tính bằng VND[^7].</w:t>
      </w:r>
    </w:p>
    <w:p>
      <w:pPr>
        <w:pStyle w:val="Heading3"/>
        <w:spacing w:before="240" w:after="160"/>
      </w:pPr>
      <w:r>
        <w:rPr>
          <w:rFonts w:ascii="Times New Roman" w:hAnsi="Times New Roman" w:eastAsia="Times New Roman"/>
          <w:color w:val="1A1A2E"/>
          <w:sz w:val="32"/>
        </w:rPr>
        <w:t>Kênh 5 — Tâm lý thị trường</w:t>
      </w:r>
    </w:p>
    <w:p>
      <w:r>
        <w:t>Chứng khoán châu Á giảm (Nikkei -2,4%, Thâm Quyến -0,7%)[^1]. Dòng vốn ngoại có thể rút khỏi các thị trường mới nổi nếu xung đột kéo dài[^7]. Điều này gián tiếp ảnh hưởng đến các doanh nghiệp niêm yết thuộc hệ thống Vinachem.</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Phụ lục C — Dữ liệu tham khảo bổ sung</w:t>
      </w:r>
    </w:p>
    <w:p>
      <w:pPr>
        <w:pStyle w:val="Heading3"/>
        <w:spacing w:before="240" w:after="160"/>
      </w:pPr>
      <w:r>
        <w:rPr>
          <w:rFonts w:ascii="Times New Roman" w:hAnsi="Times New Roman" w:eastAsia="Times New Roman"/>
          <w:color w:val="1A1A2E"/>
          <w:sz w:val="32"/>
        </w:rPr>
        <w:t>Thương mại phân bón qua eo biển Hormuz</w:t>
      </w:r>
    </w:p>
    <w:p>
      <w:r>
        <w:t>Trung Đông đóng góp khoảng 33% tổng xuất khẩu phân đạm thế giới, chủ yếu là ure[^10]. Các quốc gia xuất khẩu ure lớn phụ thuộc Hormuz bao gồm Iran, Qatar, Saudi Arabia, Kuwait và các Tiểu vương quốc Ả Rập Thống nhất[^4]. Riêng Qatar, ngoài LNG, cũng là nhà sản xuất ure lớn sử dụng khí tự nhiên.</w:t>
      </w:r>
    </w:p>
    <w:p>
      <w:pPr>
        <w:pStyle w:val="Heading3"/>
        <w:spacing w:before="240" w:after="160"/>
      </w:pPr>
      <w:r>
        <w:rPr>
          <w:rFonts w:ascii="Times New Roman" w:hAnsi="Times New Roman" w:eastAsia="Times New Roman"/>
          <w:color w:val="1A1A2E"/>
          <w:sz w:val="32"/>
        </w:rPr>
        <w:t>So sánh với khủng hoảng năng lượng 2022</w:t>
      </w:r>
    </w:p>
    <w:p>
      <w:r>
        <w:t>Theo ING[^7], lượng dầu bị ảnh hưởng nếu Hormuz bị phong tỏa hoàn toàn tương đương 15–20% nguồn cung toàn cầu. Con số này cao hơn đáng kể so với 7–8% nguồn cung dầu Nga bị đe dọa trong giai đoạn đầu chiến tranh Nga–Ukraine (khi giá Brent lên gần 140 USD/thùng). Tuy nhiên, tồn kho dầu OECD hiện cao hơn khoảng 200 triệu thùng so với trước chiến tranh Nga–Ukraine, tạo một bộ đệm nhất định. Nhưng nếu phong tỏa kéo dài 2 tuần, bộ đệm này sẽ cạn kiệt[^7].</w:t>
      </w:r>
    </w:p>
    <w:p>
      <w:pPr>
        <w:pStyle w:val="Heading3"/>
        <w:spacing w:before="240" w:after="160"/>
      </w:pPr>
      <w:r>
        <w:rPr>
          <w:rFonts w:ascii="Times New Roman" w:hAnsi="Times New Roman" w:eastAsia="Times New Roman"/>
          <w:color w:val="1A1A2E"/>
          <w:sz w:val="32"/>
        </w:rPr>
        <w:t>Thuế nhập khẩu Mỹ ảnh hưởng đến lốp xe</w:t>
      </w:r>
    </w:p>
    <w:p>
      <w:r>
        <w:t>Từ 24/02/2026, Mỹ áp thuế 10% lên hàng hóa nhập khẩu từ tất cả các quốc gia (Mục 122, Đạo luật Thương mại 1974), có hiệu lực 150 ngày[^6]. Thuế này cộng dồn với các mức thuế chống bán phá giá hiện hành đối với lốp xe từ một số nước châu Á, bao gồm Thái Lan, Indonesia, Việt Nam và Hàn Quốc (26–46%)[^5]. Mỹ là nước nhập khẩu lốp xe lớn nhất thế giới với thâm hụt thương mại 14,4 tỷ USD năm 2024[^5].</w:t>
      </w:r>
    </w:p>
    <w:p>
      <w:pPr>
        <w:spacing w:before="120" w:after="120"/>
        <w:pBdr>
          <w:bottom w:val="single" w:sz="12" w:space="1" w:color="CCCCCC"/>
        </w:pBdr>
      </w:pPr>
    </w:p>
    <w:p>
      <w:r>
        <w:rPr>
          <w:i/>
        </w:rPr>
        <w:t>Báo cáo này được soạn dựa trên thông tin công khai tính đến ngày 03/03/2026. Tình hình xung đột diễn biến rất nhanh, các số liệu và đánh giá có thể thay đổi. Cần cập nhật định kỳ.</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