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160"/>
      </w:pPr>
      <w:r>
        <w:rPr>
          <w:rFonts w:ascii="Times New Roman" w:hAnsi="Times New Roman" w:eastAsia="Times New Roman"/>
          <w:color w:val="1A1A2E"/>
          <w:sz w:val="40"/>
        </w:rPr>
        <w:t>GỢI Ý CỔ PHIẾU TRÊN THỊ TRƯỜNG CHỨNG KHOÁN VIỆT NAM TRONG BỐI CẢNH XUNG ĐỘT IRAN–MỸ–ISRAEL</w:t>
      </w:r>
    </w:p>
    <w:p>
      <w:r>
        <w:rPr>
          <w:b/>
        </w:rPr>
        <w:t>Ngày:</w:t>
      </w:r>
      <w:r>
        <w:t xml:space="preserve"> 03/03/2026</w:t>
        <w:br/>
      </w:r>
      <w:r>
        <w:rPr>
          <w:b/>
        </w:rPr>
        <w:t>Phân loại:</w:t>
      </w:r>
      <w:r>
        <w:t xml:space="preserve"> Nội bộ - Không phải khuyến nghị đầu tư</w:t>
        <w:br/>
      </w:r>
      <w:r>
        <w:rPr>
          <w:b/>
        </w:rPr>
        <w:t>Đơn vị:</w:t>
      </w:r>
      <w:r>
        <w:t xml:space="preserve"> Bộ phận phân tích</w:t>
      </w: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Lưu ý pháp lý</w:t>
      </w:r>
    </w:p>
    <w:p>
      <w:r>
        <w:t>Tài liệu này chỉ mang tính chất tham khảo và trao đổi nội bộ. Đây không phải khuyến nghị mua bán chứng khoán. Mọi quyết định đầu tư đều có rủi ro. Kết quả quá khứ không đảm bảo cho tương lai. Người đọc cần tự đánh giá và tham khảo ý kiến chuyên gia tài chính được cấp phép trước khi giao dịch.</w:t>
      </w: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Tóm tắt quản trị</w:t>
      </w:r>
    </w:p>
    <w:p>
      <w:r>
        <w:t>Chiến dịch quân sự Mỹ-Israel nhắm vào Iran (từ ngày 28/02/2026) đã gây ra cú sốc nguồn cung trên thị trường năng lượng và hàng hóa toàn cầu. Giá dầu Brent tăng 13% lên 82 USD/thùng, giá khí đốt châu Âu tăng 41%, eo biển Hormuz (tuyến vận chuyển khoảng 20% nguồn cung dầu và 33% xuất khẩu phân đạm thế giới) gần như ngừng hoạt động[^1][^2][^3].</w:t>
      </w:r>
    </w:p>
    <w:p>
      <w:r>
        <w:t>Với thị trường chứng khoán Việt Nam, tình hình này tạo ra cơ hội luân chuyển vốn giữa các nhóm ngành rõ ràng.</w:t>
      </w:r>
    </w:p>
    <w:p>
      <w:pPr>
        <w:spacing w:after="40" w:before="20"/>
        <w:ind w:left="720" w:hanging="357"/>
      </w:pPr>
      <w:r>
        <w:rPr>
          <w:sz w:val="20"/>
        </w:rPr>
        <w:t xml:space="preserve">• </w:t>
      </w:r>
      <w:r>
        <w:t>Nhóm hưởng lợi: dầu khí, phân bón và hóa chất, cảng biển và logistics. Đây là các ngành có doanh thu hoặc biên lợi nhuận tăng trực tiếp khi giá hàng hóa đi lên.</w:t>
      </w:r>
    </w:p>
    <w:p>
      <w:pPr>
        <w:spacing w:after="40" w:before="20"/>
        <w:ind w:left="720" w:hanging="357"/>
      </w:pPr>
      <w:r>
        <w:rPr>
          <w:sz w:val="20"/>
        </w:rPr>
        <w:t xml:space="preserve">• </w:t>
      </w:r>
      <w:r>
        <w:t>Nhóm cần tránh: hàng không, cao su và lốp xuất khẩu sang Mỹ, hàng tiêu dùng phụ thuộc nhập khẩu. Đây là các ngành chịu áp lực chi phí nhưng khó tăng giá bán.</w:t>
      </w:r>
    </w:p>
    <w:p>
      <w:pPr>
        <w:spacing w:after="40" w:before="20"/>
        <w:ind w:left="720" w:hanging="357"/>
      </w:pPr>
      <w:r>
        <w:rPr>
          <w:sz w:val="20"/>
        </w:rPr>
        <w:t xml:space="preserve">• </w:t>
      </w:r>
      <w:r>
        <w:t>Vàng có thể là lựa chọn phòng thủ. Giá vàng thế giới đã lên 5.408 USD/oz, vàng SJC trong nước vượt 190 triệu VND/lượng[^4][^5].</w:t>
      </w:r>
    </w:p>
    <w:p>
      <w:r>
        <w:t>Nhận định này phụ thuộc vào thời gian xung đột. Nếu chiến sự kết thúc trong 4-7 ngày (kịch bản 1 của ING), giá hàng hóa sẽ hồi về mức cũ và đây chỉ là giao dịch ngắn hạn. Nếu kéo dài trên 4 tuần (kịch bản 2), sự điều chỉnh lợi nhuận sẽ mang tính cơ cấu[^3].</w:t>
      </w: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Phương pháp</w:t>
      </w:r>
    </w:p>
    <w:p>
      <w:pPr>
        <w:pStyle w:val="Heading3"/>
        <w:spacing w:before="240" w:after="160"/>
      </w:pPr>
      <w:r>
        <w:rPr>
          <w:rFonts w:ascii="Times New Roman" w:hAnsi="Times New Roman" w:eastAsia="Times New Roman"/>
          <w:color w:val="1A1A2E"/>
          <w:sz w:val="32"/>
        </w:rPr>
        <w:t>Khung sàng lọc</w:t>
      </w:r>
    </w:p>
    <w:p>
      <w:r>
        <w:t>Tài liệu sử dụng phương pháp sàng lọc 4 bước:</w:t>
      </w:r>
    </w:p>
    <w:p>
      <w:pPr>
        <w:spacing w:after="40" w:before="20"/>
        <w:ind w:left="720" w:hanging="357"/>
      </w:pPr>
      <w:r>
        <w:t xml:space="preserve">1. </w:t>
      </w:r>
      <w:r>
        <w:t>Xác định kênh truyền dẫn. Với mỗi ngành, xác định xung đột Iran tác động qua (a) chi phí đầu vào, (b) giá đầu ra, (c) gián đoạn chuỗi cung ứng hay (d) thay đổi nhu cầu.</w:t>
      </w:r>
    </w:p>
    <w:p>
      <w:pPr>
        <w:spacing w:after="40" w:before="20"/>
        <w:ind w:left="720" w:hanging="357"/>
      </w:pPr>
      <w:r>
        <w:t xml:space="preserve">2. </w:t>
      </w:r>
      <w:r>
        <w:t>Chiều tác động. Phân loại từng kênh là thuận lợi (đẩy lợi nhuận lên) hay bất lợi (ép biên lợi nhuận xuống).</w:t>
      </w:r>
    </w:p>
    <w:p>
      <w:pPr>
        <w:spacing w:after="40" w:before="20"/>
        <w:ind w:left="720" w:hanging="357"/>
      </w:pPr>
      <w:r>
        <w:t xml:space="preserve">3. </w:t>
      </w:r>
      <w:r>
        <w:t>Mức độ ảnh hưởng. Ước lượng dựa trên dữ liệu giá hàng hóa, nhận định các công ty chứng khoán và tiền lệ lịch sử (chiến tranh Nga-Ukraine 2022).</w:t>
      </w:r>
    </w:p>
    <w:p>
      <w:pPr>
        <w:spacing w:after="40" w:before="20"/>
        <w:ind w:left="720" w:hanging="357"/>
      </w:pPr>
      <w:r>
        <w:t xml:space="preserve">4. </w:t>
      </w:r>
      <w:r>
        <w:t>Thời điểm xúc tác. Đánh giá tác động đến ngay (cơ hội giao dịch) hay cần thời gian để phản ánh vào lợi nhuận (cơ hội trung hạn).</w:t>
      </w:r>
    </w:p>
    <w:p>
      <w:pPr>
        <w:pStyle w:val="Heading3"/>
        <w:spacing w:before="240" w:after="160"/>
      </w:pPr>
      <w:r>
        <w:rPr>
          <w:rFonts w:ascii="Times New Roman" w:hAnsi="Times New Roman" w:eastAsia="Times New Roman"/>
          <w:color w:val="1A1A2E"/>
          <w:sz w:val="32"/>
        </w:rPr>
        <w:t>Khung kịch bản</w:t>
      </w:r>
    </w:p>
    <w:p>
      <w:r>
        <w:t>Toàn bộ đánh giá dựa trên hai kịch bản từ ING Economics[^3]:</w:t>
      </w:r>
    </w:p>
    <w:p>
      <w:pPr>
        <w:spacing w:before="80" w:after="0"/>
      </w:pP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2E8F0" w:val="clear"/>
          </w:tcPr>
          <w:p>
            <w:pPr>
              <w:spacing w:before="60" w:after="60"/>
            </w:pPr>
            <w:r>
              <w:rPr>
                <w:rFonts w:ascii="Times New Roman" w:hAnsi="Times New Roman"/>
                <w:b/>
                <w:sz w:val="20"/>
              </w:rPr>
              <w:t>Kịch bản</w:t>
            </w:r>
          </w:p>
        </w:tc>
        <w:tc>
          <w:tcPr>
            <w:tcW w:type="dxa" w:w="1872"/>
            <w:shd w:fill="E2E8F0" w:val="clear"/>
          </w:tcPr>
          <w:p>
            <w:pPr>
              <w:spacing w:before="60" w:after="60"/>
            </w:pPr>
            <w:r>
              <w:rPr>
                <w:rFonts w:ascii="Times New Roman" w:hAnsi="Times New Roman"/>
                <w:b/>
                <w:sz w:val="20"/>
              </w:rPr>
              <w:t>Thời gian</w:t>
            </w:r>
          </w:p>
        </w:tc>
        <w:tc>
          <w:tcPr>
            <w:tcW w:type="dxa" w:w="1872"/>
            <w:shd w:fill="E2E8F0" w:val="clear"/>
          </w:tcPr>
          <w:p>
            <w:pPr>
              <w:spacing w:before="60" w:after="60"/>
            </w:pPr>
            <w:r>
              <w:rPr>
                <w:rFonts w:ascii="Times New Roman" w:hAnsi="Times New Roman"/>
                <w:b/>
                <w:sz w:val="20"/>
              </w:rPr>
              <w:t>Dầu Brent</w:t>
            </w:r>
          </w:p>
        </w:tc>
        <w:tc>
          <w:tcPr>
            <w:tcW w:type="dxa" w:w="1872"/>
            <w:shd w:fill="E2E8F0" w:val="clear"/>
          </w:tcPr>
          <w:p>
            <w:pPr>
              <w:spacing w:before="60" w:after="60"/>
            </w:pPr>
            <w:r>
              <w:rPr>
                <w:rFonts w:ascii="Times New Roman" w:hAnsi="Times New Roman"/>
                <w:b/>
                <w:sz w:val="20"/>
              </w:rPr>
              <w:t>Khí TTF</w:t>
            </w:r>
          </w:p>
        </w:tc>
        <w:tc>
          <w:tcPr>
            <w:tcW w:type="dxa" w:w="1872"/>
            <w:shd w:fill="E2E8F0" w:val="clear"/>
          </w:tcPr>
          <w:p>
            <w:pPr>
              <w:spacing w:before="60" w:after="60"/>
            </w:pPr>
            <w:r>
              <w:rPr>
                <w:rFonts w:ascii="Times New Roman" w:hAnsi="Times New Roman"/>
                <w:b/>
                <w:sz w:val="20"/>
              </w:rPr>
              <w:t>Ý nghĩa thị trường</w:t>
            </w:r>
          </w:p>
        </w:tc>
      </w:tr>
      <w:tr>
        <w:tc>
          <w:tcPr>
            <w:tcW w:type="dxa" w:w="1872"/>
          </w:tcPr>
          <w:p>
            <w:pPr>
              <w:spacing w:before="60" w:after="60"/>
            </w:pPr>
            <w:r>
              <w:rPr>
                <w:rFonts w:ascii="Times New Roman" w:hAnsi="Times New Roman"/>
                <w:sz w:val="20"/>
              </w:rPr>
              <w:t>KB1 - Chiến tranh ngắn</w:t>
            </w:r>
          </w:p>
        </w:tc>
        <w:tc>
          <w:tcPr>
            <w:tcW w:type="dxa" w:w="1872"/>
          </w:tcPr>
          <w:p>
            <w:pPr>
              <w:spacing w:before="60" w:after="60"/>
            </w:pPr>
            <w:r>
              <w:rPr>
                <w:rFonts w:ascii="Times New Roman" w:hAnsi="Times New Roman"/>
                <w:sz w:val="20"/>
              </w:rPr>
              <w:t>4-7 ngày</w:t>
            </w:r>
          </w:p>
        </w:tc>
        <w:tc>
          <w:tcPr>
            <w:tcW w:type="dxa" w:w="1872"/>
          </w:tcPr>
          <w:p>
            <w:pPr>
              <w:spacing w:before="60" w:after="60"/>
            </w:pPr>
            <w:r>
              <w:rPr>
                <w:rFonts w:ascii="Times New Roman" w:hAnsi="Times New Roman"/>
                <w:sz w:val="20"/>
              </w:rPr>
              <w:t>77-82 USD/thùng (giảm dần)</w:t>
            </w:r>
          </w:p>
        </w:tc>
        <w:tc>
          <w:tcPr>
            <w:tcW w:type="dxa" w:w="1872"/>
          </w:tcPr>
          <w:p>
            <w:pPr>
              <w:spacing w:before="60" w:after="60"/>
            </w:pPr>
            <w:r>
              <w:rPr>
                <w:rFonts w:ascii="Times New Roman" w:hAnsi="Times New Roman"/>
                <w:sz w:val="20"/>
              </w:rPr>
              <w:t>Bình thường hóa</w:t>
            </w:r>
          </w:p>
        </w:tc>
        <w:tc>
          <w:tcPr>
            <w:tcW w:type="dxa" w:w="1872"/>
          </w:tcPr>
          <w:p>
            <w:pPr>
              <w:spacing w:before="60" w:after="60"/>
            </w:pPr>
            <w:r>
              <w:rPr>
                <w:rFonts w:ascii="Times New Roman" w:hAnsi="Times New Roman"/>
                <w:sz w:val="20"/>
              </w:rPr>
              <w:t>Giao dịch ngắn hạn, phí bảo hiểm tạm thời</w:t>
            </w:r>
          </w:p>
        </w:tc>
      </w:tr>
      <w:tr>
        <w:tc>
          <w:tcPr>
            <w:tcW w:type="dxa" w:w="1872"/>
          </w:tcPr>
          <w:p>
            <w:pPr>
              <w:spacing w:before="60" w:after="60"/>
            </w:pPr>
            <w:r>
              <w:rPr>
                <w:rFonts w:ascii="Times New Roman" w:hAnsi="Times New Roman"/>
                <w:sz w:val="20"/>
              </w:rPr>
              <w:t>KB2 - Kéo dài</w:t>
            </w:r>
          </w:p>
        </w:tc>
        <w:tc>
          <w:tcPr>
            <w:tcW w:type="dxa" w:w="1872"/>
          </w:tcPr>
          <w:p>
            <w:pPr>
              <w:spacing w:before="60" w:after="60"/>
            </w:pPr>
            <w:r>
              <w:rPr>
                <w:rFonts w:ascii="Times New Roman" w:hAnsi="Times New Roman"/>
                <w:sz w:val="20"/>
              </w:rPr>
              <w:t>Trên 4 tuần</w:t>
            </w:r>
          </w:p>
        </w:tc>
        <w:tc>
          <w:tcPr>
            <w:tcW w:type="dxa" w:w="1872"/>
          </w:tcPr>
          <w:p>
            <w:pPr>
              <w:spacing w:before="60" w:after="60"/>
            </w:pPr>
            <w:r>
              <w:rPr>
                <w:rFonts w:ascii="Times New Roman" w:hAnsi="Times New Roman"/>
                <w:sz w:val="20"/>
              </w:rPr>
              <w:t>100-140 USD/thùng</w:t>
            </w:r>
          </w:p>
        </w:tc>
        <w:tc>
          <w:tcPr>
            <w:tcW w:type="dxa" w:w="1872"/>
          </w:tcPr>
          <w:p>
            <w:pPr>
              <w:spacing w:before="60" w:after="60"/>
            </w:pPr>
            <w:r>
              <w:rPr>
                <w:rFonts w:ascii="Times New Roman" w:hAnsi="Times New Roman"/>
                <w:sz w:val="20"/>
              </w:rPr>
              <w:t>80-100 EUR/MWh</w:t>
            </w:r>
          </w:p>
        </w:tc>
        <w:tc>
          <w:tcPr>
            <w:tcW w:type="dxa" w:w="1872"/>
          </w:tcPr>
          <w:p>
            <w:pPr>
              <w:spacing w:before="60" w:after="60"/>
            </w:pPr>
            <w:r>
              <w:rPr>
                <w:rFonts w:ascii="Times New Roman" w:hAnsi="Times New Roman"/>
                <w:sz w:val="20"/>
              </w:rPr>
              <w:t>Điều chỉnh lợi nhuận có cơ cấu, rủi ro lạm phát</w:t>
            </w:r>
          </w:p>
        </w:tc>
      </w:tr>
    </w:tbl>
    <w:p>
      <w:pPr>
        <w:spacing w:before="0" w:after="80"/>
      </w:pPr>
    </w:p>
    <w:p>
      <w:pPr>
        <w:pStyle w:val="Heading3"/>
        <w:spacing w:before="240" w:after="160"/>
      </w:pPr>
      <w:r>
        <w:rPr>
          <w:rFonts w:ascii="Times New Roman" w:hAnsi="Times New Roman" w:eastAsia="Times New Roman"/>
          <w:color w:val="1A1A2E"/>
          <w:sz w:val="32"/>
        </w:rPr>
        <w:t>Nguồn dữ liệu</w:t>
      </w:r>
    </w:p>
    <w:p>
      <w:r>
        <w:t>Số liệu tính đến 02/03/2026. Nguồn bao gồm The Guardian, ING THINK, báo chí tài chính Việt Nam (The Investor, VnExpress, CafeF, Lao Động, ZNews) và báo cáo phân tích từ VNDirect, Vietcap, MBS, Yuanta, KBSV. Chi tiết trong phần chú thích cuối bài.</w:t>
      </w: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Nhóm 1 - Dầu khí (khuyến nghị mua mạnh)</w:t>
      </w:r>
    </w:p>
    <w:p>
      <w:pPr>
        <w:pStyle w:val="Heading3"/>
        <w:spacing w:before="240" w:after="160"/>
      </w:pPr>
      <w:r>
        <w:rPr>
          <w:rFonts w:ascii="Times New Roman" w:hAnsi="Times New Roman" w:eastAsia="Times New Roman"/>
          <w:color w:val="1A1A2E"/>
          <w:sz w:val="32"/>
        </w:rPr>
        <w:t>Luận điểm</w:t>
      </w:r>
    </w:p>
    <w:p>
      <w:r>
        <w:t>Đây là nhóm hưởng lợi trực tiếp nhất. Giá dầu Brent tăng sẽ chảy thẳng vào (a) doanh thu thượng nguồn của PetroVietnam, (b) giá thuê giàn khoan, (c) giá trị hợp đồng dịch vụ và (d) biên lọc dầu.</w:t>
      </w:r>
    </w:p>
    <w:p>
      <w:pPr>
        <w:pStyle w:val="Heading3"/>
        <w:spacing w:before="240" w:after="160"/>
      </w:pPr>
      <w:r>
        <w:rPr>
          <w:rFonts w:ascii="Times New Roman" w:hAnsi="Times New Roman" w:eastAsia="Times New Roman"/>
          <w:color w:val="1A1A2E"/>
          <w:sz w:val="32"/>
        </w:rPr>
        <w:t>Dữ liệu chính</w:t>
      </w:r>
    </w:p>
    <w:p>
      <w:pPr>
        <w:spacing w:after="40" w:before="20"/>
        <w:ind w:left="720" w:hanging="357"/>
      </w:pPr>
      <w:r>
        <w:rPr>
          <w:sz w:val="20"/>
        </w:rPr>
        <w:t xml:space="preserve">• </w:t>
      </w:r>
      <w:r>
        <w:t>Dầu Brent tăng 13% lên 82 USD/thùng ngày 02/03, có thể lên 100-140 USD nếu kịch bản 2 xảy ra[^1][^3]</w:t>
      </w:r>
    </w:p>
    <w:p>
      <w:pPr>
        <w:spacing w:after="40" w:before="20"/>
        <w:ind w:left="720" w:hanging="357"/>
      </w:pPr>
      <w:r>
        <w:rPr>
          <w:sz w:val="20"/>
        </w:rPr>
        <w:t xml:space="preserve">• </w:t>
      </w:r>
      <w:r>
        <w:t>OPEC+ tăng sản lượng 206.000 thùng/ngày cho tháng 4, nhưng phần lớn vẫn phải đi qua Hormuz[^1]</w:t>
      </w:r>
    </w:p>
    <w:p>
      <w:pPr>
        <w:spacing w:after="40" w:before="20"/>
        <w:ind w:left="720" w:hanging="357"/>
      </w:pPr>
      <w:r>
        <w:rPr>
          <w:sz w:val="20"/>
        </w:rPr>
        <w:t xml:space="preserve">• </w:t>
      </w:r>
      <w:r>
        <w:t>Iran sản xuất 4,5% nguồn cung dầu toàn cầu; xuất khẩu của nước này bị gián đoạn trực tiếp[^1]</w:t>
      </w:r>
    </w:p>
    <w:p>
      <w:pPr>
        <w:spacing w:after="40" w:before="20"/>
        <w:ind w:left="720" w:hanging="357"/>
      </w:pPr>
      <w:r>
        <w:rPr>
          <w:sz w:val="20"/>
        </w:rPr>
        <w:t xml:space="preserve">• </w:t>
      </w:r>
      <w:r>
        <w:t>Việt Nam là nước sản xuất dầu ròng (PetroVietnam), nên giá dầu cao là lợi thế trực tiếp</w:t>
      </w:r>
    </w:p>
    <w:p>
      <w:pPr>
        <w:pStyle w:val="Heading3"/>
        <w:spacing w:before="240" w:after="160"/>
      </w:pPr>
      <w:r>
        <w:rPr>
          <w:rFonts w:ascii="Times New Roman" w:hAnsi="Times New Roman" w:eastAsia="Times New Roman"/>
          <w:color w:val="1A1A2E"/>
          <w:sz w:val="32"/>
        </w:rPr>
        <w:t>Các mã cổ phiếu gợi ý</w:t>
      </w:r>
    </w:p>
    <w:p>
      <w:pPr>
        <w:spacing w:before="80" w:after="0"/>
      </w:pP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2E8F0" w:val="clear"/>
          </w:tcPr>
          <w:p>
            <w:pPr>
              <w:spacing w:before="60" w:after="60"/>
            </w:pPr>
            <w:r>
              <w:rPr>
                <w:rFonts w:ascii="Times New Roman" w:hAnsi="Times New Roman"/>
                <w:b/>
                <w:sz w:val="20"/>
              </w:rPr>
              <w:t>Mã</w:t>
            </w:r>
          </w:p>
        </w:tc>
        <w:tc>
          <w:tcPr>
            <w:tcW w:type="dxa" w:w="1872"/>
            <w:shd w:fill="E2E8F0" w:val="clear"/>
          </w:tcPr>
          <w:p>
            <w:pPr>
              <w:spacing w:before="60" w:after="60"/>
            </w:pPr>
            <w:r>
              <w:rPr>
                <w:rFonts w:ascii="Times New Roman" w:hAnsi="Times New Roman"/>
                <w:b/>
                <w:sz w:val="20"/>
              </w:rPr>
              <w:t>Công ty</w:t>
            </w:r>
          </w:p>
        </w:tc>
        <w:tc>
          <w:tcPr>
            <w:tcW w:type="dxa" w:w="1872"/>
            <w:shd w:fill="E2E8F0" w:val="clear"/>
          </w:tcPr>
          <w:p>
            <w:pPr>
              <w:spacing w:before="60" w:after="60"/>
            </w:pPr>
            <w:r>
              <w:rPr>
                <w:rFonts w:ascii="Times New Roman" w:hAnsi="Times New Roman"/>
                <w:b/>
                <w:sz w:val="20"/>
              </w:rPr>
              <w:t>Vốn hóa</w:t>
            </w:r>
          </w:p>
        </w:tc>
        <w:tc>
          <w:tcPr>
            <w:tcW w:type="dxa" w:w="1872"/>
            <w:shd w:fill="E2E8F0" w:val="clear"/>
          </w:tcPr>
          <w:p>
            <w:pPr>
              <w:spacing w:before="60" w:after="60"/>
            </w:pPr>
            <w:r>
              <w:rPr>
                <w:rFonts w:ascii="Times New Roman" w:hAnsi="Times New Roman"/>
                <w:b/>
                <w:sz w:val="20"/>
              </w:rPr>
              <w:t>Lý do hưởng lợi</w:t>
            </w:r>
          </w:p>
        </w:tc>
        <w:tc>
          <w:tcPr>
            <w:tcW w:type="dxa" w:w="1872"/>
            <w:shd w:fill="E2E8F0" w:val="clear"/>
          </w:tcPr>
          <w:p>
            <w:pPr>
              <w:spacing w:before="60" w:after="60"/>
            </w:pPr>
            <w:r>
              <w:rPr>
                <w:rFonts w:ascii="Times New Roman" w:hAnsi="Times New Roman"/>
                <w:b/>
                <w:sz w:val="20"/>
              </w:rPr>
              <w:t>Xúc tác</w:t>
            </w:r>
          </w:p>
        </w:tc>
      </w:tr>
      <w:tr>
        <w:tc>
          <w:tcPr>
            <w:tcW w:type="dxa" w:w="1872"/>
          </w:tcPr>
          <w:p>
            <w:pPr>
              <w:spacing w:before="60" w:after="60"/>
            </w:pPr>
            <w:r>
              <w:rPr>
                <w:rFonts w:ascii="Times New Roman" w:hAnsi="Times New Roman"/>
                <w:sz w:val="20"/>
              </w:rPr>
              <w:t>GAS</w:t>
            </w:r>
          </w:p>
        </w:tc>
        <w:tc>
          <w:tcPr>
            <w:tcW w:type="dxa" w:w="1872"/>
          </w:tcPr>
          <w:p>
            <w:pPr>
              <w:spacing w:before="60" w:after="60"/>
            </w:pPr>
            <w:r>
              <w:rPr>
                <w:rFonts w:ascii="Times New Roman" w:hAnsi="Times New Roman"/>
                <w:sz w:val="20"/>
              </w:rPr>
              <w:t>Tổng công ty Khí Việt Nam</w:t>
            </w:r>
          </w:p>
        </w:tc>
        <w:tc>
          <w:tcPr>
            <w:tcW w:type="dxa" w:w="1872"/>
          </w:tcPr>
          <w:p>
            <w:pPr>
              <w:spacing w:before="60" w:after="60"/>
            </w:pPr>
            <w:r>
              <w:rPr>
                <w:rFonts w:ascii="Times New Roman" w:hAnsi="Times New Roman"/>
                <w:sz w:val="20"/>
              </w:rPr>
              <w:t>Lớn</w:t>
            </w:r>
          </w:p>
        </w:tc>
        <w:tc>
          <w:tcPr>
            <w:tcW w:type="dxa" w:w="1872"/>
          </w:tcPr>
          <w:p>
            <w:pPr>
              <w:spacing w:before="60" w:after="60"/>
            </w:pPr>
            <w:r>
              <w:rPr>
                <w:rFonts w:ascii="Times New Roman" w:hAnsi="Times New Roman"/>
                <w:sz w:val="20"/>
              </w:rPr>
              <w:t>Nhà phân phối khí lớn nhất Việt Nam; giá khí tăng cải thiện biên lợi nhuận trực tiếp</w:t>
            </w:r>
          </w:p>
        </w:tc>
        <w:tc>
          <w:tcPr>
            <w:tcW w:type="dxa" w:w="1872"/>
          </w:tcPr>
          <w:p>
            <w:pPr>
              <w:spacing w:before="60" w:after="60"/>
            </w:pPr>
            <w:r>
              <w:rPr>
                <w:rFonts w:ascii="Times New Roman" w:hAnsi="Times New Roman"/>
                <w:sz w:val="20"/>
              </w:rPr>
              <w:t>Ngay lập tức</w:t>
            </w:r>
          </w:p>
        </w:tc>
      </w:tr>
      <w:tr>
        <w:tc>
          <w:tcPr>
            <w:tcW w:type="dxa" w:w="1872"/>
          </w:tcPr>
          <w:p>
            <w:pPr>
              <w:spacing w:before="60" w:after="60"/>
            </w:pPr>
            <w:r>
              <w:rPr>
                <w:rFonts w:ascii="Times New Roman" w:hAnsi="Times New Roman"/>
                <w:sz w:val="20"/>
              </w:rPr>
              <w:t>PVD</w:t>
            </w:r>
          </w:p>
        </w:tc>
        <w:tc>
          <w:tcPr>
            <w:tcW w:type="dxa" w:w="1872"/>
          </w:tcPr>
          <w:p>
            <w:pPr>
              <w:spacing w:before="60" w:after="60"/>
            </w:pPr>
            <w:r>
              <w:rPr>
                <w:rFonts w:ascii="Times New Roman" w:hAnsi="Times New Roman"/>
                <w:sz w:val="20"/>
              </w:rPr>
              <w:t>Tổng công ty Khoan và Dịch vụ khoan dầu khí</w:t>
            </w:r>
          </w:p>
        </w:tc>
        <w:tc>
          <w:tcPr>
            <w:tcW w:type="dxa" w:w="1872"/>
          </w:tcPr>
          <w:p>
            <w:pPr>
              <w:spacing w:before="60" w:after="60"/>
            </w:pPr>
            <w:r>
              <w:rPr>
                <w:rFonts w:ascii="Times New Roman" w:hAnsi="Times New Roman"/>
                <w:sz w:val="20"/>
              </w:rPr>
              <w:t>Trung bình</w:t>
            </w:r>
          </w:p>
        </w:tc>
        <w:tc>
          <w:tcPr>
            <w:tcW w:type="dxa" w:w="1872"/>
          </w:tcPr>
          <w:p>
            <w:pPr>
              <w:spacing w:before="60" w:after="60"/>
            </w:pPr>
            <w:r>
              <w:rPr>
                <w:rFonts w:ascii="Times New Roman" w:hAnsi="Times New Roman"/>
                <w:sz w:val="20"/>
              </w:rPr>
              <w:t>Giá thuê giàn và tỷ lệ sử dụng tăng khi dầu trên 70 USD; ngân sách thăm dò mở rộng</w:t>
            </w:r>
          </w:p>
        </w:tc>
        <w:tc>
          <w:tcPr>
            <w:tcW w:type="dxa" w:w="1872"/>
          </w:tcPr>
          <w:p>
            <w:pPr>
              <w:spacing w:before="60" w:after="60"/>
            </w:pPr>
            <w:r>
              <w:rPr>
                <w:rFonts w:ascii="Times New Roman" w:hAnsi="Times New Roman"/>
                <w:sz w:val="20"/>
              </w:rPr>
              <w:t>Ngắn hạn</w:t>
            </w:r>
          </w:p>
        </w:tc>
      </w:tr>
      <w:tr>
        <w:tc>
          <w:tcPr>
            <w:tcW w:type="dxa" w:w="1872"/>
          </w:tcPr>
          <w:p>
            <w:pPr>
              <w:spacing w:before="60" w:after="60"/>
            </w:pPr>
            <w:r>
              <w:rPr>
                <w:rFonts w:ascii="Times New Roman" w:hAnsi="Times New Roman"/>
                <w:sz w:val="20"/>
              </w:rPr>
              <w:t>PVS</w:t>
            </w:r>
          </w:p>
        </w:tc>
        <w:tc>
          <w:tcPr>
            <w:tcW w:type="dxa" w:w="1872"/>
          </w:tcPr>
          <w:p>
            <w:pPr>
              <w:spacing w:before="60" w:after="60"/>
            </w:pPr>
            <w:r>
              <w:rPr>
                <w:rFonts w:ascii="Times New Roman" w:hAnsi="Times New Roman"/>
                <w:sz w:val="20"/>
              </w:rPr>
              <w:t>Tổng công ty Dịch vụ kỹ thuật dầu khí</w:t>
            </w:r>
          </w:p>
        </w:tc>
        <w:tc>
          <w:tcPr>
            <w:tcW w:type="dxa" w:w="1872"/>
          </w:tcPr>
          <w:p>
            <w:pPr>
              <w:spacing w:before="60" w:after="60"/>
            </w:pPr>
            <w:r>
              <w:rPr>
                <w:rFonts w:ascii="Times New Roman" w:hAnsi="Times New Roman"/>
                <w:sz w:val="20"/>
              </w:rPr>
              <w:t>Trung bình</w:t>
            </w:r>
          </w:p>
        </w:tc>
        <w:tc>
          <w:tcPr>
            <w:tcW w:type="dxa" w:w="1872"/>
          </w:tcPr>
          <w:p>
            <w:pPr>
              <w:spacing w:before="60" w:after="60"/>
            </w:pPr>
            <w:r>
              <w:rPr>
                <w:rFonts w:ascii="Times New Roman" w:hAnsi="Times New Roman"/>
                <w:sz w:val="20"/>
              </w:rPr>
              <w:t>Dịch vụ đa dạng (cơ khí, hàng hải); tồn đọng hợp đồng lớn; ít biến động hơn PVD</w:t>
            </w:r>
          </w:p>
        </w:tc>
        <w:tc>
          <w:tcPr>
            <w:tcW w:type="dxa" w:w="1872"/>
          </w:tcPr>
          <w:p>
            <w:pPr>
              <w:spacing w:before="60" w:after="60"/>
            </w:pPr>
            <w:r>
              <w:rPr>
                <w:rFonts w:ascii="Times New Roman" w:hAnsi="Times New Roman"/>
                <w:sz w:val="20"/>
              </w:rPr>
              <w:t>Trung hạn</w:t>
            </w:r>
          </w:p>
        </w:tc>
      </w:tr>
      <w:tr>
        <w:tc>
          <w:tcPr>
            <w:tcW w:type="dxa" w:w="1872"/>
          </w:tcPr>
          <w:p>
            <w:pPr>
              <w:spacing w:before="60" w:after="60"/>
            </w:pPr>
            <w:r>
              <w:rPr>
                <w:rFonts w:ascii="Times New Roman" w:hAnsi="Times New Roman"/>
                <w:sz w:val="20"/>
              </w:rPr>
              <w:t>BSR</w:t>
            </w:r>
          </w:p>
        </w:tc>
        <w:tc>
          <w:tcPr>
            <w:tcW w:type="dxa" w:w="1872"/>
          </w:tcPr>
          <w:p>
            <w:pPr>
              <w:spacing w:before="60" w:after="60"/>
            </w:pPr>
            <w:r>
              <w:rPr>
                <w:rFonts w:ascii="Times New Roman" w:hAnsi="Times New Roman"/>
                <w:sz w:val="20"/>
              </w:rPr>
              <w:t>Lọc hóa dầu Bình Sơn</w:t>
            </w:r>
          </w:p>
        </w:tc>
        <w:tc>
          <w:tcPr>
            <w:tcW w:type="dxa" w:w="1872"/>
          </w:tcPr>
          <w:p>
            <w:pPr>
              <w:spacing w:before="60" w:after="60"/>
            </w:pPr>
            <w:r>
              <w:rPr>
                <w:rFonts w:ascii="Times New Roman" w:hAnsi="Times New Roman"/>
                <w:sz w:val="20"/>
              </w:rPr>
              <w:t>Lớn</w:t>
            </w:r>
          </w:p>
        </w:tc>
        <w:tc>
          <w:tcPr>
            <w:tcW w:type="dxa" w:w="1872"/>
          </w:tcPr>
          <w:p>
            <w:pPr>
              <w:spacing w:before="60" w:after="60"/>
            </w:pPr>
            <w:r>
              <w:rPr>
                <w:rFonts w:ascii="Times New Roman" w:hAnsi="Times New Roman"/>
                <w:sz w:val="20"/>
              </w:rPr>
              <w:t>Nhà máy lọc lớn nhất Việt Nam; biên lọc dầu thường mở rộng trong giai đoạn nguồn cung bị gián đoạn</w:t>
            </w:r>
          </w:p>
        </w:tc>
        <w:tc>
          <w:tcPr>
            <w:tcW w:type="dxa" w:w="1872"/>
          </w:tcPr>
          <w:p>
            <w:pPr>
              <w:spacing w:before="60" w:after="60"/>
            </w:pPr>
            <w:r>
              <w:rPr>
                <w:rFonts w:ascii="Times New Roman" w:hAnsi="Times New Roman"/>
                <w:sz w:val="20"/>
              </w:rPr>
              <w:t>Ngay lập tức</w:t>
            </w:r>
          </w:p>
        </w:tc>
      </w:tr>
      <w:tr>
        <w:tc>
          <w:tcPr>
            <w:tcW w:type="dxa" w:w="1872"/>
          </w:tcPr>
          <w:p>
            <w:pPr>
              <w:spacing w:before="60" w:after="60"/>
            </w:pPr>
            <w:r>
              <w:rPr>
                <w:rFonts w:ascii="Times New Roman" w:hAnsi="Times New Roman"/>
                <w:sz w:val="20"/>
              </w:rPr>
              <w:t>PLX</w:t>
            </w:r>
          </w:p>
        </w:tc>
        <w:tc>
          <w:tcPr>
            <w:tcW w:type="dxa" w:w="1872"/>
          </w:tcPr>
          <w:p>
            <w:pPr>
              <w:spacing w:before="60" w:after="60"/>
            </w:pPr>
            <w:r>
              <w:rPr>
                <w:rFonts w:ascii="Times New Roman" w:hAnsi="Times New Roman"/>
                <w:sz w:val="20"/>
              </w:rPr>
              <w:t>Tập đoàn Xăng dầu Việt Nam</w:t>
            </w:r>
          </w:p>
        </w:tc>
        <w:tc>
          <w:tcPr>
            <w:tcW w:type="dxa" w:w="1872"/>
          </w:tcPr>
          <w:p>
            <w:pPr>
              <w:spacing w:before="60" w:after="60"/>
            </w:pPr>
            <w:r>
              <w:rPr>
                <w:rFonts w:ascii="Times New Roman" w:hAnsi="Times New Roman"/>
                <w:sz w:val="20"/>
              </w:rPr>
              <w:t>Lớn</w:t>
            </w:r>
          </w:p>
        </w:tc>
        <w:tc>
          <w:tcPr>
            <w:tcW w:type="dxa" w:w="1872"/>
          </w:tcPr>
          <w:p>
            <w:pPr>
              <w:spacing w:before="60" w:after="60"/>
            </w:pPr>
            <w:r>
              <w:rPr>
                <w:rFonts w:ascii="Times New Roman" w:hAnsi="Times New Roman"/>
                <w:sz w:val="20"/>
              </w:rPr>
              <w:t>Phân phối hạ nguồn; chuyển chi phí tăng vào giá bán; cổ phiếu thường tăng theo giá dầu</w:t>
            </w:r>
          </w:p>
        </w:tc>
        <w:tc>
          <w:tcPr>
            <w:tcW w:type="dxa" w:w="1872"/>
          </w:tcPr>
          <w:p>
            <w:pPr>
              <w:spacing w:before="60" w:after="60"/>
            </w:pPr>
            <w:r>
              <w:rPr>
                <w:rFonts w:ascii="Times New Roman" w:hAnsi="Times New Roman"/>
                <w:sz w:val="20"/>
              </w:rPr>
              <w:t>Ngay lập tức</w:t>
            </w:r>
          </w:p>
        </w:tc>
      </w:tr>
      <w:tr>
        <w:tc>
          <w:tcPr>
            <w:tcW w:type="dxa" w:w="1872"/>
          </w:tcPr>
          <w:p>
            <w:pPr>
              <w:spacing w:before="60" w:after="60"/>
            </w:pPr>
            <w:r>
              <w:rPr>
                <w:rFonts w:ascii="Times New Roman" w:hAnsi="Times New Roman"/>
                <w:sz w:val="20"/>
              </w:rPr>
              <w:t>OIL</w:t>
            </w:r>
          </w:p>
        </w:tc>
        <w:tc>
          <w:tcPr>
            <w:tcW w:type="dxa" w:w="1872"/>
          </w:tcPr>
          <w:p>
            <w:pPr>
              <w:spacing w:before="60" w:after="60"/>
            </w:pPr>
            <w:r>
              <w:rPr>
                <w:rFonts w:ascii="Times New Roman" w:hAnsi="Times New Roman"/>
                <w:sz w:val="20"/>
              </w:rPr>
              <w:t>Tổng công ty Dầu Việt Nam</w:t>
            </w:r>
          </w:p>
        </w:tc>
        <w:tc>
          <w:tcPr>
            <w:tcW w:type="dxa" w:w="1872"/>
          </w:tcPr>
          <w:p>
            <w:pPr>
              <w:spacing w:before="60" w:after="60"/>
            </w:pPr>
            <w:r>
              <w:rPr>
                <w:rFonts w:ascii="Times New Roman" w:hAnsi="Times New Roman"/>
                <w:sz w:val="20"/>
              </w:rPr>
              <w:t>Trung bình</w:t>
            </w:r>
          </w:p>
        </w:tc>
        <w:tc>
          <w:tcPr>
            <w:tcW w:type="dxa" w:w="1872"/>
          </w:tcPr>
          <w:p>
            <w:pPr>
              <w:spacing w:before="60" w:after="60"/>
            </w:pPr>
            <w:r>
              <w:rPr>
                <w:rFonts w:ascii="Times New Roman" w:hAnsi="Times New Roman"/>
                <w:sz w:val="20"/>
              </w:rPr>
              <w:t>Kinh doanh dầu thô; giá dầu cao tương đương doanh thu cao</w:t>
            </w:r>
          </w:p>
        </w:tc>
        <w:tc>
          <w:tcPr>
            <w:tcW w:type="dxa" w:w="1872"/>
          </w:tcPr>
          <w:p>
            <w:pPr>
              <w:spacing w:before="60" w:after="60"/>
            </w:pPr>
            <w:r>
              <w:rPr>
                <w:rFonts w:ascii="Times New Roman" w:hAnsi="Times New Roman"/>
                <w:sz w:val="20"/>
              </w:rPr>
              <w:t>Ngay lập tức</w:t>
            </w:r>
          </w:p>
        </w:tc>
      </w:tr>
      <w:tr>
        <w:tc>
          <w:tcPr>
            <w:tcW w:type="dxa" w:w="1872"/>
          </w:tcPr>
          <w:p>
            <w:pPr>
              <w:spacing w:before="60" w:after="60"/>
            </w:pPr>
            <w:r>
              <w:rPr>
                <w:rFonts w:ascii="Times New Roman" w:hAnsi="Times New Roman"/>
                <w:sz w:val="20"/>
              </w:rPr>
              <w:t>PVT</w:t>
            </w:r>
          </w:p>
        </w:tc>
        <w:tc>
          <w:tcPr>
            <w:tcW w:type="dxa" w:w="1872"/>
          </w:tcPr>
          <w:p>
            <w:pPr>
              <w:spacing w:before="60" w:after="60"/>
            </w:pPr>
            <w:r>
              <w:rPr>
                <w:rFonts w:ascii="Times New Roman" w:hAnsi="Times New Roman"/>
                <w:sz w:val="20"/>
              </w:rPr>
              <w:t>Tổng công ty Vận tải dầu khí</w:t>
            </w:r>
          </w:p>
        </w:tc>
        <w:tc>
          <w:tcPr>
            <w:tcW w:type="dxa" w:w="1872"/>
          </w:tcPr>
          <w:p>
            <w:pPr>
              <w:spacing w:before="60" w:after="60"/>
            </w:pPr>
            <w:r>
              <w:rPr>
                <w:rFonts w:ascii="Times New Roman" w:hAnsi="Times New Roman"/>
                <w:sz w:val="20"/>
              </w:rPr>
              <w:t>Trung bình</w:t>
            </w:r>
          </w:p>
        </w:tc>
        <w:tc>
          <w:tcPr>
            <w:tcW w:type="dxa" w:w="1872"/>
          </w:tcPr>
          <w:p>
            <w:pPr>
              <w:spacing w:before="60" w:after="60"/>
            </w:pPr>
            <w:r>
              <w:rPr>
                <w:rFonts w:ascii="Times New Roman" w:hAnsi="Times New Roman"/>
                <w:sz w:val="20"/>
              </w:rPr>
              <w:t>Vận tải tàu dầu; giá cước tăng khi nguồn cung gián đoạn</w:t>
            </w:r>
          </w:p>
        </w:tc>
        <w:tc>
          <w:tcPr>
            <w:tcW w:type="dxa" w:w="1872"/>
          </w:tcPr>
          <w:p>
            <w:pPr>
              <w:spacing w:before="60" w:after="60"/>
            </w:pPr>
            <w:r>
              <w:rPr>
                <w:rFonts w:ascii="Times New Roman" w:hAnsi="Times New Roman"/>
                <w:sz w:val="20"/>
              </w:rPr>
              <w:t>Ngay lập tức</w:t>
            </w:r>
          </w:p>
        </w:tc>
      </w:tr>
    </w:tbl>
    <w:p>
      <w:pPr>
        <w:spacing w:before="0" w:after="80"/>
      </w:pPr>
    </w:p>
    <w:p>
      <w:r>
        <w:t>Rủi ro cần lưu ý: nếu xung đột kết thúc nhanh (KB1), nhóm này sẽ trả lại phần tăng trong 1-2 tuần. PLX và BSR nhạy cảm hơn với hiệu ứng định giá hàng tồn kho. Khi giá dầu tăng thì lợi, khi giảm thì ngược lại.</w:t>
      </w:r>
    </w:p>
    <w:p>
      <w:pPr>
        <w:pStyle w:val="Heading3"/>
        <w:spacing w:before="240" w:after="160"/>
      </w:pPr>
      <w:r>
        <w:rPr>
          <w:rFonts w:ascii="Times New Roman" w:hAnsi="Times New Roman" w:eastAsia="Times New Roman"/>
          <w:color w:val="1A1A2E"/>
          <w:sz w:val="32"/>
        </w:rPr>
        <w:t>Tiền lệ lịch sử</w:t>
      </w:r>
    </w:p>
    <w:p>
      <w:r>
        <w:t>Trong đợt không kích Iran tháng 6/2025 (quy mô nhỏ hơn), giá dầu tăng ngắn rồi giảm lại. GAS, PVD và PVS tăng 5-10% rồi điều chỉnh. Đợt hiện tại nghiêm trọng hơn nhiều (Hormuz gần như đóng cửa), cho thấy mức tăng có thể lớn hơn và kéo dài hơn[^6][^7].</w:t>
      </w: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Nhóm 2 - Phân bón và hóa chất (khuyến nghị mua)</w:t>
      </w:r>
    </w:p>
    <w:p>
      <w:pPr>
        <w:pStyle w:val="Heading3"/>
        <w:spacing w:before="240" w:after="160"/>
      </w:pPr>
      <w:r>
        <w:rPr>
          <w:rFonts w:ascii="Times New Roman" w:hAnsi="Times New Roman" w:eastAsia="Times New Roman"/>
          <w:color w:val="1A1A2E"/>
          <w:sz w:val="32"/>
        </w:rPr>
        <w:t>Luận điểm</w:t>
      </w:r>
    </w:p>
    <w:p>
      <w:r>
        <w:t>Đây là nhóm có mức độ tin cậy cao nhất trong bối cảnh hiện tại. Ba yếu tố thuận lợi xuất hiện đồng thời.</w:t>
      </w:r>
    </w:p>
    <w:p>
      <w:r>
        <w:t>Thứ nhất, giá ure toàn cầu tăng mạnh. Ure FOB New Orleans tăng khoảng 77 USD lên 606 USD/tấn; FOB Ai Cập tăng 13% lên 550 USD/tấn. Trung Đông chiếm khoảng 33% xuất khẩu phân đạm thế giới, gần như toàn bộ đi qua Hormuz[^8][^9].</w:t>
      </w:r>
    </w:p>
    <w:p>
      <w:r>
        <w:t>Thứ hai, lợi thế thay thế nhập khẩu. Các nhà sản xuất Việt Nam (DPM, DCM) sử dụng khí trong nước, không phải LNG nhập khẩu, làm nguyên liệu. Cơ cấu chi phí của họ được bảo vệ một phần trong khi đối thủ toàn cầu phải chịu giá đầu vào leo thang.</w:t>
      </w:r>
    </w:p>
    <w:p>
      <w:r>
        <w:t>Thứ ba, nhu cầu theo mùa vụ. Bắc bán cầu đang vào vụ xuân, nông dân cần phân bón đúng thời vụ và không thể trì hoãn[^8].</w:t>
      </w:r>
    </w:p>
    <w:p>
      <w:pPr>
        <w:pStyle w:val="Heading3"/>
        <w:spacing w:before="240" w:after="160"/>
      </w:pPr>
      <w:r>
        <w:rPr>
          <w:rFonts w:ascii="Times New Roman" w:hAnsi="Times New Roman" w:eastAsia="Times New Roman"/>
          <w:color w:val="1A1A2E"/>
          <w:sz w:val="32"/>
        </w:rPr>
        <w:t>Dữ liệu chính</w:t>
      </w:r>
    </w:p>
    <w:p>
      <w:pPr>
        <w:spacing w:after="40" w:before="20"/>
        <w:ind w:left="720" w:hanging="357"/>
      </w:pPr>
      <w:r>
        <w:rPr>
          <w:sz w:val="20"/>
        </w:rPr>
        <w:t xml:space="preserve">• </w:t>
      </w:r>
      <w:r>
        <w:t>Riêng Iran chiếm khoảng 10% xuất khẩu ure toàn cầu[^8]</w:t>
      </w:r>
    </w:p>
    <w:p>
      <w:pPr>
        <w:spacing w:after="40" w:before="20"/>
        <w:ind w:left="720" w:hanging="357"/>
      </w:pPr>
      <w:r>
        <w:rPr>
          <w:sz w:val="20"/>
        </w:rPr>
        <w:t xml:space="preserve">• </w:t>
      </w:r>
      <w:r>
        <w:t>Khoảng 1/3 thương mại phân bón thế giới đi qua Hormuz[^8]</w:t>
      </w:r>
    </w:p>
    <w:p>
      <w:pPr>
        <w:spacing w:after="40" w:before="20"/>
        <w:ind w:left="720" w:hanging="357"/>
      </w:pPr>
      <w:r>
        <w:rPr>
          <w:sz w:val="20"/>
        </w:rPr>
        <w:t xml:space="preserve">• </w:t>
      </w:r>
      <w:r>
        <w:t>Trung Quốc vẫn duy trì hạn chế xuất khẩu phosphate, siết chặt nguồn cung thêm[^10]</w:t>
      </w:r>
    </w:p>
    <w:p>
      <w:pPr>
        <w:spacing w:after="40" w:before="20"/>
        <w:ind w:left="720" w:hanging="357"/>
      </w:pPr>
      <w:r>
        <w:rPr>
          <w:sz w:val="20"/>
        </w:rPr>
        <w:t xml:space="preserve">• </w:t>
      </w:r>
      <w:r>
        <w:t>DGC là nhà xuất khẩu phốt pho vàng (P4) lớn nhất châu Á; hưởng lợi từ cả khan hiếm phosphate lẫn nhu cầu bán dẫn[^10]</w:t>
      </w:r>
    </w:p>
    <w:p>
      <w:pPr>
        <w:pStyle w:val="Heading3"/>
        <w:spacing w:before="240" w:after="160"/>
      </w:pPr>
      <w:r>
        <w:rPr>
          <w:rFonts w:ascii="Times New Roman" w:hAnsi="Times New Roman" w:eastAsia="Times New Roman"/>
          <w:color w:val="1A1A2E"/>
          <w:sz w:val="32"/>
        </w:rPr>
        <w:t>Các mã cổ phiếu gợi ý</w:t>
      </w:r>
    </w:p>
    <w:p>
      <w:pPr>
        <w:spacing w:before="80" w:after="0"/>
      </w:pP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2E8F0" w:val="clear"/>
          </w:tcPr>
          <w:p>
            <w:pPr>
              <w:spacing w:before="60" w:after="60"/>
            </w:pPr>
            <w:r>
              <w:rPr>
                <w:rFonts w:ascii="Times New Roman" w:hAnsi="Times New Roman"/>
                <w:b/>
                <w:sz w:val="20"/>
              </w:rPr>
              <w:t>Mã</w:t>
            </w:r>
          </w:p>
        </w:tc>
        <w:tc>
          <w:tcPr>
            <w:tcW w:type="dxa" w:w="1872"/>
            <w:shd w:fill="E2E8F0" w:val="clear"/>
          </w:tcPr>
          <w:p>
            <w:pPr>
              <w:spacing w:before="60" w:after="60"/>
            </w:pPr>
            <w:r>
              <w:rPr>
                <w:rFonts w:ascii="Times New Roman" w:hAnsi="Times New Roman"/>
                <w:b/>
                <w:sz w:val="20"/>
              </w:rPr>
              <w:t>Công ty</w:t>
            </w:r>
          </w:p>
        </w:tc>
        <w:tc>
          <w:tcPr>
            <w:tcW w:type="dxa" w:w="1872"/>
            <w:shd w:fill="E2E8F0" w:val="clear"/>
          </w:tcPr>
          <w:p>
            <w:pPr>
              <w:spacing w:before="60" w:after="60"/>
            </w:pPr>
            <w:r>
              <w:rPr>
                <w:rFonts w:ascii="Times New Roman" w:hAnsi="Times New Roman"/>
                <w:b/>
                <w:sz w:val="20"/>
              </w:rPr>
              <w:t>Vốn hóa</w:t>
            </w:r>
          </w:p>
        </w:tc>
        <w:tc>
          <w:tcPr>
            <w:tcW w:type="dxa" w:w="1872"/>
            <w:shd w:fill="E2E8F0" w:val="clear"/>
          </w:tcPr>
          <w:p>
            <w:pPr>
              <w:spacing w:before="60" w:after="60"/>
            </w:pPr>
            <w:r>
              <w:rPr>
                <w:rFonts w:ascii="Times New Roman" w:hAnsi="Times New Roman"/>
                <w:b/>
                <w:sz w:val="20"/>
              </w:rPr>
              <w:t>Lý do hưởng lợi</w:t>
            </w:r>
          </w:p>
        </w:tc>
        <w:tc>
          <w:tcPr>
            <w:tcW w:type="dxa" w:w="1872"/>
            <w:shd w:fill="E2E8F0" w:val="clear"/>
          </w:tcPr>
          <w:p>
            <w:pPr>
              <w:spacing w:before="60" w:after="60"/>
            </w:pPr>
            <w:r>
              <w:rPr>
                <w:rFonts w:ascii="Times New Roman" w:hAnsi="Times New Roman"/>
                <w:b/>
                <w:sz w:val="20"/>
              </w:rPr>
              <w:t>Xúc tác</w:t>
            </w:r>
          </w:p>
        </w:tc>
      </w:tr>
      <w:tr>
        <w:tc>
          <w:tcPr>
            <w:tcW w:type="dxa" w:w="1872"/>
          </w:tcPr>
          <w:p>
            <w:pPr>
              <w:spacing w:before="60" w:after="60"/>
            </w:pPr>
            <w:r>
              <w:rPr>
                <w:rFonts w:ascii="Times New Roman" w:hAnsi="Times New Roman"/>
                <w:sz w:val="20"/>
              </w:rPr>
              <w:t>DPM</w:t>
            </w:r>
          </w:p>
        </w:tc>
        <w:tc>
          <w:tcPr>
            <w:tcW w:type="dxa" w:w="1872"/>
          </w:tcPr>
          <w:p>
            <w:pPr>
              <w:spacing w:before="60" w:after="60"/>
            </w:pPr>
            <w:r>
              <w:rPr>
                <w:rFonts w:ascii="Times New Roman" w:hAnsi="Times New Roman"/>
                <w:sz w:val="20"/>
              </w:rPr>
              <w:t>Đạm Phú Mỹ</w:t>
            </w:r>
          </w:p>
        </w:tc>
        <w:tc>
          <w:tcPr>
            <w:tcW w:type="dxa" w:w="1872"/>
          </w:tcPr>
          <w:p>
            <w:pPr>
              <w:spacing w:before="60" w:after="60"/>
            </w:pPr>
            <w:r>
              <w:rPr>
                <w:rFonts w:ascii="Times New Roman" w:hAnsi="Times New Roman"/>
                <w:sz w:val="20"/>
              </w:rPr>
              <w:t>Lớn</w:t>
            </w:r>
          </w:p>
        </w:tc>
        <w:tc>
          <w:tcPr>
            <w:tcW w:type="dxa" w:w="1872"/>
          </w:tcPr>
          <w:p>
            <w:pPr>
              <w:spacing w:before="60" w:after="60"/>
            </w:pPr>
            <w:r>
              <w:rPr>
                <w:rFonts w:ascii="Times New Roman" w:hAnsi="Times New Roman"/>
                <w:sz w:val="20"/>
              </w:rPr>
              <w:t>Nhà sản xuất ure lớn nhất Việt Nam; dùng khí nội địa; hưởng lợi trực tiếp từ giá ure toàn cầu tăng</w:t>
            </w:r>
          </w:p>
        </w:tc>
        <w:tc>
          <w:tcPr>
            <w:tcW w:type="dxa" w:w="1872"/>
          </w:tcPr>
          <w:p>
            <w:pPr>
              <w:spacing w:before="60" w:after="60"/>
            </w:pPr>
            <w:r>
              <w:rPr>
                <w:rFonts w:ascii="Times New Roman" w:hAnsi="Times New Roman"/>
                <w:sz w:val="20"/>
              </w:rPr>
              <w:t>Ngay lập tức (ure đã tăng 14%)</w:t>
            </w:r>
          </w:p>
        </w:tc>
      </w:tr>
      <w:tr>
        <w:tc>
          <w:tcPr>
            <w:tcW w:type="dxa" w:w="1872"/>
          </w:tcPr>
          <w:p>
            <w:pPr>
              <w:spacing w:before="60" w:after="60"/>
            </w:pPr>
            <w:r>
              <w:rPr>
                <w:rFonts w:ascii="Times New Roman" w:hAnsi="Times New Roman"/>
                <w:sz w:val="20"/>
              </w:rPr>
              <w:t>DCM</w:t>
            </w:r>
          </w:p>
        </w:tc>
        <w:tc>
          <w:tcPr>
            <w:tcW w:type="dxa" w:w="1872"/>
          </w:tcPr>
          <w:p>
            <w:pPr>
              <w:spacing w:before="60" w:after="60"/>
            </w:pPr>
            <w:r>
              <w:rPr>
                <w:rFonts w:ascii="Times New Roman" w:hAnsi="Times New Roman"/>
                <w:sz w:val="20"/>
              </w:rPr>
              <w:t>Đạm Cà Mau</w:t>
            </w:r>
          </w:p>
        </w:tc>
        <w:tc>
          <w:tcPr>
            <w:tcW w:type="dxa" w:w="1872"/>
          </w:tcPr>
          <w:p>
            <w:pPr>
              <w:spacing w:before="60" w:after="60"/>
            </w:pPr>
            <w:r>
              <w:rPr>
                <w:rFonts w:ascii="Times New Roman" w:hAnsi="Times New Roman"/>
                <w:sz w:val="20"/>
              </w:rPr>
              <w:t>Lớn</w:t>
            </w:r>
          </w:p>
        </w:tc>
        <w:tc>
          <w:tcPr>
            <w:tcW w:type="dxa" w:w="1872"/>
          </w:tcPr>
          <w:p>
            <w:pPr>
              <w:spacing w:before="60" w:after="60"/>
            </w:pPr>
            <w:r>
              <w:rPr>
                <w:rFonts w:ascii="Times New Roman" w:hAnsi="Times New Roman"/>
                <w:sz w:val="20"/>
              </w:rPr>
              <w:t>Nhà sản xuất ure lớn thứ hai; chiến lược kiểm soát chi phí tốt; sản phẩm đa dạng; triển vọng 2026 tích cực theo đánh giá nhiều CTCK[^11]</w:t>
            </w:r>
          </w:p>
        </w:tc>
        <w:tc>
          <w:tcPr>
            <w:tcW w:type="dxa" w:w="1872"/>
          </w:tcPr>
          <w:p>
            <w:pPr>
              <w:spacing w:before="60" w:after="60"/>
            </w:pPr>
            <w:r>
              <w:rPr>
                <w:rFonts w:ascii="Times New Roman" w:hAnsi="Times New Roman"/>
                <w:sz w:val="20"/>
              </w:rPr>
              <w:t>Ngay lập tức đến trung hạn</w:t>
            </w:r>
          </w:p>
        </w:tc>
      </w:tr>
      <w:tr>
        <w:tc>
          <w:tcPr>
            <w:tcW w:type="dxa" w:w="1872"/>
          </w:tcPr>
          <w:p>
            <w:pPr>
              <w:spacing w:before="60" w:after="60"/>
            </w:pPr>
            <w:r>
              <w:rPr>
                <w:rFonts w:ascii="Times New Roman" w:hAnsi="Times New Roman"/>
                <w:sz w:val="20"/>
              </w:rPr>
              <w:t>DGC</w:t>
            </w:r>
          </w:p>
        </w:tc>
        <w:tc>
          <w:tcPr>
            <w:tcW w:type="dxa" w:w="1872"/>
          </w:tcPr>
          <w:p>
            <w:pPr>
              <w:spacing w:before="60" w:after="60"/>
            </w:pPr>
            <w:r>
              <w:rPr>
                <w:rFonts w:ascii="Times New Roman" w:hAnsi="Times New Roman"/>
                <w:sz w:val="20"/>
              </w:rPr>
              <w:t>Hóa chất Đức Giang</w:t>
            </w:r>
          </w:p>
        </w:tc>
        <w:tc>
          <w:tcPr>
            <w:tcW w:type="dxa" w:w="1872"/>
          </w:tcPr>
          <w:p>
            <w:pPr>
              <w:spacing w:before="60" w:after="60"/>
            </w:pPr>
            <w:r>
              <w:rPr>
                <w:rFonts w:ascii="Times New Roman" w:hAnsi="Times New Roman"/>
                <w:sz w:val="20"/>
              </w:rPr>
              <w:t>Lớn</w:t>
            </w:r>
          </w:p>
        </w:tc>
        <w:tc>
          <w:tcPr>
            <w:tcW w:type="dxa" w:w="1872"/>
          </w:tcPr>
          <w:p>
            <w:pPr>
              <w:spacing w:before="60" w:after="60"/>
            </w:pPr>
            <w:r>
              <w:rPr>
                <w:rFonts w:ascii="Times New Roman" w:hAnsi="Times New Roman"/>
                <w:sz w:val="20"/>
              </w:rPr>
              <w:t>Số 1 châu Á về xuất khẩu P4; tự chủ nguồn apatit; hưởng lợi từ khan hiếm phosphorus, hạn chế xuất khẩu của Trung Quốc và nhà máy Nghi Sơn mới vận hành quý 1/2026[^10]</w:t>
            </w:r>
          </w:p>
        </w:tc>
        <w:tc>
          <w:tcPr>
            <w:tcW w:type="dxa" w:w="1872"/>
          </w:tcPr>
          <w:p>
            <w:pPr>
              <w:spacing w:before="60" w:after="60"/>
            </w:pPr>
            <w:r>
              <w:rPr>
                <w:rFonts w:ascii="Times New Roman" w:hAnsi="Times New Roman"/>
                <w:sz w:val="20"/>
              </w:rPr>
              <w:t>Ngay lập tức và có tính cơ cấu</w:t>
            </w:r>
          </w:p>
        </w:tc>
      </w:tr>
      <w:tr>
        <w:tc>
          <w:tcPr>
            <w:tcW w:type="dxa" w:w="1872"/>
          </w:tcPr>
          <w:p>
            <w:pPr>
              <w:spacing w:before="60" w:after="60"/>
            </w:pPr>
            <w:r>
              <w:rPr>
                <w:rFonts w:ascii="Times New Roman" w:hAnsi="Times New Roman"/>
                <w:sz w:val="20"/>
              </w:rPr>
              <w:t>BFC</w:t>
            </w:r>
          </w:p>
        </w:tc>
        <w:tc>
          <w:tcPr>
            <w:tcW w:type="dxa" w:w="1872"/>
          </w:tcPr>
          <w:p>
            <w:pPr>
              <w:spacing w:before="60" w:after="60"/>
            </w:pPr>
            <w:r>
              <w:rPr>
                <w:rFonts w:ascii="Times New Roman" w:hAnsi="Times New Roman"/>
                <w:sz w:val="20"/>
              </w:rPr>
              <w:t>Phân bón Bình Điền</w:t>
            </w:r>
          </w:p>
        </w:tc>
        <w:tc>
          <w:tcPr>
            <w:tcW w:type="dxa" w:w="1872"/>
          </w:tcPr>
          <w:p>
            <w:pPr>
              <w:spacing w:before="60" w:after="60"/>
            </w:pPr>
            <w:r>
              <w:rPr>
                <w:rFonts w:ascii="Times New Roman" w:hAnsi="Times New Roman"/>
                <w:sz w:val="20"/>
              </w:rPr>
              <w:t>Trung bình</w:t>
            </w:r>
          </w:p>
        </w:tc>
        <w:tc>
          <w:tcPr>
            <w:tcW w:type="dxa" w:w="1872"/>
          </w:tcPr>
          <w:p>
            <w:pPr>
              <w:spacing w:before="60" w:after="60"/>
            </w:pPr>
            <w:r>
              <w:rPr>
                <w:rFonts w:ascii="Times New Roman" w:hAnsi="Times New Roman"/>
                <w:sz w:val="20"/>
              </w:rPr>
              <w:t>Phân bón hỗn hợp (NPK); hưởng lợi từ giá phân bón tăng chung</w:t>
            </w:r>
          </w:p>
        </w:tc>
        <w:tc>
          <w:tcPr>
            <w:tcW w:type="dxa" w:w="1872"/>
          </w:tcPr>
          <w:p>
            <w:pPr>
              <w:spacing w:before="60" w:after="60"/>
            </w:pPr>
            <w:r>
              <w:rPr>
                <w:rFonts w:ascii="Times New Roman" w:hAnsi="Times New Roman"/>
                <w:sz w:val="20"/>
              </w:rPr>
              <w:t>Trung hạn</w:t>
            </w:r>
          </w:p>
        </w:tc>
      </w:tr>
      <w:tr>
        <w:tc>
          <w:tcPr>
            <w:tcW w:type="dxa" w:w="1872"/>
          </w:tcPr>
          <w:p>
            <w:pPr>
              <w:spacing w:before="60" w:after="60"/>
            </w:pPr>
            <w:r>
              <w:rPr>
                <w:rFonts w:ascii="Times New Roman" w:hAnsi="Times New Roman"/>
                <w:sz w:val="20"/>
              </w:rPr>
              <w:t>LAS</w:t>
            </w:r>
          </w:p>
        </w:tc>
        <w:tc>
          <w:tcPr>
            <w:tcW w:type="dxa" w:w="1872"/>
          </w:tcPr>
          <w:p>
            <w:pPr>
              <w:spacing w:before="60" w:after="60"/>
            </w:pPr>
            <w:r>
              <w:rPr>
                <w:rFonts w:ascii="Times New Roman" w:hAnsi="Times New Roman"/>
                <w:sz w:val="20"/>
              </w:rPr>
              <w:t>Supe phốt phát Lâm Thao</w:t>
            </w:r>
          </w:p>
        </w:tc>
        <w:tc>
          <w:tcPr>
            <w:tcW w:type="dxa" w:w="1872"/>
          </w:tcPr>
          <w:p>
            <w:pPr>
              <w:spacing w:before="60" w:after="60"/>
            </w:pPr>
            <w:r>
              <w:rPr>
                <w:rFonts w:ascii="Times New Roman" w:hAnsi="Times New Roman"/>
                <w:sz w:val="20"/>
              </w:rPr>
              <w:t>Nhỏ</w:t>
            </w:r>
          </w:p>
        </w:tc>
        <w:tc>
          <w:tcPr>
            <w:tcW w:type="dxa" w:w="1872"/>
          </w:tcPr>
          <w:p>
            <w:pPr>
              <w:spacing w:before="60" w:after="60"/>
            </w:pPr>
            <w:r>
              <w:rPr>
                <w:rFonts w:ascii="Times New Roman" w:hAnsi="Times New Roman"/>
                <w:sz w:val="20"/>
              </w:rPr>
              <w:t>Sản xuất supe lân nội địa; bài toán thay thế nhập khẩu</w:t>
            </w:r>
          </w:p>
        </w:tc>
        <w:tc>
          <w:tcPr>
            <w:tcW w:type="dxa" w:w="1872"/>
          </w:tcPr>
          <w:p>
            <w:pPr>
              <w:spacing w:before="60" w:after="60"/>
            </w:pPr>
            <w:r>
              <w:rPr>
                <w:rFonts w:ascii="Times New Roman" w:hAnsi="Times New Roman"/>
                <w:sz w:val="20"/>
              </w:rPr>
              <w:t>Trung hạn</w:t>
            </w:r>
          </w:p>
        </w:tc>
      </w:tr>
    </w:tbl>
    <w:p>
      <w:pPr>
        <w:spacing w:before="0" w:after="80"/>
      </w:pPr>
    </w:p>
    <w:p>
      <w:r>
        <w:t>Rủi ro: nếu giá dầu hồi về nhanh (KB1), giá ure cũng sẽ giảm. Tuy nhiên, nhu cầu theo mùa vụ (vụ xuân) tạo một mức sàn mà các hàng hóa khác không có. DGC có lợi thế vượt ra ngoài “giao dịch chiến tranh” nhờ nhu cầu phosphorus cho bán dẫn và hạn chế xuất khẩu từ Trung Quốc.</w:t>
      </w:r>
    </w:p>
    <w:p>
      <w:r>
        <w:t xml:space="preserve">Lựa chọn hàng đầu trong nhóm này là </w:t>
      </w:r>
      <w:r>
        <w:rPr>
          <w:b/>
        </w:rPr>
        <w:t>DGC</w:t>
      </w:r>
      <w:r>
        <w:t>. Nhiều yếu tố thuận lợi độc lập cùng hội tụ (phí bảo hiểm chiến tranh, hạn chế từ Trung Quốc, chu kỳ bán dẫn, công suất mới), tự chủ nguyên liệu và có lịch sử tăng trưởng đã được chứng minh.</w:t>
      </w: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Nhóm 3 - Cảng biển và logistics (khuyến nghị tăng tỷ trọng vừa phải)</w:t>
      </w:r>
    </w:p>
    <w:p>
      <w:pPr>
        <w:pStyle w:val="Heading3"/>
        <w:spacing w:before="240" w:after="160"/>
      </w:pPr>
      <w:r>
        <w:rPr>
          <w:rFonts w:ascii="Times New Roman" w:hAnsi="Times New Roman" w:eastAsia="Times New Roman"/>
          <w:color w:val="1A1A2E"/>
          <w:sz w:val="32"/>
        </w:rPr>
        <w:t>Luận điểm</w:t>
      </w:r>
    </w:p>
    <w:p>
      <w:r>
        <w:t>Gián đoạn chuỗi cung ứng đẩy nhu cầu sử dụng cảng biển và dịch vụ vận tải lên cao. Việc tàu phải đi vòng tránh Hormuz và có thể cả Suez (Maersk đã ngừng cả hai tuyến)[^1] kéo dài thời gian vận chuyển, siết chặt nguồn cung tàu. Các cảng Việt Nam có thể hưởng lợi từ nhu cầu trung chuyển tăng.</w:t>
      </w:r>
    </w:p>
    <w:p>
      <w:pPr>
        <w:pStyle w:val="Heading3"/>
        <w:spacing w:before="240" w:after="160"/>
      </w:pPr>
      <w:r>
        <w:rPr>
          <w:rFonts w:ascii="Times New Roman" w:hAnsi="Times New Roman" w:eastAsia="Times New Roman"/>
          <w:color w:val="1A1A2E"/>
          <w:sz w:val="32"/>
        </w:rPr>
        <w:t>Các mã cổ phiếu gợi ý</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Times New Roman" w:hAnsi="Times New Roman"/>
                <w:b/>
                <w:sz w:val="20"/>
              </w:rPr>
              <w:t>Mã</w:t>
            </w:r>
          </w:p>
        </w:tc>
        <w:tc>
          <w:tcPr>
            <w:tcW w:type="dxa" w:w="3120"/>
            <w:shd w:fill="E2E8F0" w:val="clear"/>
          </w:tcPr>
          <w:p>
            <w:pPr>
              <w:spacing w:before="60" w:after="60"/>
            </w:pPr>
            <w:r>
              <w:rPr>
                <w:rFonts w:ascii="Times New Roman" w:hAnsi="Times New Roman"/>
                <w:b/>
                <w:sz w:val="20"/>
              </w:rPr>
              <w:t>Công ty</w:t>
            </w:r>
          </w:p>
        </w:tc>
        <w:tc>
          <w:tcPr>
            <w:tcW w:type="dxa" w:w="3120"/>
            <w:shd w:fill="E2E8F0" w:val="clear"/>
          </w:tcPr>
          <w:p>
            <w:pPr>
              <w:spacing w:before="60" w:after="60"/>
            </w:pPr>
            <w:r>
              <w:rPr>
                <w:rFonts w:ascii="Times New Roman" w:hAnsi="Times New Roman"/>
                <w:b/>
                <w:sz w:val="20"/>
              </w:rPr>
              <w:t>Lý do hưởng lợi</w:t>
            </w:r>
          </w:p>
        </w:tc>
      </w:tr>
      <w:tr>
        <w:tc>
          <w:tcPr>
            <w:tcW w:type="dxa" w:w="3120"/>
          </w:tcPr>
          <w:p>
            <w:pPr>
              <w:spacing w:before="60" w:after="60"/>
            </w:pPr>
            <w:r>
              <w:rPr>
                <w:rFonts w:ascii="Times New Roman" w:hAnsi="Times New Roman"/>
                <w:sz w:val="20"/>
              </w:rPr>
              <w:t>GMD</w:t>
            </w:r>
          </w:p>
        </w:tc>
        <w:tc>
          <w:tcPr>
            <w:tcW w:type="dxa" w:w="3120"/>
          </w:tcPr>
          <w:p>
            <w:pPr>
              <w:spacing w:before="60" w:after="60"/>
            </w:pPr>
            <w:r>
              <w:rPr>
                <w:rFonts w:ascii="Times New Roman" w:hAnsi="Times New Roman"/>
                <w:sz w:val="20"/>
              </w:rPr>
              <w:t>Gemadept</w:t>
            </w:r>
          </w:p>
        </w:tc>
        <w:tc>
          <w:tcPr>
            <w:tcW w:type="dxa" w:w="3120"/>
          </w:tcPr>
          <w:p>
            <w:pPr>
              <w:spacing w:before="60" w:after="60"/>
            </w:pPr>
            <w:r>
              <w:rPr>
                <w:rFonts w:ascii="Times New Roman" w:hAnsi="Times New Roman"/>
                <w:sz w:val="20"/>
              </w:rPr>
              <w:t>Nhà khai thác cảng tư nhân lớn nhất Việt Nam; sản lượng có thể tăng nếu dòng hàng chuyển hướng qua châu Á</w:t>
            </w:r>
          </w:p>
        </w:tc>
      </w:tr>
      <w:tr>
        <w:tc>
          <w:tcPr>
            <w:tcW w:type="dxa" w:w="3120"/>
          </w:tcPr>
          <w:p>
            <w:pPr>
              <w:spacing w:before="60" w:after="60"/>
            </w:pPr>
            <w:r>
              <w:rPr>
                <w:rFonts w:ascii="Times New Roman" w:hAnsi="Times New Roman"/>
                <w:sz w:val="20"/>
              </w:rPr>
              <w:t>HAH</w:t>
            </w:r>
          </w:p>
        </w:tc>
        <w:tc>
          <w:tcPr>
            <w:tcW w:type="dxa" w:w="3120"/>
          </w:tcPr>
          <w:p>
            <w:pPr>
              <w:spacing w:before="60" w:after="60"/>
            </w:pPr>
            <w:r>
              <w:rPr>
                <w:rFonts w:ascii="Times New Roman" w:hAnsi="Times New Roman"/>
                <w:sz w:val="20"/>
              </w:rPr>
              <w:t>Vận tải biển Hải An</w:t>
            </w:r>
          </w:p>
        </w:tc>
        <w:tc>
          <w:tcPr>
            <w:tcW w:type="dxa" w:w="3120"/>
          </w:tcPr>
          <w:p>
            <w:pPr>
              <w:spacing w:before="60" w:after="60"/>
            </w:pPr>
            <w:r>
              <w:rPr>
                <w:rFonts w:ascii="Times New Roman" w:hAnsi="Times New Roman"/>
                <w:sz w:val="20"/>
              </w:rPr>
              <w:t>Vận tải container; giá cước tăng nhờ gián đoạn toàn cầu</w:t>
            </w:r>
          </w:p>
        </w:tc>
      </w:tr>
      <w:tr>
        <w:tc>
          <w:tcPr>
            <w:tcW w:type="dxa" w:w="3120"/>
          </w:tcPr>
          <w:p>
            <w:pPr>
              <w:spacing w:before="60" w:after="60"/>
            </w:pPr>
            <w:r>
              <w:rPr>
                <w:rFonts w:ascii="Times New Roman" w:hAnsi="Times New Roman"/>
                <w:sz w:val="20"/>
              </w:rPr>
              <w:t>PVT</w:t>
            </w:r>
          </w:p>
        </w:tc>
        <w:tc>
          <w:tcPr>
            <w:tcW w:type="dxa" w:w="3120"/>
          </w:tcPr>
          <w:p>
            <w:pPr>
              <w:spacing w:before="60" w:after="60"/>
            </w:pPr>
            <w:r>
              <w:rPr>
                <w:rFonts w:ascii="Times New Roman" w:hAnsi="Times New Roman"/>
                <w:sz w:val="20"/>
              </w:rPr>
              <w:t>Vận tải dầu khí</w:t>
            </w:r>
          </w:p>
        </w:tc>
        <w:tc>
          <w:tcPr>
            <w:tcW w:type="dxa" w:w="3120"/>
          </w:tcPr>
          <w:p>
            <w:pPr>
              <w:spacing w:before="60" w:after="60"/>
            </w:pPr>
            <w:r>
              <w:rPr>
                <w:rFonts w:ascii="Times New Roman" w:hAnsi="Times New Roman"/>
                <w:sz w:val="20"/>
              </w:rPr>
              <w:t>Tàu chở dầu (đã liệt kê ở nhóm dầu khí); hưởng lợi kép</w:t>
            </w:r>
          </w:p>
        </w:tc>
      </w:tr>
    </w:tbl>
    <w:p>
      <w:pPr>
        <w:spacing w:before="0" w:after="80"/>
      </w:pPr>
    </w:p>
    <w:p>
      <w:r>
        <w:t>Rủi ro: đây là nhóm hưởng lợi gián tiếp, mức ảnh hưởng không rõ ràng bằng dầu khí hay phân bón. Nếu kinh tế toàn cầu chậm lại (KB2), tổng lượng hàng hóa vận chuyển có thể giảm.</w:t>
      </w: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Nhóm 4 - Vàng và tài sản phòng thủ (tăng tỷ trọng chiến thuật)</w:t>
      </w:r>
    </w:p>
    <w:p>
      <w:pPr>
        <w:pStyle w:val="Heading3"/>
        <w:spacing w:before="240" w:after="160"/>
      </w:pPr>
      <w:r>
        <w:rPr>
          <w:rFonts w:ascii="Times New Roman" w:hAnsi="Times New Roman" w:eastAsia="Times New Roman"/>
          <w:color w:val="1A1A2E"/>
          <w:sz w:val="32"/>
        </w:rPr>
        <w:t>Luận điểm</w:t>
      </w:r>
    </w:p>
    <w:p>
      <w:r>
        <w:t>Vàng là kênh phòng thủ truyền thống trong bất ổn địa chính trị. Giá vàng thế giới tăng 2,5% lên 5.408 USD/oz ngày 02/03[^1]. Tại Việt Nam, vàng SJC vượt 190 triệu VND/lượng, cao hơn giá quốc tế khoảng 21,7 triệu VND[^5].</w:t>
      </w:r>
    </w:p>
    <w:p>
      <w:pPr>
        <w:pStyle w:val="Heading3"/>
        <w:spacing w:before="240" w:after="160"/>
      </w:pPr>
      <w:r>
        <w:rPr>
          <w:rFonts w:ascii="Times New Roman" w:hAnsi="Times New Roman" w:eastAsia="Times New Roman"/>
          <w:color w:val="1A1A2E"/>
          <w:sz w:val="32"/>
        </w:rPr>
        <w:t>Lựa chọn tiếp cận</w:t>
      </w:r>
    </w:p>
    <w:p>
      <w:r>
        <w:t>Trên sàn HOSE/HNX không có cổ phiếu khai thác vàng thuần túy. Có thể tiếp cận qua:</w:t>
      </w:r>
    </w:p>
    <w:p>
      <w:pPr>
        <w:spacing w:after="40" w:before="20"/>
        <w:ind w:left="720" w:hanging="357"/>
      </w:pPr>
      <w:r>
        <w:rPr>
          <w:sz w:val="20"/>
        </w:rPr>
        <w:t xml:space="preserve">• </w:t>
      </w:r>
      <w:r>
        <w:t>Vàng vật chất (SJC, vàng nhẫn 9999)</w:t>
      </w:r>
    </w:p>
    <w:p>
      <w:pPr>
        <w:spacing w:after="40" w:before="20"/>
        <w:ind w:left="720" w:hanging="357"/>
      </w:pPr>
      <w:r>
        <w:rPr>
          <w:sz w:val="20"/>
        </w:rPr>
        <w:t xml:space="preserve">• </w:t>
      </w:r>
      <w:r>
        <w:t>ETF vàng nếu có trên các nền tảng Việt Nam</w:t>
      </w:r>
    </w:p>
    <w:p>
      <w:pPr>
        <w:spacing w:after="40" w:before="20"/>
        <w:ind w:left="720" w:hanging="357"/>
      </w:pPr>
      <w:r>
        <w:rPr>
          <w:sz w:val="20"/>
        </w:rPr>
        <w:t xml:space="preserve">• </w:t>
      </w:r>
      <w:r>
        <w:t>PNJ (Vàng bạc đá quý Phú Nhuận). PNJ không phải cổ phiếu vàng đúng nghĩa, nhưng hưởng lợi gián tiếp từ khối lượng giao dịch vàng tăng và nhu cầu mua vàng của người dân trong giai đoạn bất ổn.</w:t>
      </w:r>
    </w:p>
    <w:p>
      <w:r>
        <w:t>Rủi ro: giá vàng đã có phí bảo hiểm chiến tranh khá cao. Nếu xung đột kết thúc nhanh (KB1), vàng sẽ giảm nhanh.</w:t>
      </w: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Các nhóm nên tránh hoặc giảm tỷ trọng</w:t>
      </w:r>
    </w:p>
    <w:p>
      <w:pPr>
        <w:pStyle w:val="Heading3"/>
        <w:spacing w:before="240" w:after="160"/>
      </w:pPr>
      <w:r>
        <w:rPr>
          <w:rFonts w:ascii="Times New Roman" w:hAnsi="Times New Roman" w:eastAsia="Times New Roman"/>
          <w:color w:val="1A1A2E"/>
          <w:sz w:val="32"/>
        </w:rPr>
        <w:t>Hàng không (HVN, VJC)</w:t>
      </w:r>
    </w:p>
    <w:p>
      <w:r>
        <w:t>Chi phí nhiên liệu bay tăng theo giá dầu, ảnh hưởng trực tiếp đến biên lợi nhuận. Không phận vùng Vịnh đóng cửa buộc các chuyến bay châu Âu-châu Á phải bay vòng, tăng chi phí vận hành[^12]. Tại London ngày 02/03, IAG (công ty mẹ British Airways) và easyJet giảm 4-6%[^1]. Logic tương tự áp dụng cho HVN và VJC.</w:t>
      </w:r>
    </w:p>
    <w:p>
      <w:r>
        <w:t>HVN (Vietnam Airlines) đang trong tình trạng tài chính khó khăn sẵn. Một đợt tăng giá dầu kéo dài sẽ làm triển vọng xấu thêm.</w:t>
      </w:r>
    </w:p>
    <w:p>
      <w:pPr>
        <w:pStyle w:val="Heading3"/>
        <w:spacing w:before="240" w:after="160"/>
      </w:pPr>
      <w:r>
        <w:rPr>
          <w:rFonts w:ascii="Times New Roman" w:hAnsi="Times New Roman" w:eastAsia="Times New Roman"/>
          <w:color w:val="1A1A2E"/>
          <w:sz w:val="32"/>
        </w:rPr>
        <w:t>Cao su và lốp (CSM, DRC)</w:t>
      </w:r>
    </w:p>
    <w:p>
      <w:r>
        <w:t>Đây là nhóm chịu ảnh hưởng nặng nhất nếu xung đột kéo dài. Chi phí cao su tổng hợp (sản phẩm phụ của hóa dầu) có thể tăng 15-25%[^13]. Từ ngày 24/02/2026, Mỹ áp thuế nhập khẩu 10% lên hàng hóa từ tất cả các quốc gia theo Mục 122, Đạo luật Thương mại 1974, cộng dồn với thuế chống bán phá giá hiện hành 26-46% đối với lốp xe từ châu Á[^13][^14].</w:t>
      </w:r>
    </w:p>
    <w:p>
      <w:r>
        <w:t>Thị trường xuất khẩu chính của CSM là Mỹ. CSM chịu áp lực kép từ cả chi phí đầu vào lẫn thuế quan.</w:t>
      </w:r>
    </w:p>
    <w:p>
      <w:pPr>
        <w:pStyle w:val="Heading3"/>
        <w:spacing w:before="240" w:after="160"/>
      </w:pPr>
      <w:r>
        <w:rPr>
          <w:rFonts w:ascii="Times New Roman" w:hAnsi="Times New Roman" w:eastAsia="Times New Roman"/>
          <w:color w:val="1A1A2E"/>
          <w:sz w:val="32"/>
        </w:rPr>
        <w:t>Hàng tiêu dùng phụ thuộc nhập khẩu</w:t>
      </w:r>
    </w:p>
    <w:p>
      <w:r>
        <w:t>Giá dầu tăng đồng nghĩa chi phí vận tải và nguyên liệu tăng. Khả năng chuyển chi phí vào giá bán hạn chế do thị trường nội địa cạnh tranh cao. Áp lực lạm phát có thể làm giảm sức mua của người tiêu dùng.</w:t>
      </w: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Ma trận tổng hợp</w:t>
      </w:r>
    </w:p>
    <w:p>
      <w:pPr>
        <w:spacing w:before="80" w:after="0"/>
      </w:pP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E2E8F0" w:val="clear"/>
          </w:tcPr>
          <w:p>
            <w:pPr>
              <w:spacing w:before="60" w:after="60"/>
            </w:pPr>
            <w:r>
              <w:rPr>
                <w:rFonts w:ascii="Times New Roman" w:hAnsi="Times New Roman"/>
                <w:b/>
                <w:sz w:val="20"/>
              </w:rPr>
              <w:t>Nhóm ngành</w:t>
            </w:r>
          </w:p>
        </w:tc>
        <w:tc>
          <w:tcPr>
            <w:tcW w:type="dxa" w:w="1560"/>
            <w:shd w:fill="E2E8F0" w:val="clear"/>
          </w:tcPr>
          <w:p>
            <w:pPr>
              <w:spacing w:before="60" w:after="60"/>
            </w:pPr>
            <w:r>
              <w:rPr>
                <w:rFonts w:ascii="Times New Roman" w:hAnsi="Times New Roman"/>
                <w:b/>
                <w:sz w:val="20"/>
              </w:rPr>
              <w:t>Hướng</w:t>
            </w:r>
          </w:p>
        </w:tc>
        <w:tc>
          <w:tcPr>
            <w:tcW w:type="dxa" w:w="1560"/>
            <w:shd w:fill="E2E8F0" w:val="clear"/>
          </w:tcPr>
          <w:p>
            <w:pPr>
              <w:spacing w:before="60" w:after="60"/>
            </w:pPr>
            <w:r>
              <w:rPr>
                <w:rFonts w:ascii="Times New Roman" w:hAnsi="Times New Roman"/>
                <w:b/>
                <w:sz w:val="20"/>
              </w:rPr>
              <w:t>Mức tin cậy</w:t>
            </w:r>
          </w:p>
        </w:tc>
        <w:tc>
          <w:tcPr>
            <w:tcW w:type="dxa" w:w="1560"/>
            <w:shd w:fill="E2E8F0" w:val="clear"/>
          </w:tcPr>
          <w:p>
            <w:pPr>
              <w:spacing w:before="60" w:after="60"/>
            </w:pPr>
            <w:r>
              <w:rPr>
                <w:rFonts w:ascii="Times New Roman" w:hAnsi="Times New Roman"/>
                <w:b/>
                <w:sz w:val="20"/>
              </w:rPr>
              <w:t>Tác động KB1</w:t>
            </w:r>
          </w:p>
        </w:tc>
        <w:tc>
          <w:tcPr>
            <w:tcW w:type="dxa" w:w="1560"/>
            <w:shd w:fill="E2E8F0" w:val="clear"/>
          </w:tcPr>
          <w:p>
            <w:pPr>
              <w:spacing w:before="60" w:after="60"/>
            </w:pPr>
            <w:r>
              <w:rPr>
                <w:rFonts w:ascii="Times New Roman" w:hAnsi="Times New Roman"/>
                <w:b/>
                <w:sz w:val="20"/>
              </w:rPr>
              <w:t>Tác động KB2</w:t>
            </w:r>
          </w:p>
        </w:tc>
        <w:tc>
          <w:tcPr>
            <w:tcW w:type="dxa" w:w="1560"/>
            <w:shd w:fill="E2E8F0" w:val="clear"/>
          </w:tcPr>
          <w:p>
            <w:pPr>
              <w:spacing w:before="60" w:after="60"/>
            </w:pPr>
            <w:r>
              <w:rPr>
                <w:rFonts w:ascii="Times New Roman" w:hAnsi="Times New Roman"/>
                <w:b/>
                <w:sz w:val="20"/>
              </w:rPr>
              <w:t>Mã gợi ý</w:t>
            </w:r>
          </w:p>
        </w:tc>
      </w:tr>
      <w:tr>
        <w:tc>
          <w:tcPr>
            <w:tcW w:type="dxa" w:w="1560"/>
          </w:tcPr>
          <w:p>
            <w:pPr>
              <w:spacing w:before="60" w:after="60"/>
            </w:pPr>
            <w:r>
              <w:rPr>
                <w:rFonts w:ascii="Times New Roman" w:hAnsi="Times New Roman"/>
                <w:sz w:val="20"/>
              </w:rPr>
              <w:t>Dầu khí</w:t>
            </w:r>
          </w:p>
        </w:tc>
        <w:tc>
          <w:tcPr>
            <w:tcW w:type="dxa" w:w="1560"/>
          </w:tcPr>
          <w:p>
            <w:pPr>
              <w:spacing w:before="60" w:after="60"/>
            </w:pPr>
            <w:r>
              <w:rPr>
                <w:rFonts w:ascii="Times New Roman" w:hAnsi="Times New Roman"/>
                <w:sz w:val="20"/>
              </w:rPr>
              <w:t>▲ Mua</w:t>
            </w:r>
          </w:p>
        </w:tc>
        <w:tc>
          <w:tcPr>
            <w:tcW w:type="dxa" w:w="1560"/>
          </w:tcPr>
          <w:p>
            <w:pPr>
              <w:spacing w:before="60" w:after="60"/>
            </w:pPr>
            <w:r>
              <w:rPr>
                <w:rFonts w:ascii="Times New Roman" w:hAnsi="Times New Roman"/>
                <w:sz w:val="20"/>
              </w:rPr>
              <w:t>Cao</w:t>
            </w:r>
          </w:p>
        </w:tc>
        <w:tc>
          <w:tcPr>
            <w:tcW w:type="dxa" w:w="1560"/>
          </w:tcPr>
          <w:p>
            <w:pPr>
              <w:spacing w:before="60" w:after="60"/>
            </w:pPr>
            <w:r>
              <w:rPr>
                <w:rFonts w:ascii="Times New Roman" w:hAnsi="Times New Roman"/>
                <w:sz w:val="20"/>
              </w:rPr>
              <w:t>Tăng vừa</w:t>
            </w:r>
          </w:p>
        </w:tc>
        <w:tc>
          <w:tcPr>
            <w:tcW w:type="dxa" w:w="1560"/>
          </w:tcPr>
          <w:p>
            <w:pPr>
              <w:spacing w:before="60" w:after="60"/>
            </w:pPr>
            <w:r>
              <w:rPr>
                <w:rFonts w:ascii="Times New Roman" w:hAnsi="Times New Roman"/>
                <w:sz w:val="20"/>
              </w:rPr>
              <w:t>Tăng mạnh</w:t>
            </w:r>
          </w:p>
        </w:tc>
        <w:tc>
          <w:tcPr>
            <w:tcW w:type="dxa" w:w="1560"/>
          </w:tcPr>
          <w:p>
            <w:pPr>
              <w:spacing w:before="60" w:after="60"/>
            </w:pPr>
            <w:r>
              <w:rPr>
                <w:rFonts w:ascii="Times New Roman" w:hAnsi="Times New Roman"/>
                <w:sz w:val="20"/>
              </w:rPr>
              <w:t>GAS, PVD, BSR</w:t>
            </w:r>
          </w:p>
        </w:tc>
      </w:tr>
      <w:tr>
        <w:tc>
          <w:tcPr>
            <w:tcW w:type="dxa" w:w="1560"/>
          </w:tcPr>
          <w:p>
            <w:pPr>
              <w:spacing w:before="60" w:after="60"/>
            </w:pPr>
            <w:r>
              <w:rPr>
                <w:rFonts w:ascii="Times New Roman" w:hAnsi="Times New Roman"/>
                <w:sz w:val="20"/>
              </w:rPr>
              <w:t>Phân bón, hóa chất</w:t>
            </w:r>
          </w:p>
        </w:tc>
        <w:tc>
          <w:tcPr>
            <w:tcW w:type="dxa" w:w="1560"/>
          </w:tcPr>
          <w:p>
            <w:pPr>
              <w:spacing w:before="60" w:after="60"/>
            </w:pPr>
            <w:r>
              <w:rPr>
                <w:rFonts w:ascii="Times New Roman" w:hAnsi="Times New Roman"/>
                <w:sz w:val="20"/>
              </w:rPr>
              <w:t>▲ Mua</w:t>
            </w:r>
          </w:p>
        </w:tc>
        <w:tc>
          <w:tcPr>
            <w:tcW w:type="dxa" w:w="1560"/>
          </w:tcPr>
          <w:p>
            <w:pPr>
              <w:spacing w:before="60" w:after="60"/>
            </w:pPr>
            <w:r>
              <w:rPr>
                <w:rFonts w:ascii="Times New Roman" w:hAnsi="Times New Roman"/>
                <w:sz w:val="20"/>
              </w:rPr>
              <w:t>Cao nhất</w:t>
            </w:r>
          </w:p>
        </w:tc>
        <w:tc>
          <w:tcPr>
            <w:tcW w:type="dxa" w:w="1560"/>
          </w:tcPr>
          <w:p>
            <w:pPr>
              <w:spacing w:before="60" w:after="60"/>
            </w:pPr>
            <w:r>
              <w:rPr>
                <w:rFonts w:ascii="Times New Roman" w:hAnsi="Times New Roman"/>
                <w:sz w:val="20"/>
              </w:rPr>
              <w:t>Tăng vừa</w:t>
            </w:r>
          </w:p>
        </w:tc>
        <w:tc>
          <w:tcPr>
            <w:tcW w:type="dxa" w:w="1560"/>
          </w:tcPr>
          <w:p>
            <w:pPr>
              <w:spacing w:before="60" w:after="60"/>
            </w:pPr>
            <w:r>
              <w:rPr>
                <w:rFonts w:ascii="Times New Roman" w:hAnsi="Times New Roman"/>
                <w:sz w:val="20"/>
              </w:rPr>
              <w:t>Tăng mạnh</w:t>
            </w:r>
          </w:p>
        </w:tc>
        <w:tc>
          <w:tcPr>
            <w:tcW w:type="dxa" w:w="1560"/>
          </w:tcPr>
          <w:p>
            <w:pPr>
              <w:spacing w:before="60" w:after="60"/>
            </w:pPr>
            <w:r>
              <w:rPr>
                <w:rFonts w:ascii="Times New Roman" w:hAnsi="Times New Roman"/>
                <w:sz w:val="20"/>
              </w:rPr>
              <w:t>DGC, DPM, DCM</w:t>
            </w:r>
          </w:p>
        </w:tc>
      </w:tr>
      <w:tr>
        <w:tc>
          <w:tcPr>
            <w:tcW w:type="dxa" w:w="1560"/>
          </w:tcPr>
          <w:p>
            <w:pPr>
              <w:spacing w:before="60" w:after="60"/>
            </w:pPr>
            <w:r>
              <w:rPr>
                <w:rFonts w:ascii="Times New Roman" w:hAnsi="Times New Roman"/>
                <w:sz w:val="20"/>
              </w:rPr>
              <w:t>Cảng, logistics</w:t>
            </w:r>
          </w:p>
        </w:tc>
        <w:tc>
          <w:tcPr>
            <w:tcW w:type="dxa" w:w="1560"/>
          </w:tcPr>
          <w:p>
            <w:pPr>
              <w:spacing w:before="60" w:after="60"/>
            </w:pPr>
            <w:r>
              <w:rPr>
                <w:rFonts w:ascii="Times New Roman" w:hAnsi="Times New Roman"/>
                <w:sz w:val="20"/>
              </w:rPr>
              <w:t>▲ Mua</w:t>
            </w:r>
          </w:p>
        </w:tc>
        <w:tc>
          <w:tcPr>
            <w:tcW w:type="dxa" w:w="1560"/>
          </w:tcPr>
          <w:p>
            <w:pPr>
              <w:spacing w:before="60" w:after="60"/>
            </w:pPr>
            <w:r>
              <w:rPr>
                <w:rFonts w:ascii="Times New Roman" w:hAnsi="Times New Roman"/>
                <w:sz w:val="20"/>
              </w:rPr>
              <w:t>Trung bình</w:t>
            </w:r>
          </w:p>
        </w:tc>
        <w:tc>
          <w:tcPr>
            <w:tcW w:type="dxa" w:w="1560"/>
          </w:tcPr>
          <w:p>
            <w:pPr>
              <w:spacing w:before="60" w:after="60"/>
            </w:pPr>
            <w:r>
              <w:rPr>
                <w:rFonts w:ascii="Times New Roman" w:hAnsi="Times New Roman"/>
                <w:sz w:val="20"/>
              </w:rPr>
              <w:t>Tăng nhẹ</w:t>
            </w:r>
          </w:p>
        </w:tc>
        <w:tc>
          <w:tcPr>
            <w:tcW w:type="dxa" w:w="1560"/>
          </w:tcPr>
          <w:p>
            <w:pPr>
              <w:spacing w:before="60" w:after="60"/>
            </w:pPr>
            <w:r>
              <w:rPr>
                <w:rFonts w:ascii="Times New Roman" w:hAnsi="Times New Roman"/>
                <w:sz w:val="20"/>
              </w:rPr>
              <w:t>Tăng vừa</w:t>
            </w:r>
          </w:p>
        </w:tc>
        <w:tc>
          <w:tcPr>
            <w:tcW w:type="dxa" w:w="1560"/>
          </w:tcPr>
          <w:p>
            <w:pPr>
              <w:spacing w:before="60" w:after="60"/>
            </w:pPr>
            <w:r>
              <w:rPr>
                <w:rFonts w:ascii="Times New Roman" w:hAnsi="Times New Roman"/>
                <w:sz w:val="20"/>
              </w:rPr>
              <w:t>GMD, PVT</w:t>
            </w:r>
          </w:p>
        </w:tc>
      </w:tr>
      <w:tr>
        <w:tc>
          <w:tcPr>
            <w:tcW w:type="dxa" w:w="1560"/>
          </w:tcPr>
          <w:p>
            <w:pPr>
              <w:spacing w:before="60" w:after="60"/>
            </w:pPr>
            <w:r>
              <w:rPr>
                <w:rFonts w:ascii="Times New Roman" w:hAnsi="Times New Roman"/>
                <w:sz w:val="20"/>
              </w:rPr>
              <w:t>Vàng</w:t>
            </w:r>
          </w:p>
        </w:tc>
        <w:tc>
          <w:tcPr>
            <w:tcW w:type="dxa" w:w="1560"/>
          </w:tcPr>
          <w:p>
            <w:pPr>
              <w:spacing w:before="60" w:after="60"/>
            </w:pPr>
            <w:r>
              <w:rPr>
                <w:rFonts w:ascii="Times New Roman" w:hAnsi="Times New Roman"/>
                <w:sz w:val="20"/>
              </w:rPr>
              <w:t>▲ Chiến thuật</w:t>
            </w:r>
          </w:p>
        </w:tc>
        <w:tc>
          <w:tcPr>
            <w:tcW w:type="dxa" w:w="1560"/>
          </w:tcPr>
          <w:p>
            <w:pPr>
              <w:spacing w:before="60" w:after="60"/>
            </w:pPr>
            <w:r>
              <w:rPr>
                <w:rFonts w:ascii="Times New Roman" w:hAnsi="Times New Roman"/>
                <w:sz w:val="20"/>
              </w:rPr>
              <w:t>Trung bình</w:t>
            </w:r>
          </w:p>
        </w:tc>
        <w:tc>
          <w:tcPr>
            <w:tcW w:type="dxa" w:w="1560"/>
          </w:tcPr>
          <w:p>
            <w:pPr>
              <w:spacing w:before="60" w:after="60"/>
            </w:pPr>
            <w:r>
              <w:rPr>
                <w:rFonts w:ascii="Times New Roman" w:hAnsi="Times New Roman"/>
                <w:sz w:val="20"/>
              </w:rPr>
              <w:t>Giảm dần</w:t>
            </w:r>
          </w:p>
        </w:tc>
        <w:tc>
          <w:tcPr>
            <w:tcW w:type="dxa" w:w="1560"/>
          </w:tcPr>
          <w:p>
            <w:pPr>
              <w:spacing w:before="60" w:after="60"/>
            </w:pPr>
            <w:r>
              <w:rPr>
                <w:rFonts w:ascii="Times New Roman" w:hAnsi="Times New Roman"/>
                <w:sz w:val="20"/>
              </w:rPr>
              <w:t>Giữ vững</w:t>
            </w:r>
          </w:p>
        </w:tc>
        <w:tc>
          <w:tcPr>
            <w:tcW w:type="dxa" w:w="1560"/>
          </w:tcPr>
          <w:p>
            <w:pPr>
              <w:spacing w:before="60" w:after="60"/>
            </w:pPr>
            <w:r>
              <w:rPr>
                <w:rFonts w:ascii="Times New Roman" w:hAnsi="Times New Roman"/>
                <w:sz w:val="20"/>
              </w:rPr>
              <w:t>Vàng vật chất</w:t>
            </w:r>
          </w:p>
        </w:tc>
      </w:tr>
      <w:tr>
        <w:tc>
          <w:tcPr>
            <w:tcW w:type="dxa" w:w="1560"/>
          </w:tcPr>
          <w:p>
            <w:pPr>
              <w:spacing w:before="60" w:after="60"/>
            </w:pPr>
            <w:r>
              <w:rPr>
                <w:rFonts w:ascii="Times New Roman" w:hAnsi="Times New Roman"/>
                <w:sz w:val="20"/>
              </w:rPr>
              <w:t>Hàng không</w:t>
            </w:r>
          </w:p>
        </w:tc>
        <w:tc>
          <w:tcPr>
            <w:tcW w:type="dxa" w:w="1560"/>
          </w:tcPr>
          <w:p>
            <w:pPr>
              <w:spacing w:before="60" w:after="60"/>
            </w:pPr>
            <w:r>
              <w:rPr>
                <w:rFonts w:ascii="Times New Roman" w:hAnsi="Times New Roman"/>
                <w:sz w:val="20"/>
              </w:rPr>
              <w:t>▼ Tránh</w:t>
            </w:r>
          </w:p>
        </w:tc>
        <w:tc>
          <w:tcPr>
            <w:tcW w:type="dxa" w:w="1560"/>
          </w:tcPr>
          <w:p>
            <w:pPr>
              <w:spacing w:before="60" w:after="60"/>
            </w:pPr>
            <w:r>
              <w:rPr>
                <w:rFonts w:ascii="Times New Roman" w:hAnsi="Times New Roman"/>
                <w:sz w:val="20"/>
              </w:rPr>
              <w:t>Cao</w:t>
            </w:r>
          </w:p>
        </w:tc>
        <w:tc>
          <w:tcPr>
            <w:tcW w:type="dxa" w:w="1560"/>
          </w:tcPr>
          <w:p>
            <w:pPr>
              <w:spacing w:before="60" w:after="60"/>
            </w:pPr>
            <w:r>
              <w:rPr>
                <w:rFonts w:ascii="Times New Roman" w:hAnsi="Times New Roman"/>
                <w:sz w:val="20"/>
              </w:rPr>
              <w:t>Giảm vừa</w:t>
            </w:r>
          </w:p>
        </w:tc>
        <w:tc>
          <w:tcPr>
            <w:tcW w:type="dxa" w:w="1560"/>
          </w:tcPr>
          <w:p>
            <w:pPr>
              <w:spacing w:before="60" w:after="60"/>
            </w:pPr>
            <w:r>
              <w:rPr>
                <w:rFonts w:ascii="Times New Roman" w:hAnsi="Times New Roman"/>
                <w:sz w:val="20"/>
              </w:rPr>
              <w:t>Giảm mạnh</w:t>
            </w:r>
          </w:p>
        </w:tc>
        <w:tc>
          <w:tcPr>
            <w:tcW w:type="dxa" w:w="1560"/>
          </w:tcPr>
          <w:p>
            <w:pPr>
              <w:spacing w:before="60" w:after="60"/>
            </w:pPr>
            <w:r>
              <w:rPr>
                <w:rFonts w:ascii="Times New Roman" w:hAnsi="Times New Roman"/>
                <w:sz w:val="20"/>
              </w:rPr>
              <w:t>Tránh HVN, VJC</w:t>
            </w:r>
          </w:p>
        </w:tc>
      </w:tr>
      <w:tr>
        <w:tc>
          <w:tcPr>
            <w:tcW w:type="dxa" w:w="1560"/>
          </w:tcPr>
          <w:p>
            <w:pPr>
              <w:spacing w:before="60" w:after="60"/>
            </w:pPr>
            <w:r>
              <w:rPr>
                <w:rFonts w:ascii="Times New Roman" w:hAnsi="Times New Roman"/>
                <w:sz w:val="20"/>
              </w:rPr>
              <w:t>Cao su, lốp</w:t>
            </w:r>
          </w:p>
        </w:tc>
        <w:tc>
          <w:tcPr>
            <w:tcW w:type="dxa" w:w="1560"/>
          </w:tcPr>
          <w:p>
            <w:pPr>
              <w:spacing w:before="60" w:after="60"/>
            </w:pPr>
            <w:r>
              <w:rPr>
                <w:rFonts w:ascii="Times New Roman" w:hAnsi="Times New Roman"/>
                <w:sz w:val="20"/>
              </w:rPr>
              <w:t>▼ Tránh</w:t>
            </w:r>
          </w:p>
        </w:tc>
        <w:tc>
          <w:tcPr>
            <w:tcW w:type="dxa" w:w="1560"/>
          </w:tcPr>
          <w:p>
            <w:pPr>
              <w:spacing w:before="60" w:after="60"/>
            </w:pPr>
            <w:r>
              <w:rPr>
                <w:rFonts w:ascii="Times New Roman" w:hAnsi="Times New Roman"/>
                <w:sz w:val="20"/>
              </w:rPr>
              <w:t>Cao</w:t>
            </w:r>
          </w:p>
        </w:tc>
        <w:tc>
          <w:tcPr>
            <w:tcW w:type="dxa" w:w="1560"/>
          </w:tcPr>
          <w:p>
            <w:pPr>
              <w:spacing w:before="60" w:after="60"/>
            </w:pPr>
            <w:r>
              <w:rPr>
                <w:rFonts w:ascii="Times New Roman" w:hAnsi="Times New Roman"/>
                <w:sz w:val="20"/>
              </w:rPr>
              <w:t>Giảm vừa</w:t>
            </w:r>
          </w:p>
        </w:tc>
        <w:tc>
          <w:tcPr>
            <w:tcW w:type="dxa" w:w="1560"/>
          </w:tcPr>
          <w:p>
            <w:pPr>
              <w:spacing w:before="60" w:after="60"/>
            </w:pPr>
            <w:r>
              <w:rPr>
                <w:rFonts w:ascii="Times New Roman" w:hAnsi="Times New Roman"/>
                <w:sz w:val="20"/>
              </w:rPr>
              <w:t>Giảm mạnh</w:t>
            </w:r>
          </w:p>
        </w:tc>
        <w:tc>
          <w:tcPr>
            <w:tcW w:type="dxa" w:w="1560"/>
          </w:tcPr>
          <w:p>
            <w:pPr>
              <w:spacing w:before="60" w:after="60"/>
            </w:pPr>
            <w:r>
              <w:rPr>
                <w:rFonts w:ascii="Times New Roman" w:hAnsi="Times New Roman"/>
                <w:sz w:val="20"/>
              </w:rPr>
              <w:t>Tránh CSM, DRC</w:t>
            </w:r>
          </w:p>
        </w:tc>
      </w:tr>
      <w:tr>
        <w:tc>
          <w:tcPr>
            <w:tcW w:type="dxa" w:w="1560"/>
          </w:tcPr>
          <w:p>
            <w:pPr>
              <w:spacing w:before="60" w:after="60"/>
            </w:pPr>
            <w:r>
              <w:rPr>
                <w:rFonts w:ascii="Times New Roman" w:hAnsi="Times New Roman"/>
                <w:sz w:val="20"/>
              </w:rPr>
              <w:t>Hàng tiêu dùng</w:t>
            </w:r>
          </w:p>
        </w:tc>
        <w:tc>
          <w:tcPr>
            <w:tcW w:type="dxa" w:w="1560"/>
          </w:tcPr>
          <w:p>
            <w:pPr>
              <w:spacing w:before="60" w:after="60"/>
            </w:pPr>
            <w:r>
              <w:rPr>
                <w:rFonts w:ascii="Times New Roman" w:hAnsi="Times New Roman"/>
                <w:sz w:val="20"/>
              </w:rPr>
              <w:t>▼ Giảm</w:t>
            </w:r>
          </w:p>
        </w:tc>
        <w:tc>
          <w:tcPr>
            <w:tcW w:type="dxa" w:w="1560"/>
          </w:tcPr>
          <w:p>
            <w:pPr>
              <w:spacing w:before="60" w:after="60"/>
            </w:pPr>
            <w:r>
              <w:rPr>
                <w:rFonts w:ascii="Times New Roman" w:hAnsi="Times New Roman"/>
                <w:sz w:val="20"/>
              </w:rPr>
              <w:t>Trung bình</w:t>
            </w:r>
          </w:p>
        </w:tc>
        <w:tc>
          <w:tcPr>
            <w:tcW w:type="dxa" w:w="1560"/>
          </w:tcPr>
          <w:p>
            <w:pPr>
              <w:spacing w:before="60" w:after="60"/>
            </w:pPr>
            <w:r>
              <w:rPr>
                <w:rFonts w:ascii="Times New Roman" w:hAnsi="Times New Roman"/>
                <w:sz w:val="20"/>
              </w:rPr>
              <w:t>Giảm nhẹ</w:t>
            </w:r>
          </w:p>
        </w:tc>
        <w:tc>
          <w:tcPr>
            <w:tcW w:type="dxa" w:w="1560"/>
          </w:tcPr>
          <w:p>
            <w:pPr>
              <w:spacing w:before="60" w:after="60"/>
            </w:pPr>
            <w:r>
              <w:rPr>
                <w:rFonts w:ascii="Times New Roman" w:hAnsi="Times New Roman"/>
                <w:sz w:val="20"/>
              </w:rPr>
              <w:t>Giảm vừa</w:t>
            </w:r>
          </w:p>
        </w:tc>
        <w:tc>
          <w:tcPr>
            <w:tcW w:type="dxa" w:w="1560"/>
          </w:tcPr>
          <w:p>
            <w:pPr>
              <w:spacing w:before="60" w:after="60"/>
            </w:pPr>
            <w:r>
              <w:rPr>
                <w:rFonts w:ascii="Times New Roman" w:hAnsi="Times New Roman"/>
                <w:sz w:val="20"/>
              </w:rPr>
              <w:t>Chọn lọc</w:t>
            </w:r>
          </w:p>
        </w:tc>
      </w:tr>
    </w:tbl>
    <w:p>
      <w:pPr>
        <w:spacing w:before="0" w:after="80"/>
      </w:pP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Quản trị rủi ro</w:t>
      </w:r>
    </w:p>
    <w:p>
      <w:pPr>
        <w:spacing w:after="40" w:before="20"/>
        <w:ind w:left="720" w:hanging="357"/>
      </w:pPr>
      <w:r>
        <w:t xml:space="preserve">1. </w:t>
      </w:r>
      <w:r>
        <w:t>Tỷ trọng vị thế. Đây là giao dịch dựa trên sự kiện địa chính trị, mang tính hai mặt rõ ràng. Giữ tỷ trọng thận trọng, không quá 5-10% danh mục cho mỗi mã.</w:t>
      </w:r>
    </w:p>
    <w:p>
      <w:pPr>
        <w:spacing w:after="40" w:before="20"/>
        <w:ind w:left="720" w:hanging="357"/>
      </w:pPr>
      <w:r>
        <w:t xml:space="preserve">2. </w:t>
      </w:r>
      <w:r>
        <w:t>Cắt lỗ. Thiết lập mức cắt lỗ rõ ràng, đặc biệt với nhóm dầu khí vì có thể đảo chiều nhanh nếu ngừng bắn được công bố.</w:t>
      </w:r>
    </w:p>
    <w:p>
      <w:pPr>
        <w:spacing w:after="40" w:before="20"/>
        <w:ind w:left="720" w:hanging="357"/>
      </w:pPr>
      <w:r>
        <w:t xml:space="preserve">3. </w:t>
      </w:r>
      <w:r>
        <w:t>Theo dõi hằng ngày. Các chỉ số then chốt cần theo dõi bao gồm giá dầu Brent, lưu lượng tàu qua Hormuz (Lloyd’s List), giá ure FOB và dữ liệu dòng vốn ngoại trên VN-Index.</w:t>
      </w:r>
    </w:p>
    <w:p>
      <w:pPr>
        <w:spacing w:after="40" w:before="20"/>
        <w:ind w:left="720" w:hanging="357"/>
      </w:pPr>
      <w:r>
        <w:t xml:space="preserve">4. </w:t>
      </w:r>
      <w:r>
        <w:t>Điểm kích hoạt kịch bản. Nếu Trump công bố ngừng bắn hoặc Hormuz mở lại trong 7 ngày, chốt lời ngay các vị thế hàng hóa. Nếu xung đột bước sang tuần thứ 3, tăng vị thế phân bón và DGC khi các công ty chứng khoán bắt đầu điều chỉnh ước tính lợi nhuận.</w:t>
      </w:r>
    </w:p>
    <w:p>
      <w:pPr>
        <w:spacing w:after="40" w:before="20"/>
        <w:ind w:left="720" w:hanging="357"/>
      </w:pPr>
      <w:r>
        <w:t xml:space="preserve">5. </w:t>
      </w:r>
      <w:r>
        <w:t>Đa dạng hóa. Không tập trung toàn bộ vào nhóm hưởng lợi từ chiến tranh. Giữ danh mục cốt lõi ở các ngành hướng nội địa, không phụ thuộc hàng hóa.</w:t>
      </w: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Tài liệu tham khảo</w:t>
      </w:r>
    </w:p>
    <w:p>
      <w:r>
        <w:t xml:space="preserve">[^1]: Jones, C. và Almeida, L. (02/03/2026). “Gas prices soar and oil jumps as Iran war pushes down global stock markets.” </w:t>
      </w:r>
      <w:r>
        <w:rPr>
          <w:i/>
        </w:rPr>
        <w:t>The Guardian</w:t>
      </w:r>
      <w:r>
        <w:t>. https://www.theguardian.com/world/2026/mar/02/oil-prices-iran-war-strait-of-hormuz-shipping</w:t>
      </w:r>
    </w:p>
    <w:p>
      <w:r>
        <w:t xml:space="preserve">[^2]: Davies, R. và các tác giả (02/03/2026). “How escalating Iran conflict is driving up oil and gas prices – a visual guide.” </w:t>
      </w:r>
      <w:r>
        <w:rPr>
          <w:i/>
        </w:rPr>
        <w:t>The Guardian</w:t>
      </w:r>
      <w:r>
        <w:t>. https://www.theguardian.com/world/2026/mar/02/iran-strait-of-hormuz-oil-gas-visualized</w:t>
      </w:r>
    </w:p>
    <w:p>
      <w:r>
        <w:t xml:space="preserve">[^3]: Brzeski, C. và các tác giả (02/03/2026). “War in the Middle East – implications for markets and macro.” </w:t>
      </w:r>
      <w:r>
        <w:rPr>
          <w:i/>
        </w:rPr>
        <w:t>ING THINK</w:t>
      </w:r>
      <w:r>
        <w:t>. https://think.ing.com/articles/war-in-the-middle-east-implications-for-markets-and-macro/</w:t>
      </w:r>
    </w:p>
    <w:p>
      <w:r>
        <w:t>[^4]: The Guardian (02/03/2026). Vàng tăng 2,5% lên 5.408 USD/oz, dẫn từ [^1].</w:t>
      </w:r>
    </w:p>
    <w:p>
      <w:r>
        <w:t>[^5]: Tổng hợp từ VnExpress, Vietnam.vn, Lao Động (03/03/2026). Giá vàng SJC vượt 190 triệu VND/lượng, chênh lệch khoảng 21,7 triệu VND so với giá quốc tế quy đổi.</w:t>
      </w:r>
    </w:p>
    <w:p>
      <w:r>
        <w:t>[^6]: The Investor Vietnam (03/2026). “Vietnam stocks: Oil and gas, fertilizer sectors among beneficiaries amid Middle East tensions.” theinvestor.vn.</w:t>
      </w:r>
    </w:p>
    <w:p>
      <w:r>
        <w:t>[^7]: Tổng hợp nhận định từ Tuổi Trẻ, Lao Động, ZNews, VnExpress, Người quan sát, 24h Money (01-03/03/2026). Các chuyên gia chứng khoán Việt Nam xác định GAS, PVD, PVS, BSR, PLX, DPM, DCM, BFC, DGC là nhóm mã hưởng lợi.</w:t>
      </w:r>
    </w:p>
    <w:p>
      <w:r>
        <w:t>[^8]: Tổng hợp từ Producer.com, Morningstar, Michigan Farm News, FarmProgress (truy cập 02-03/03/2026). Ure FOB New Orleans khoảng 606 USD/tấn (tăng 77 USD), FOB Ai Cập khoảng 550 USD/tấn (tăng 13%). Iran chiếm khoảng 10% xuất khẩu ure toàn cầu. Khoảng 1/3 thương mại phân bón thế giới đi qua Hormuz. Bắc bán cầu đang vào mùa gieo trồng.</w:t>
      </w:r>
    </w:p>
    <w:p>
      <w:r>
        <w:t>[^9]: Illinois.edu, Farmprogress.com (03/2026). Trung Đông chiếm khoảng 33% xuất khẩu phân đạm thế giới. 5 quốc gia kiểm soát 85-90% xuất khẩu phosphate bị ảnh hưởng bởi gián đoạn Hormuz.</w:t>
      </w:r>
    </w:p>
    <w:p>
      <w:r>
        <w:t>[^10]: The Investor VN, MBS Securities, VNDirect, Yuanta Securities (báo cáo 2025-2026). DGC là nhà xuất khẩu P4 lớn nhất châu Á; tự chủ nguồn apatit. Trung Quốc tiếp tục hạn chế xuất khẩu phosphate. Nhà máy xút Nghi Sơn mới của DGC bắt đầu vận hành thương mại quý 1/2026.</w:t>
      </w:r>
    </w:p>
    <w:p>
      <w:r>
        <w:t>[^11]: CafeF, Người quan sát (2026). DCM (Đạm Cà Mau) được đánh giá triển vọng 2026 tích cực nhờ đa dạng hóa sản phẩm và kiểm soát chi phí.</w:t>
      </w:r>
    </w:p>
    <w:p>
      <w:r>
        <w:t>[^12]: Vietnamnet (2026). Hãng hàng không đối mặt chi phí nhiên liệu tăng mạnh và gián đoạn tuyến bay do không phận vùng Vịnh đóng cửa, tương tự tác động trong giai đoạn xung đột Nga-Ukraine.</w:t>
      </w:r>
    </w:p>
    <w:p>
      <w:r>
        <w:t>[^13]: Tổng hợp từ Automotive Manufacturing Solutions, Kpler, Business Today India (truy cập 03/03/2026). Chi phí nguyên liệu hóa dầu cho sản xuất lốp dự kiến tăng 15-25% trong kịch bản gián đoạn kéo dài. Thuế chống bán phá giá hiện hành của Mỹ đối với lốp xe từ châu Á: 26-46%.</w:t>
      </w:r>
    </w:p>
    <w:p>
      <w:r>
        <w:t>[^14]: S&amp;P Global, BNN Bloomberg, Tax Foundation (02/2026). Mỹ áp thuế nhập khẩu 10% theo Mục 122, Đạo luật Thương mại 1974, có hiệu lực từ 24/02/2026, thời hạn 150 ngày, có thể tăng lên 15%.</w:t>
      </w:r>
    </w:p>
    <w:p>
      <w:pPr>
        <w:spacing w:before="120" w:after="120"/>
        <w:pBdr>
          <w:bottom w:val="single" w:sz="12" w:space="1" w:color="CCCCCC"/>
        </w:pBdr>
      </w:pPr>
    </w:p>
    <w:p>
      <w:r>
        <w:rPr>
          <w:i/>
        </w:rPr>
        <w:t>Tài liệu được soạn ngày 03/03/2026. Tình hình xung đột diễn biến rất nhanh, mọi đánh giá có thể thay đổi. Đây không phải khuyến nghị đầu tư.</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276"/>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