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27998900"/>
        <w:docPartObj>
          <w:docPartGallery w:val="Cover Pages"/>
          <w:docPartUnique/>
        </w:docPartObj>
      </w:sdtPr>
      <w:sdtEndPr>
        <w:rPr>
          <w:rFonts w:ascii="Lucida Console" w:eastAsia="Times New Roman" w:hAnsi="Lucida Console" w:cs="Courier New"/>
          <w:caps w:val="0"/>
          <w:color w:val="000000"/>
          <w:sz w:val="20"/>
          <w:szCs w:val="2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C79A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4EEEBCD5A604F34B41EE53FD5450D4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C79AE" w:rsidRDefault="003C79A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Rutgers university</w:t>
                    </w:r>
                  </w:p>
                </w:tc>
              </w:sdtContent>
            </w:sdt>
          </w:tr>
          <w:tr w:rsidR="003C79A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B7E9E330E284682A40422DAEF79BD6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79AE" w:rsidRDefault="003C79AE" w:rsidP="003C79A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Problem Set 5</w:t>
                    </w:r>
                  </w:p>
                </w:tc>
              </w:sdtContent>
            </w:sdt>
          </w:tr>
          <w:tr w:rsidR="003C79A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ECCF24ABB5846F78A78C97799B6FB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C79AE" w:rsidRDefault="003C79AE" w:rsidP="003C79A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Econ 510</w:t>
                    </w:r>
                  </w:p>
                </w:tc>
              </w:sdtContent>
            </w:sdt>
          </w:tr>
          <w:tr w:rsidR="003C79A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79AE" w:rsidRDefault="003C79AE">
                <w:pPr>
                  <w:pStyle w:val="NoSpacing"/>
                  <w:jc w:val="center"/>
                </w:pPr>
              </w:p>
            </w:tc>
          </w:tr>
          <w:tr w:rsidR="003C79AE">
            <w:trPr>
              <w:trHeight w:val="360"/>
              <w:jc w:val="center"/>
            </w:trPr>
            <w:sdt>
              <w:sdtPr>
                <w:rPr>
                  <w:b/>
                  <w:bCs/>
                  <w:sz w:val="40"/>
                  <w:szCs w:val="40"/>
                </w:rPr>
                <w:alias w:val="Author"/>
                <w:id w:val="15524260"/>
                <w:placeholder>
                  <w:docPart w:val="713A633C4CAE41C08762D58E918A534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C79AE" w:rsidRDefault="003C79A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3C79AE">
                      <w:rPr>
                        <w:b/>
                        <w:bCs/>
                        <w:sz w:val="40"/>
                        <w:szCs w:val="40"/>
                      </w:rPr>
                      <w:t>Arinze</w:t>
                    </w:r>
                    <w:proofErr w:type="spellEnd"/>
                    <w:r w:rsidRPr="003C79AE">
                      <w:rPr>
                        <w:b/>
                        <w:bCs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3C79AE">
                      <w:rPr>
                        <w:b/>
                        <w:bCs/>
                        <w:sz w:val="40"/>
                        <w:szCs w:val="40"/>
                      </w:rPr>
                      <w:t>Nwoye</w:t>
                    </w:r>
                    <w:proofErr w:type="spellEnd"/>
                  </w:p>
                </w:tc>
              </w:sdtContent>
            </w:sdt>
          </w:tr>
          <w:tr w:rsidR="003C79A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92A92B2278B4A8FB382B07974E381F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0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C79AE" w:rsidRDefault="003C79A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10/26/2015</w:t>
                    </w:r>
                  </w:p>
                </w:tc>
              </w:sdtContent>
            </w:sdt>
          </w:tr>
        </w:tbl>
        <w:p w:rsidR="003C79AE" w:rsidRDefault="003C79AE"/>
        <w:p w:rsidR="003C79AE" w:rsidRDefault="003C79A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C79AE">
            <w:tc>
              <w:tcPr>
                <w:tcW w:w="5000" w:type="pct"/>
              </w:tcPr>
              <w:p w:rsidR="003C79AE" w:rsidRDefault="003C79AE" w:rsidP="003C79AE">
                <w:pPr>
                  <w:pStyle w:val="NoSpacing"/>
                </w:pPr>
                <w:bookmarkStart w:id="0" w:name="_GoBack"/>
                <w:bookmarkEnd w:id="0"/>
              </w:p>
            </w:tc>
          </w:tr>
        </w:tbl>
        <w:p w:rsidR="003C79AE" w:rsidRDefault="003C79AE"/>
        <w:p w:rsidR="003C79AE" w:rsidRDefault="003C79AE">
          <w:pPr>
            <w:rPr>
              <w:rFonts w:ascii="Lucida Console" w:eastAsia="Times New Roman" w:hAnsi="Lucida Console" w:cs="Courier New"/>
              <w:color w:val="000000"/>
              <w:sz w:val="20"/>
              <w:szCs w:val="20"/>
            </w:rPr>
          </w:pPr>
          <w:r>
            <w:rPr>
              <w:rFonts w:ascii="Lucida Console" w:eastAsia="Times New Roman" w:hAnsi="Lucida Console" w:cs="Courier New"/>
              <w:color w:val="000000"/>
              <w:sz w:val="20"/>
              <w:szCs w:val="20"/>
            </w:rPr>
            <w:br w:type="page"/>
          </w:r>
        </w:p>
      </w:sdtContent>
    </w:sdt>
    <w:p w:rsidR="00851609" w:rsidRDefault="00851609" w:rsidP="00851609">
      <w:pPr>
        <w:ind w:left="360" w:hanging="360"/>
      </w:pPr>
      <w:r>
        <w:lastRenderedPageBreak/>
        <w:t xml:space="preserve">1a) </w:t>
      </w:r>
      <w:proofErr w:type="gramStart"/>
      <w:r>
        <w:t>The</w:t>
      </w:r>
      <w:proofErr w:type="gramEnd"/>
      <w:r>
        <w:t xml:space="preserve"> data uses UK GDP series from 1977 quarter 1 till 2015 quarter 1. We estimate a two state, </w:t>
      </w:r>
      <w:proofErr w:type="gramStart"/>
      <w:r>
        <w:t>AR(</w:t>
      </w:r>
      <w:proofErr w:type="gramEnd"/>
      <w:r>
        <w:t xml:space="preserve">4) model for the GDP growth process allowing the AR coefficients to vary across regimes. The table of transition probabilities from the estimation is as follows: </w:t>
      </w:r>
      <w:r>
        <w:tab/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1060"/>
        <w:gridCol w:w="1164"/>
        <w:gridCol w:w="1164"/>
      </w:tblGrid>
      <w:tr w:rsidR="00851609" w:rsidTr="00851609">
        <w:tc>
          <w:tcPr>
            <w:tcW w:w="0" w:type="auto"/>
          </w:tcPr>
          <w:p w:rsidR="00851609" w:rsidRDefault="00851609" w:rsidP="00851609"/>
        </w:tc>
        <w:tc>
          <w:tcPr>
            <w:tcW w:w="0" w:type="auto"/>
          </w:tcPr>
          <w:p w:rsidR="00851609" w:rsidRPr="00851609" w:rsidRDefault="00851609" w:rsidP="00851609">
            <w:pPr>
              <w:rPr>
                <w:b/>
              </w:rPr>
            </w:pPr>
            <w:r w:rsidRPr="00851609">
              <w:rPr>
                <w:b/>
              </w:rPr>
              <w:t>Regime 1</w:t>
            </w:r>
          </w:p>
        </w:tc>
        <w:tc>
          <w:tcPr>
            <w:tcW w:w="0" w:type="auto"/>
          </w:tcPr>
          <w:p w:rsidR="00851609" w:rsidRPr="00851609" w:rsidRDefault="00851609" w:rsidP="00851609">
            <w:pPr>
              <w:rPr>
                <w:b/>
              </w:rPr>
            </w:pPr>
            <w:r w:rsidRPr="00851609">
              <w:rPr>
                <w:b/>
              </w:rPr>
              <w:t>Regime 2</w:t>
            </w:r>
          </w:p>
        </w:tc>
      </w:tr>
      <w:tr w:rsidR="00851609" w:rsidTr="00851609">
        <w:tc>
          <w:tcPr>
            <w:tcW w:w="0" w:type="auto"/>
          </w:tcPr>
          <w:p w:rsidR="00851609" w:rsidRPr="00851609" w:rsidRDefault="00851609" w:rsidP="00851609">
            <w:pPr>
              <w:rPr>
                <w:b/>
              </w:rPr>
            </w:pPr>
            <w:r w:rsidRPr="00851609">
              <w:rPr>
                <w:b/>
              </w:rPr>
              <w:t>Regime 1</w:t>
            </w:r>
          </w:p>
        </w:tc>
        <w:tc>
          <w:tcPr>
            <w:tcW w:w="0" w:type="auto"/>
          </w:tcPr>
          <w:p w:rsidR="00851609" w:rsidRDefault="00851609" w:rsidP="00851609">
            <w:r>
              <w:t>0.8898512</w:t>
            </w:r>
          </w:p>
        </w:tc>
        <w:tc>
          <w:tcPr>
            <w:tcW w:w="0" w:type="auto"/>
          </w:tcPr>
          <w:p w:rsidR="00851609" w:rsidRDefault="00851609" w:rsidP="00851609">
            <w:r>
              <w:t>0.4105902</w:t>
            </w:r>
          </w:p>
        </w:tc>
      </w:tr>
      <w:tr w:rsidR="00851609" w:rsidTr="00851609">
        <w:tc>
          <w:tcPr>
            <w:tcW w:w="0" w:type="auto"/>
          </w:tcPr>
          <w:p w:rsidR="00851609" w:rsidRPr="00851609" w:rsidRDefault="00851609" w:rsidP="00851609">
            <w:pPr>
              <w:rPr>
                <w:b/>
              </w:rPr>
            </w:pPr>
            <w:r w:rsidRPr="00851609">
              <w:rPr>
                <w:b/>
              </w:rPr>
              <w:t>Regime 2</w:t>
            </w:r>
          </w:p>
        </w:tc>
        <w:tc>
          <w:tcPr>
            <w:tcW w:w="0" w:type="auto"/>
          </w:tcPr>
          <w:p w:rsidR="00851609" w:rsidRDefault="00851609" w:rsidP="00851609">
            <w:r>
              <w:t>0.1101488</w:t>
            </w:r>
          </w:p>
        </w:tc>
        <w:tc>
          <w:tcPr>
            <w:tcW w:w="0" w:type="auto"/>
          </w:tcPr>
          <w:p w:rsidR="00851609" w:rsidRDefault="00851609" w:rsidP="00851609">
            <w:r>
              <w:t>0.5894098</w:t>
            </w:r>
          </w:p>
        </w:tc>
      </w:tr>
    </w:tbl>
    <w:p w:rsidR="00851609" w:rsidRDefault="00851609" w:rsidP="00851609">
      <w:pPr>
        <w:ind w:left="360" w:hanging="360"/>
      </w:pPr>
      <w:r>
        <w:tab/>
      </w:r>
    </w:p>
    <w:p w:rsidR="00851609" w:rsidRDefault="00851609" w:rsidP="00851609">
      <w:pPr>
        <w:ind w:left="360" w:hanging="360"/>
      </w:pPr>
      <w:r>
        <w:t xml:space="preserve">1b) </w:t>
      </w:r>
      <w:proofErr w:type="gramStart"/>
      <w:r w:rsidR="00912DEA">
        <w:t>Below</w:t>
      </w:r>
      <w:proofErr w:type="gramEnd"/>
      <w:r w:rsidR="00912DEA">
        <w:t xml:space="preserve"> is a plot of the filtered </w:t>
      </w:r>
      <w:r w:rsidR="003C4AF6">
        <w:t xml:space="preserve">and smooth probabilities. Regime 1 is the expansionary regime and Regime 2 is the recession regime. </w:t>
      </w:r>
    </w:p>
    <w:p w:rsidR="00912DEA" w:rsidRDefault="00912DEA" w:rsidP="00851609">
      <w:pPr>
        <w:ind w:left="360" w:hanging="360"/>
      </w:pPr>
      <w:r>
        <w:tab/>
      </w:r>
      <w:r>
        <w:rPr>
          <w:noProof/>
        </w:rPr>
        <w:drawing>
          <wp:inline distT="0" distB="0" distL="0" distR="0" wp14:anchorId="5896631B" wp14:editId="1C64F0F5">
            <wp:extent cx="6134100" cy="414838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1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B3" w:rsidRDefault="001D4FB3" w:rsidP="00851609">
      <w:pPr>
        <w:ind w:left="360" w:hanging="360"/>
      </w:pPr>
    </w:p>
    <w:p w:rsidR="001D4FB3" w:rsidRDefault="001D4FB3" w:rsidP="00851609">
      <w:pPr>
        <w:ind w:left="360" w:hanging="360"/>
      </w:pPr>
    </w:p>
    <w:p w:rsidR="001D4FB3" w:rsidRDefault="001D4FB3" w:rsidP="00851609">
      <w:pPr>
        <w:ind w:left="360" w:hanging="360"/>
      </w:pPr>
    </w:p>
    <w:p w:rsidR="001D4FB3" w:rsidRDefault="001D4FB3" w:rsidP="00851609">
      <w:pPr>
        <w:ind w:left="360" w:hanging="360"/>
      </w:pPr>
    </w:p>
    <w:p w:rsidR="001D4FB3" w:rsidRDefault="001D4FB3" w:rsidP="00851609">
      <w:pPr>
        <w:ind w:left="360" w:hanging="360"/>
      </w:pPr>
    </w:p>
    <w:p w:rsidR="001D4FB3" w:rsidRDefault="001D4FB3" w:rsidP="00851609">
      <w:pPr>
        <w:ind w:left="360" w:hanging="360"/>
      </w:pPr>
    </w:p>
    <w:p w:rsidR="001D4FB3" w:rsidRDefault="00912DEA" w:rsidP="00851609">
      <w:pPr>
        <w:ind w:left="360" w:hanging="360"/>
      </w:pPr>
      <w:r>
        <w:t>1c)</w:t>
      </w:r>
      <w:r>
        <w:tab/>
      </w:r>
      <w:proofErr w:type="gramStart"/>
      <w:r w:rsidR="00706F8E">
        <w:t>The</w:t>
      </w:r>
      <w:proofErr w:type="gramEnd"/>
      <w:r w:rsidR="00706F8E">
        <w:t xml:space="preserve"> left </w:t>
      </w:r>
      <w:r w:rsidR="00C9525B">
        <w:t>table</w:t>
      </w:r>
      <w:r w:rsidR="00706F8E">
        <w:t xml:space="preserve"> below is</w:t>
      </w:r>
      <w:r w:rsidR="00C9525B">
        <w:t xml:space="preserve"> UK Quarterly Recession</w:t>
      </w:r>
      <w:r w:rsidR="00706F8E">
        <w:t xml:space="preserve"> Dates</w:t>
      </w:r>
      <w:r w:rsidR="00C9525B">
        <w:t xml:space="preserve"> derived from the model and assuming a smoothed probability of 50% or more is a recession. </w:t>
      </w:r>
      <w:r w:rsidR="00706F8E">
        <w:t>The right table is US Monthly Recession dates as gotten from NBER. Comparing the recessions of the US and the UK using the tables below, both the US and t</w:t>
      </w:r>
      <w:r w:rsidR="003874A2">
        <w:t>he UK had a recession in the third</w:t>
      </w:r>
      <w:r w:rsidR="00706F8E">
        <w:t xml:space="preserve"> quarter of 198</w:t>
      </w:r>
      <w:r w:rsidR="003874A2">
        <w:t>2</w:t>
      </w:r>
      <w:r w:rsidR="00706F8E">
        <w:t>. Both countries a</w:t>
      </w:r>
      <w:r w:rsidR="003874A2">
        <w:t xml:space="preserve">lso had recessions in the third and fourth quarters of 2008 and the first quarter of 2009. </w:t>
      </w:r>
    </w:p>
    <w:p w:rsidR="00912DEA" w:rsidRDefault="00C9525B" w:rsidP="00851609">
      <w:pPr>
        <w:ind w:left="360" w:hanging="360"/>
      </w:pPr>
      <w:r w:rsidRPr="00C9525B">
        <w:drawing>
          <wp:inline distT="0" distB="0" distL="0" distR="0" wp14:anchorId="677CB1EE" wp14:editId="35C2E9E1">
            <wp:extent cx="6048375" cy="530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561" cy="530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ED" w:rsidRDefault="00FF5EED" w:rsidP="00851609">
      <w:pPr>
        <w:ind w:left="360" w:hanging="360"/>
      </w:pPr>
    </w:p>
    <w:p w:rsidR="00FF5EED" w:rsidRDefault="00FF5EED" w:rsidP="00851609">
      <w:pPr>
        <w:ind w:left="360" w:hanging="360"/>
      </w:pPr>
    </w:p>
    <w:p w:rsidR="00FF5EED" w:rsidRDefault="00FF5EED" w:rsidP="00851609">
      <w:pPr>
        <w:ind w:left="360" w:hanging="360"/>
      </w:pPr>
    </w:p>
    <w:p w:rsidR="00FF5EED" w:rsidRDefault="00FF5EED" w:rsidP="00851609">
      <w:pPr>
        <w:ind w:left="360" w:hanging="360"/>
      </w:pPr>
    </w:p>
    <w:p w:rsidR="00FF5EED" w:rsidRDefault="00FF5EED" w:rsidP="00851609">
      <w:pPr>
        <w:ind w:left="360" w:hanging="360"/>
      </w:pPr>
    </w:p>
    <w:p w:rsidR="00FF5EED" w:rsidRDefault="003874A2" w:rsidP="00851609">
      <w:pPr>
        <w:ind w:left="360" w:hanging="360"/>
      </w:pPr>
      <w:r>
        <w:t xml:space="preserve">1d) </w:t>
      </w:r>
      <w:r w:rsidR="00D20B6F">
        <w:t xml:space="preserve">I also compare the quarters that the UK and the US are in recession using the alternative rule that a UK recession is two consecutive quarters of negative growth. </w:t>
      </w:r>
      <w:r w:rsidR="00474BFB">
        <w:t xml:space="preserve">The table below shows all the dates where the UK experienced negative growth. A look through the table for consecutive dates (quarters) will reveal consecutive quarters of negative growth. </w:t>
      </w:r>
    </w:p>
    <w:p w:rsidR="00474BFB" w:rsidRDefault="00474BFB" w:rsidP="00851609">
      <w:pPr>
        <w:ind w:left="360" w:hanging="360"/>
      </w:pPr>
      <w:r>
        <w:tab/>
        <w:t xml:space="preserve">I compare the table below with the right table above of US recession. Both countries experience a recession in the first two quarters of 1980. </w:t>
      </w:r>
      <w:r w:rsidR="003E48FE">
        <w:t xml:space="preserve">The US and the UK also experience a recession in the third and fourth quarters of 1990 and the first quarter of 1991. Finally, both countries also experience recessions in the second, third and fourth quarters of 2008. </w:t>
      </w:r>
      <w:proofErr w:type="gramStart"/>
      <w:r w:rsidR="003E48FE">
        <w:t>Also in the first and second quarters of 2009.</w:t>
      </w:r>
      <w:proofErr w:type="gramEnd"/>
      <w:r w:rsidR="003E48FE">
        <w:t xml:space="preserve"> </w:t>
      </w:r>
    </w:p>
    <w:p w:rsidR="00FF5EED" w:rsidRDefault="00FF5EED" w:rsidP="00851609">
      <w:pPr>
        <w:ind w:left="360" w:hanging="360"/>
      </w:pPr>
      <w:r>
        <w:t xml:space="preserve">          </w:t>
      </w:r>
      <w:r w:rsidRPr="00FF5EED">
        <w:drawing>
          <wp:inline distT="0" distB="0" distL="0" distR="0" wp14:anchorId="11931E3B" wp14:editId="53FB6778">
            <wp:extent cx="1514475" cy="406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4A2" w:rsidRDefault="003874A2" w:rsidP="00851609">
      <w:pPr>
        <w:ind w:left="360" w:hanging="360"/>
      </w:pPr>
    </w:p>
    <w:p w:rsidR="00FD74F3" w:rsidRDefault="00FD74F3" w:rsidP="00851609">
      <w:pPr>
        <w:ind w:left="360" w:hanging="360"/>
      </w:pPr>
    </w:p>
    <w:p w:rsidR="00FD74F3" w:rsidRDefault="00FD74F3" w:rsidP="00851609">
      <w:pPr>
        <w:ind w:left="360" w:hanging="360"/>
      </w:pPr>
    </w:p>
    <w:p w:rsidR="00FD74F3" w:rsidRDefault="00FD74F3" w:rsidP="00851609">
      <w:pPr>
        <w:ind w:left="360" w:hanging="360"/>
      </w:pPr>
    </w:p>
    <w:p w:rsidR="00FD74F3" w:rsidRDefault="00FD74F3" w:rsidP="00851609">
      <w:pPr>
        <w:ind w:left="360" w:hanging="360"/>
      </w:pPr>
    </w:p>
    <w:p w:rsidR="00FD74F3" w:rsidRDefault="003E48FE" w:rsidP="00851609">
      <w:pPr>
        <w:ind w:left="360" w:hanging="360"/>
      </w:pPr>
      <w:r>
        <w:lastRenderedPageBreak/>
        <w:t xml:space="preserve">2a)  </w:t>
      </w:r>
      <w:proofErr w:type="gramStart"/>
      <w:r w:rsidR="00FD74F3">
        <w:t>The</w:t>
      </w:r>
      <w:proofErr w:type="gramEnd"/>
      <w:r w:rsidR="00FD74F3">
        <w:t xml:space="preserve"> graph of the series below is the expected values of the growth rate constructed using the filtered probabilities and the conditional means of the two regimes.</w:t>
      </w:r>
    </w:p>
    <w:p w:rsidR="00851609" w:rsidRDefault="00851609" w:rsidP="00851609">
      <w:pPr>
        <w:ind w:left="360" w:hanging="360"/>
      </w:pPr>
      <w:r>
        <w:tab/>
      </w:r>
      <w:r w:rsidR="00FD74F3">
        <w:rPr>
          <w:noProof/>
        </w:rPr>
        <w:drawing>
          <wp:inline distT="0" distB="0" distL="0" distR="0" wp14:anchorId="6EBD3C9C" wp14:editId="6CCB1A97">
            <wp:extent cx="5629275" cy="3524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2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F3" w:rsidRDefault="00FD74F3" w:rsidP="00851609">
      <w:pPr>
        <w:ind w:left="360" w:hanging="360"/>
      </w:pPr>
      <w:r>
        <w:t xml:space="preserve">2b)  </w:t>
      </w:r>
      <w:r w:rsidR="00047DDC">
        <w:t>I</w:t>
      </w:r>
      <w:r w:rsidR="000E5130">
        <w:t xml:space="preserve"> construct the residuals from the difference between UK GDP Growth (</w:t>
      </w:r>
      <w:proofErr w:type="spellStart"/>
      <w:proofErr w:type="gramStart"/>
      <w:r w:rsidR="000E5130">
        <w:t>y</w:t>
      </w:r>
      <w:r w:rsidR="000E5130">
        <w:rPr>
          <w:vertAlign w:val="subscript"/>
        </w:rPr>
        <w:t>t</w:t>
      </w:r>
      <w:proofErr w:type="spellEnd"/>
      <w:proofErr w:type="gramEnd"/>
      <w:r w:rsidR="000E5130">
        <w:t>) and the fitted linear model UK GDP Growth from the model (</w:t>
      </w:r>
      <w:proofErr w:type="spellStart"/>
      <w:r w:rsidR="000E5130">
        <w:t>y</w:t>
      </w:r>
      <w:r w:rsidR="000E5130">
        <w:rPr>
          <w:vertAlign w:val="subscript"/>
        </w:rPr>
        <w:t>hat</w:t>
      </w:r>
      <w:proofErr w:type="spellEnd"/>
      <w:r w:rsidR="000E5130">
        <w:t>). A test for neglected nonlinearity is constructed using the BDS test using maximum embedding dimension of 4. The results are printed below:</w:t>
      </w:r>
    </w:p>
    <w:p w:rsidR="000E5130" w:rsidRPr="000E5130" w:rsidRDefault="000E5130" w:rsidP="000E5130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="Lucida Console" w:eastAsia="Times New Roman" w:hAnsi="Lucida Console" w:cs="Courier New"/>
          <w:color w:val="000000"/>
        </w:rPr>
      </w:pPr>
      <w:r w:rsidRPr="000E5130">
        <w:rPr>
          <w:rFonts w:ascii="Lucida Console" w:eastAsia="Times New Roman" w:hAnsi="Lucida Console" w:cs="Courier New"/>
          <w:color w:val="000000"/>
        </w:rPr>
        <w:t>BDS Test</w:t>
      </w: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:  res</w:t>
      </w: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Embedding dimension </w:t>
      </w:r>
      <w:proofErr w:type="gramStart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=  2</w:t>
      </w:r>
      <w:proofErr w:type="gramEnd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3 4</w:t>
      </w: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Epsilon for close points </w:t>
      </w:r>
      <w:proofErr w:type="gramStart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=  0.3261</w:t>
      </w:r>
      <w:proofErr w:type="gramEnd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0.6522 0.9784 1.3045</w:t>
      </w: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Standard Normal =</w:t>
      </w: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proofErr w:type="gramStart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[ 0.3261</w:t>
      </w:r>
      <w:proofErr w:type="gramEnd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[ 0.6522 ] [ 0.9784 ] [ 1.3045 ]</w:t>
      </w: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[ 2</w:t>
      </w:r>
      <w:proofErr w:type="gramEnd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   -0.0194     0.7921     2.9173     3.9279</w:t>
      </w: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[ 3</w:t>
      </w:r>
      <w:proofErr w:type="gramEnd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    0.8162     1.8113     3.9887     4.9578</w:t>
      </w: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[ 4</w:t>
      </w:r>
      <w:proofErr w:type="gramEnd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    1.1886     2.3835     4.5159     5.1366</w:t>
      </w: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p-value</w:t>
      </w:r>
      <w:proofErr w:type="gramEnd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</w:t>
      </w: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proofErr w:type="gramStart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[ 0.3261</w:t>
      </w:r>
      <w:proofErr w:type="gramEnd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[ 0.6522 ] [ 0.9784 ] [ 1.3045 ]</w:t>
      </w: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[ 2</w:t>
      </w:r>
      <w:proofErr w:type="gramEnd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    0.9846     0.4283     0.0035      1e-04</w:t>
      </w: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[ 3</w:t>
      </w:r>
      <w:proofErr w:type="gramEnd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    0.4144     0.0701     0.0001      0e+00</w:t>
      </w:r>
    </w:p>
    <w:p w:rsidR="000E5130" w:rsidRPr="000E5130" w:rsidRDefault="000E5130" w:rsidP="000E5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>[ 4</w:t>
      </w:r>
      <w:proofErr w:type="gramEnd"/>
      <w:r w:rsidRPr="000E51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    0.2346     0.0172     0.0000      0e+00</w:t>
      </w:r>
    </w:p>
    <w:p w:rsidR="000E5130" w:rsidRDefault="000E5130" w:rsidP="00851609">
      <w:pPr>
        <w:ind w:left="360" w:hanging="360"/>
      </w:pPr>
    </w:p>
    <w:p w:rsidR="00E14AF3" w:rsidRDefault="000E5130" w:rsidP="000E5130">
      <w:pPr>
        <w:ind w:left="360"/>
      </w:pPr>
      <w:r>
        <w:lastRenderedPageBreak/>
        <w:t xml:space="preserve">The null hypothesis of the BDS test is that the data is </w:t>
      </w:r>
      <w:proofErr w:type="spellStart"/>
      <w:r>
        <w:t>iid</w:t>
      </w:r>
      <w:proofErr w:type="spellEnd"/>
      <w:r>
        <w:t xml:space="preserve"> and based on the P-values for the different combinations of m-dimensions and epsilon (standard deviations) we </w:t>
      </w:r>
      <w:r w:rsidR="00EC7C7B">
        <w:t>cannot reject the null hypothesis</w:t>
      </w:r>
      <w:r w:rsidR="005605CB">
        <w:t xml:space="preserve"> within 2 standard deviations (epsilon = 0.3261 and 0.6522) regardless of the dimension</w:t>
      </w:r>
      <w:r w:rsidR="00E14AF3">
        <w:t xml:space="preserve"> suggesting that there is no neglected nonlinearity in the series.</w:t>
      </w:r>
      <w:r w:rsidR="005605CB">
        <w:t xml:space="preserve"> However </w:t>
      </w:r>
      <w:r w:rsidR="00E14AF3">
        <w:t>for epsilon=0.9784 and 1.3045, we reject the null hypothesis regardless of the dimension. The result is somewhat confusing. However, it might be due to seasonality in the data.</w:t>
      </w:r>
    </w:p>
    <w:p w:rsidR="0031380F" w:rsidRDefault="0031380F" w:rsidP="000E5130">
      <w:pPr>
        <w:ind w:left="360"/>
      </w:pPr>
    </w:p>
    <w:p w:rsidR="00E14AF3" w:rsidRDefault="0031380F" w:rsidP="00E14AF3">
      <w:r>
        <w:t xml:space="preserve">2c)  </w:t>
      </w:r>
      <w:r w:rsidR="00945E85">
        <w:t xml:space="preserve">A </w:t>
      </w:r>
      <w:proofErr w:type="spellStart"/>
      <w:r w:rsidR="003B4832">
        <w:t>V</w:t>
      </w:r>
      <w:r w:rsidR="00945E85">
        <w:t>oltera</w:t>
      </w:r>
      <w:proofErr w:type="spellEnd"/>
      <w:r w:rsidR="00945E85">
        <w:t xml:space="preserve"> </w:t>
      </w:r>
      <w:r w:rsidR="0043217D">
        <w:t>polynomial</w:t>
      </w:r>
      <w:r w:rsidR="003B4832">
        <w:t xml:space="preserve"> approximation</w:t>
      </w:r>
      <w:r w:rsidR="0043217D">
        <w:t xml:space="preserve"> to UK GDP Growth was estimated</w:t>
      </w:r>
      <w:r w:rsidR="003B4832">
        <w:t xml:space="preserve"> </w:t>
      </w:r>
    </w:p>
    <w:p w:rsidR="003B4832" w:rsidRDefault="003B4832" w:rsidP="003B4832">
      <w:pPr>
        <w:ind w:left="360" w:hanging="360"/>
      </w:pPr>
      <w:r>
        <w:t xml:space="preserve">2d) </w:t>
      </w:r>
      <w:proofErr w:type="gramStart"/>
      <w:r>
        <w:t>The</w:t>
      </w:r>
      <w:proofErr w:type="gramEnd"/>
      <w:r>
        <w:t xml:space="preserve"> residuals of the model of the </w:t>
      </w:r>
      <w:proofErr w:type="spellStart"/>
      <w:r>
        <w:t>Voltera</w:t>
      </w:r>
      <w:proofErr w:type="spellEnd"/>
      <w:r>
        <w:t xml:space="preserve"> polynomial approximation of UK GDP Growth was tested    for neglected nonlinearity using the BDS test. 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BDS Test 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res2 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Embedding dimension </w:t>
      </w:r>
      <w:proofErr w:type="gramStart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>=  2</w:t>
      </w:r>
      <w:proofErr w:type="gramEnd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3 4 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Epsilon for close points </w:t>
      </w:r>
      <w:proofErr w:type="gramStart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>=  0.3488</w:t>
      </w:r>
      <w:proofErr w:type="gramEnd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0.6977 1.0465 1.3953 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Standard Normal = 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>[ 0.3488</w:t>
      </w:r>
      <w:proofErr w:type="gramEnd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[ 0.6977 ] [ 1.0465 ] [ 1.3953 ]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>[ 2</w:t>
      </w:r>
      <w:proofErr w:type="gramEnd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    3.4644     3.7023     3.8304     3.2372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>[ 3</w:t>
      </w:r>
      <w:proofErr w:type="gramEnd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    2.6770     4.0465     4.3072     4.3272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>[ 4</w:t>
      </w:r>
      <w:proofErr w:type="gramEnd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    2.7175     4.8310     4.7604     4.6222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>p-value</w:t>
      </w:r>
      <w:proofErr w:type="gramEnd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>[ 0.3488</w:t>
      </w:r>
      <w:proofErr w:type="gramEnd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[ 0.6977 ] [ 1.0465 ] [ 1.3953 ]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>[ 2</w:t>
      </w:r>
      <w:proofErr w:type="gramEnd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    0.0005      2e-04      1e-04     0.0012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>[ 3</w:t>
      </w:r>
      <w:proofErr w:type="gramEnd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    0.0074      1e-04      0e+00     0.0000</w:t>
      </w:r>
    </w:p>
    <w:p w:rsidR="00663380" w:rsidRPr="00663380" w:rsidRDefault="00663380" w:rsidP="00663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>[ 4</w:t>
      </w:r>
      <w:proofErr w:type="gramEnd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]     0.0066      0e+00      </w:t>
      </w:r>
      <w:proofErr w:type="spellStart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>0e+00</w:t>
      </w:r>
      <w:proofErr w:type="spellEnd"/>
      <w:r w:rsidRPr="006633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0.0000</w:t>
      </w:r>
    </w:p>
    <w:p w:rsidR="003B4832" w:rsidRDefault="003B4832" w:rsidP="003B4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B4832" w:rsidRPr="003B4832" w:rsidRDefault="003B4832" w:rsidP="003B4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B4832" w:rsidRPr="000E5130" w:rsidRDefault="003B4832" w:rsidP="003B4832">
      <w:pPr>
        <w:ind w:left="360" w:hanging="360"/>
      </w:pPr>
      <w:r>
        <w:tab/>
        <w:t xml:space="preserve">The results of the BDS test show that you can reject the null hypothesis at almost all combinations of m and epsilon.  This suggests neglected nonlinearity in the model. </w:t>
      </w:r>
    </w:p>
    <w:p w:rsidR="00851609" w:rsidRDefault="00851609" w:rsidP="00851609">
      <w:pPr>
        <w:ind w:left="360" w:hanging="360"/>
      </w:pPr>
    </w:p>
    <w:sectPr w:rsidR="00851609" w:rsidSect="003C79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442"/>
    <w:rsid w:val="00047DDC"/>
    <w:rsid w:val="000E5130"/>
    <w:rsid w:val="001D4FB3"/>
    <w:rsid w:val="0031380F"/>
    <w:rsid w:val="003874A2"/>
    <w:rsid w:val="003B4832"/>
    <w:rsid w:val="003C4AF6"/>
    <w:rsid w:val="003C79AE"/>
    <w:rsid w:val="003E48FE"/>
    <w:rsid w:val="0043217D"/>
    <w:rsid w:val="00474BFB"/>
    <w:rsid w:val="005605CB"/>
    <w:rsid w:val="005B5212"/>
    <w:rsid w:val="00663380"/>
    <w:rsid w:val="00706F8E"/>
    <w:rsid w:val="00851609"/>
    <w:rsid w:val="00912DEA"/>
    <w:rsid w:val="00945E85"/>
    <w:rsid w:val="00BA026F"/>
    <w:rsid w:val="00BE3442"/>
    <w:rsid w:val="00C9525B"/>
    <w:rsid w:val="00D20B6F"/>
    <w:rsid w:val="00E14AF3"/>
    <w:rsid w:val="00EC7C7B"/>
    <w:rsid w:val="00FD74F3"/>
    <w:rsid w:val="00F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DE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13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130"/>
    <w:rPr>
      <w:rFonts w:ascii="Consolas" w:hAnsi="Consolas" w:cs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3C79A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79AE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DE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13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130"/>
    <w:rPr>
      <w:rFonts w:ascii="Consolas" w:hAnsi="Consolas" w:cs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3C79A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79AE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EEEBCD5A604F34B41EE53FD5450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F1D9D-DDEE-4465-A7AF-FE604AC7D870}"/>
      </w:docPartPr>
      <w:docPartBody>
        <w:p w:rsidR="00000000" w:rsidRDefault="006156FB" w:rsidP="006156FB">
          <w:pPr>
            <w:pStyle w:val="84EEEBCD5A604F34B41EE53FD5450D4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B7E9E330E284682A40422DAEF79B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965A7-C882-451D-B044-CA2BBD724514}"/>
      </w:docPartPr>
      <w:docPartBody>
        <w:p w:rsidR="00000000" w:rsidRDefault="006156FB" w:rsidP="006156FB">
          <w:pPr>
            <w:pStyle w:val="6B7E9E330E284682A40422DAEF79BD6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ECCF24ABB5846F78A78C97799B6F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7450C-DD86-4F82-8B3B-E40FC0E446B7}"/>
      </w:docPartPr>
      <w:docPartBody>
        <w:p w:rsidR="00000000" w:rsidRDefault="006156FB" w:rsidP="006156FB">
          <w:pPr>
            <w:pStyle w:val="1ECCF24ABB5846F78A78C97799B6FBE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13A633C4CAE41C08762D58E918A5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8CFB8-1D9C-4E02-80B8-7E3F4F87267E}"/>
      </w:docPartPr>
      <w:docPartBody>
        <w:p w:rsidR="00000000" w:rsidRDefault="006156FB" w:rsidP="006156FB">
          <w:pPr>
            <w:pStyle w:val="713A633C4CAE41C08762D58E918A534E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92A92B2278B4A8FB382B07974E38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7AD8F-D695-423F-885E-7AD7FA0F1420}"/>
      </w:docPartPr>
      <w:docPartBody>
        <w:p w:rsidR="00000000" w:rsidRDefault="006156FB" w:rsidP="006156FB">
          <w:pPr>
            <w:pStyle w:val="592A92B2278B4A8FB382B07974E381FF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FB"/>
    <w:rsid w:val="006156FB"/>
    <w:rsid w:val="007A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EEEBCD5A604F34B41EE53FD5450D4D">
    <w:name w:val="84EEEBCD5A604F34B41EE53FD5450D4D"/>
    <w:rsid w:val="006156FB"/>
  </w:style>
  <w:style w:type="paragraph" w:customStyle="1" w:styleId="6B7E9E330E284682A40422DAEF79BD63">
    <w:name w:val="6B7E9E330E284682A40422DAEF79BD63"/>
    <w:rsid w:val="006156FB"/>
  </w:style>
  <w:style w:type="paragraph" w:customStyle="1" w:styleId="1ECCF24ABB5846F78A78C97799B6FBEE">
    <w:name w:val="1ECCF24ABB5846F78A78C97799B6FBEE"/>
    <w:rsid w:val="006156FB"/>
  </w:style>
  <w:style w:type="paragraph" w:customStyle="1" w:styleId="713A633C4CAE41C08762D58E918A534E">
    <w:name w:val="713A633C4CAE41C08762D58E918A534E"/>
    <w:rsid w:val="006156FB"/>
  </w:style>
  <w:style w:type="paragraph" w:customStyle="1" w:styleId="592A92B2278B4A8FB382B07974E381FF">
    <w:name w:val="592A92B2278B4A8FB382B07974E381FF"/>
    <w:rsid w:val="006156FB"/>
  </w:style>
  <w:style w:type="paragraph" w:customStyle="1" w:styleId="B9CC334861A04A798826C091CFF37CEB">
    <w:name w:val="B9CC334861A04A798826C091CFF37CEB"/>
    <w:rsid w:val="006156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EEEBCD5A604F34B41EE53FD5450D4D">
    <w:name w:val="84EEEBCD5A604F34B41EE53FD5450D4D"/>
    <w:rsid w:val="006156FB"/>
  </w:style>
  <w:style w:type="paragraph" w:customStyle="1" w:styleId="6B7E9E330E284682A40422DAEF79BD63">
    <w:name w:val="6B7E9E330E284682A40422DAEF79BD63"/>
    <w:rsid w:val="006156FB"/>
  </w:style>
  <w:style w:type="paragraph" w:customStyle="1" w:styleId="1ECCF24ABB5846F78A78C97799B6FBEE">
    <w:name w:val="1ECCF24ABB5846F78A78C97799B6FBEE"/>
    <w:rsid w:val="006156FB"/>
  </w:style>
  <w:style w:type="paragraph" w:customStyle="1" w:styleId="713A633C4CAE41C08762D58E918A534E">
    <w:name w:val="713A633C4CAE41C08762D58E918A534E"/>
    <w:rsid w:val="006156FB"/>
  </w:style>
  <w:style w:type="paragraph" w:customStyle="1" w:styleId="592A92B2278B4A8FB382B07974E381FF">
    <w:name w:val="592A92B2278B4A8FB382B07974E381FF"/>
    <w:rsid w:val="006156FB"/>
  </w:style>
  <w:style w:type="paragraph" w:customStyle="1" w:styleId="B9CC334861A04A798826C091CFF37CEB">
    <w:name w:val="B9CC334861A04A798826C091CFF37CEB"/>
    <w:rsid w:val="006156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subject>Econ 510</dc:subject>
  <dc:creator>Arinze Nwoye</dc:creator>
  <cp:lastModifiedBy>Arinze Nwoye</cp:lastModifiedBy>
  <cp:revision>9</cp:revision>
  <cp:lastPrinted>2015-10-26T10:37:00Z</cp:lastPrinted>
  <dcterms:created xsi:type="dcterms:W3CDTF">2015-10-26T00:06:00Z</dcterms:created>
  <dcterms:modified xsi:type="dcterms:W3CDTF">2015-10-26T10:38:00Z</dcterms:modified>
</cp:coreProperties>
</file>