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3D V-JEPA intervention experiment</w:t>
      </w:r>
    </w:p>
    <w:p>
      <w:pPr>
        <w:pStyle w:val="Subtitle"/>
      </w:pPr>
      <w:r>
        <w:t xml:space="preserve">01 / Research agenda and implementation plan</w:t>
      </w:r>
    </w:p>
    <w:p>
      <w:pPr>
        <w:pStyle w:val="Heading1"/>
      </w:pPr>
      <w:r>
        <w:t xml:space="preserve">Purpose and claim boundary</w:t>
      </w:r>
    </w:p>
    <w:p>
      <w:pPr>
        <w:pStyle w:val="Normal"/>
      </w:pPr>
      <w:r>
        <w:t xml:space="preserve">Test whether controlled changes to physical mechanisms produce compact, factor-specific and reusable transformations in a frozen video representation. A 3D world is rendered as ordinary RGB video; V-JEPA is not given depth, simulator state or camera calibration. Decodable physics alone is weaker evidence than transportable intervention structure. Low rank is a hypothesis, not a premise.</w:t>
      </w:r>
    </w:p>
    <w:p>
      <w:pPr>
        <w:pStyle w:val="Equation"/>
      </w:pPr>
      <m:oMath>
        <m:r>
          <m:t>Δzₖ = E(Xₖ) − E(X) ≈ Qₖ aₖ(X, δ)</m:t>
        </m:r>
      </m:oMath>
    </w:p>
    <w:p>
      <w:pPr>
        <w:pStyle w:val="Normal"/>
      </w:pPr>
      <w:r>
        <w:t xml:space="preserve">The evidential sequence is compactness → specificity → transport → predictive utility. Success supports intervention-aligned structure in this benchmark; it does not establish unique causal variables or a general understanding of physics. The companion mathematical memo defines all estimands.</w:t>
      </w:r>
    </w:p>
    <w:p>
      <w:pPr>
        <w:pStyle w:val="Heading1"/>
      </w:pPr>
      <w:r>
        <w:t xml:space="preserve">Research questions</w:t>
      </w:r>
    </w:p>
    <w:p>
      <w:pPr>
        <w:pStyle w:val="Normal"/>
      </w:pPr>
      <w:r>
        <w:t xml:space="preserve">RQ1: Do gravity, restitution and friction changes occupy reproducible low-rank subspaces? RQ2: Are these distinct from initial velocity and appearance changes after matching visible effect size? RQ3: Do the same subspaces transfer to unseen initial conditions, intervention magnitudes and renderings? RQ4: Can a learned operator predict an unseen counterfactual representation and its physical outcomes?</w:t>
      </w:r>
    </w:p>
    <w:p>
      <w:pPr>
        <w:pStyle w:val="Heading1"/>
      </w:pPr>
      <w:r>
        <w:t xml:space="preserve">Recommended stack</w:t>
      </w:r>
    </w:p>
    <w:p>
      <w:pPr>
        <w:pStyle w:val="Normal"/>
      </w:pPr>
      <w:r>
        <w:t xml:space="preserve">Use PyBullet for deterministic, fixed-step rigid-body simulation and Blender EEVEE for rendering saved poses. This separates dynamics from camera, material and illumination changes. PyBullet exposes restitution and lateral friction controls [3]; calibrate their effective contact values rather than equating API inputs with physical coefficients. Use TinyRenderer only for engineering smoke tests. Blender renders every final split with one pinned configuration [4].</w:t>
      </w:r>
    </w:p>
    <w:p>
      <w:pPr>
        <w:pStyle w:val="Normal"/>
      </w:pPr>
      <w:r>
        <w:t xml:space="preserve">MuJoCo is a credible alternative for later replication, but its compliant-contact settings require an additional mapping to effective restitution [5]. Do not mix simulators in the primary study. Store simulator, renderer, model and dependency versions, source commits, seeds and configuration hashes.</w:t>
      </w:r>
    </w:p>
    <w:p>
      <w:pPr>
        <w:pStyle w:val="Heading1"/>
      </w:pPr>
      <w:r>
        <w:t xml:space="preserve">Model decision</w:t>
      </w:r>
    </w:p>
    <w:p>
      <w:pPr>
        <w:pStyle w:val="Normal"/>
      </w:pPr>
      <w:r>
        <w:t xml:space="preserve">Start with the official V-JEPA 2.1 ViT-B/16, 384-pixel checkpoint (listed as 80M parameters) [1,2]. Freeze weights and use evaluation mode. Before dataset production, verify the pinned loader, checkpoint compatibility, preprocessing and output shapes on one batch; a model-loading failure is a milestone blocker, not permission for an undocumented substitution.</w:t>
      </w:r>
    </w:p>
    <w:p>
      <w:r>
        <w:br w:type="page"/>
      </w:r>
    </w:p>
    <w:p>
      <w:pPr>
        <w:pStyle w:val="Title"/>
      </w:pPr>
      <w:r>
        <w:t xml:space="preserve">World and interventions</w:t>
      </w:r>
    </w:p>
    <w:p>
      <w:pPr>
        <w:pStyle w:val="Subtitle"/>
      </w:pPr>
      <w:r>
        <w:t xml:space="preserve">02 / A controlled 3D generative process</w:t>
      </w:r>
    </w:p>
    <w:p>
      <w:pPr>
        <w:pStyle w:val="Heading1"/>
      </w:pPr>
      <w:r>
        <w:t xml:space="preserve">Scene and dynamics</w:t>
      </w:r>
    </w:p>
    <w:p>
      <w:pPr>
        <w:pStyle w:val="Normal"/>
      </w:pPr>
      <w:r>
        <w:t xml:space="preserve">Use a 1 kg sphere of radius 0.15 m above a large horizontal plane; z is vertical. Save position, orientation, linear/angular velocity, contact times and impulses. Set drag to zero and hold rolling/spinning friction fixed at zero in v1. Rotation remains physical: sliding friction may convert translation into rotation, so do not describe it as simple constant deceleration throughout the clip.</w:t>
      </w:r>
    </w:p>
    <w:p>
      <w:pPr>
        <w:pStyle w:val="Normal"/>
      </w:pPr>
      <w:r>
        <w:t xml:space="preserve">Use 1/240 s physics steps; compare with 1/480 s in calibration. Simulate 6 s and render 180 frames at 30 fps (timestamps j/30 s, j = 0,…,179). Recheck framing and contact/slip coverage over the full 6 s trajectory. Baseline: g = 9.8 m/s², effective e = 0.6, effective sliding μ = 0.2. Sample x₀,y₀ uniformly in [−0.5,0.5] m, z₀ in [1.5,2.5] m, horizontal speed in [1,2] m/s, heading in [0,2π), vertical velocity in [−0.5,0.5] m/s; initial spin is zero.</w:t>
      </w:r>
    </w:p>
    <w:p>
      <w:pPr>
        <w:pStyle w:val="Heading1"/>
      </w:pPr>
      <w:r>
        <w:t xml:space="preserve">One-factor paired interventions</w:t>
      </w:r>
    </w:p>
    <w:p>
      <w:pPr>
        <w:pStyle w:val="Normal"/>
      </w:pPr>
      <w:r>
        <w:t xml:space="preserve">Generate a baseline plus eight interventions per base world. Gravity: g ∈ {7.35,12.25}. Restitution: e ∈ {0.3,0.8}. Sliding friction: μ ∈ {0.1,0.4}. Initial velocity: add ±0.5 m/s along the initial horizontal heading. Balance each alternative within each split; all other physics inputs remain identical.</w:t>
      </w:r>
    </w:p>
    <w:p>
      <w:pPr>
        <w:pStyle w:val="Normal"/>
      </w:pPr>
      <w:r>
        <w:t xml:space="preserve">Appearance interventions: color = replace only sphere base color using a balanced palette; camera = shift azimuth by ±30° at fixed radius/elevation/intrinsics; lighting = multiply key-light intensity by 0.5 or 1.5; texture = swap only the floor albedo map, holding roughness and geometry fixed. Color, camera, lighting and texture are separate factor labels. Appearance never changes collision materials.</w:t>
      </w:r>
    </w:p>
    <w:p>
      <w:pPr>
        <w:pStyle w:val="Heading1"/>
      </w:pPr>
      <w:r>
        <w:t xml:space="preserve">Observability and calibration gates</w:t>
      </w:r>
    </w:p>
    <w:p>
      <w:pPr>
        <w:pStyle w:val="Normal"/>
      </w:pPr>
      <w:r>
        <w:t xml:space="preserve">Use a fixed wide oblique camera, initially azimuth 45°, elevation 25°, aimed at the floor center. Fix framing from the full prespecified trajectory envelope, with no per-video tracking or auto exposure. Accept a base family only if every planned version remains visible, has a resolved impact, and includes measurable tangential slip; log rejection reasons and the resulting conditional population.</w:t>
      </w:r>
    </w:p>
    <w:p>
      <w:pPr>
        <w:pStyle w:val="Normal"/>
      </w:pPr>
      <w:r>
        <w:t xml:space="preserve">Calibrate restitution from normal pre/post-impact velocities and friction from sliding contact impulses across representative speeds. Require absolute restitution error ≤0.03, slip-regime friction error ≤10%, and time-step-halving trajectory RMS change ≤1% of travel distance. These are proposed engineering gates; revise only during pilot. Repeat identical seeds and verify state equality and negligible render/embedding drift.</w:t>
      </w:r>
    </w:p>
    <w:p>
      <w:r>
        <w:br w:type="page"/>
      </w:r>
    </w:p>
    <w:p>
      <w:pPr>
        <w:pStyle w:val="Title"/>
      </w:pPr>
      <w:r>
        <w:t xml:space="preserve">Dataset and representation</w:t>
      </w:r>
    </w:p>
    <w:p>
      <w:pPr>
        <w:pStyle w:val="Subtitle"/>
      </w:pPr>
      <w:r>
        <w:t xml:space="preserve">03 / Split before rendering; fit only on training data</w:t>
      </w:r>
    </w:p>
    <w:p>
      <w:pPr>
        <w:pStyle w:val="Heading1"/>
      </w:pPr>
      <w:r>
        <w:t xml:space="preserve">Sampling contract</w:t>
      </w:r>
    </w:p>
    <w:p>
      <w:pPr>
        <w:pStyle w:val="Normal"/>
      </w:pPr>
      <w:r>
        <w:t xml:space="preserve">Pilot: 120 independent base worlds, excluded from confirmatory results. Main proposal: 1,200 worlds split by hashed base ID into 720 train, 240 validation and 240 test, seed 42. Nine videos per world produce 10,800 main clips. Every derivative, rendering and temporal window inherits its base split. The base world, not a frame or intervention, is the independent sampling unit.</w:t>
      </w:r>
    </w:p>
    <w:p>
      <w:pPr>
        <w:pStyle w:val="Normal"/>
      </w:pPr>
      <w:r>
        <w:t xml:space="preserve">Render the 240 test worlds in two additional domains: (A) camera azimuth 105°, elevation 40°; (B) held-out palettes, floor textures and light directions. Each domain has all nine variants: 4,320 extra clips. Keep camera and appearance shifts separate. Source and target versions are paired for uncertainty estimation; no target representation is used to refit the basis.</w:t>
      </w:r>
    </w:p>
    <w:p>
      <w:pPr>
        <w:pStyle w:val="Normal"/>
      </w:pPr>
      <w:r>
        <w:t xml:space="preserve">Magnitude test: add six physical interventions per test world at g ∈ {4.9,14.7}, e ∈ {0.15,0.9}, μ ∈ {0.05,0.6}, adding 1,440 clips. Total planned main budget: 16,560 clips, before matched-effect controls. Use validation-only analogues of shifted domains for engineering; keep test seeds and exact assets sealed. Add joint factor shifts only as a later extension.</w:t>
      </w:r>
    </w:p>
    <w:p>
      <w:pPr>
        <w:pStyle w:val="Heading1"/>
      </w:pPr>
      <w:r>
        <w:t xml:space="preserve">Extraction contract</w:t>
      </w:r>
    </w:p>
    <w:p>
      <w:pPr>
        <w:pStyle w:val="Normal"/>
      </w:pPr>
      <w:r>
        <w:t xml:space="preserve">Take 64 uniformly spaced frames from each full 6 s clip as the proposed primary input; verify support and temporal preprocessing at the loader gate, then freeze the choice before main generation. Apply the official deterministic normalization and 384-pixel preprocessing. The rendered video remains 6 s long; encoder subsampling does not shorten its temporal coverage. Check whether 64-frame sampling resolves impacts in the pilot; if not, preregister additional overlapping temporal windows before main generation. Record exact timestamps, crop policy and token layout. Disable random crops and augmentation.</w:t>
      </w:r>
    </w:p>
    <w:p>
      <w:pPr>
        <w:pStyle w:val="Normal"/>
      </w:pPr>
      <w:r>
        <w:t xml:space="preserve">Primary representation: final encoder layer, mean over spatial tokens within each temporal tubelet, then concatenate temporal vectors. Let d be the observed flattened dimension; do not assume it equals the per-token width. This preserves coarse event timing. Global mean pooling and intermediate layers are secondary analyses. State tokens, segmentation and depth are retained for auditing only, not encoder input.</w:t>
      </w:r>
    </w:p>
    <w:p>
      <w:pPr>
        <w:pStyle w:val="Normal"/>
      </w:pPr>
      <w:r>
        <w:t xml:space="preserve">For each matched pair compute Δz in raw embedding coordinates, with no per-clip unit normalization. Primary SVD is uncentered; report a centered residual analysis and mean intervention vector separately. If scaling or reduction is needed, fit it exclusively on training data and label the changed geometry. Store clip IDs, layer, shape, representation recipe, weights hash and feature dtype with every array.</w:t>
      </w:r>
    </w:p>
    <w:p>
      <w:pPr>
        <w:pStyle w:val="Heading1"/>
      </w:pPr>
      <w:r>
        <w:t xml:space="preserve">Data products</w:t>
      </w:r>
    </w:p>
    <w:p>
      <w:pPr>
        <w:pStyle w:val="Normal"/>
      </w:pPr>
      <w:r>
        <w:t xml:space="preserve">A manifest joins base_id, split, domain, factor, baseline/target value, seed, trajectory file, frame path, camera parameters and hashes. Save lossless RGB frames, state/contact arrays and preview MP4s. Rendered camera/appearance pairs must share bit-identical state arrays.</w:t>
      </w:r>
    </w:p>
    <w:p>
      <w:r>
        <w:br w:type="page"/>
      </w:r>
    </w:p>
    <w:p>
      <w:pPr>
        <w:pStyle w:val="Title"/>
      </w:pPr>
      <w:r>
        <w:t xml:space="preserve">Analysis and falsification</w:t>
      </w:r>
    </w:p>
    <w:p>
      <w:pPr>
        <w:pStyle w:val="Subtitle"/>
      </w:pPr>
      <w:r>
        <w:t xml:space="preserve">04 / Prespecified tests and controls</w:t>
      </w:r>
    </w:p>
    <w:p>
      <w:pPr>
        <w:pStyle w:val="Heading1"/>
      </w:pPr>
      <w:r>
        <w:t xml:space="preserve">Geometry, specificity and transport</w:t>
      </w:r>
    </w:p>
    <w:p>
      <w:pPr>
        <w:pStyle w:val="Normal"/>
      </w:pPr>
      <w:r>
        <w:t xml:space="preserve">Fit an uncentered SVD to training differences separately for each factor. Report the full spectrum and r₉₀, the minimum rank explaining 90% of training energy. Evaluate ranks {1,2,4,8,16,32}; select the smallest rank with validation retention ≥0.8, or record failure if none qualifies. Report fixed rank 8 as the primary fair comparison across factors; require adequate training sample rank.</w:t>
      </w:r>
    </w:p>
    <w:p>
      <w:pPr>
        <w:pStyle w:val="Normal"/>
      </w:pPr>
      <w:r>
        <w:t xml:space="preserve">On held-out pairs report energy retention, normalized residual and subspace principal angles. Construct the specificity matrix: row = fitted factor basis; column = test intervention factor. Compare each physical diagonal with the largest off-diagonal at equal rank. Shared downstream motion can create overlap; orthogonality is neither required nor sufficient for causal structure.</w:t>
      </w:r>
    </w:p>
    <w:p>
      <w:pPr>
        <w:pStyle w:val="Normal"/>
      </w:pPr>
      <w:r>
        <w:t xml:space="preserve">Transport freezes the source basis and measures retention on new initial conditions, camera, appearance and magnitudes. Report both absolute retention and paired source-to-target change, with effect norms. Stratify restitution/friction analyses into pre-contact and post-contact windows as secondary diagnostics; event-aligned windows must be marked because they use simulator information.</w:t>
      </w:r>
    </w:p>
    <w:p>
      <w:pPr>
        <w:pStyle w:val="Heading1"/>
      </w:pPr>
      <w:r>
        <w:t xml:space="preserve">Matched-effect and null controls</w:t>
      </w:r>
    </w:p>
    <w:p>
      <w:pPr>
        <w:pStyle w:val="Normal"/>
      </w:pPr>
      <w:r>
        <w:t xml:space="preserve">Build candidate velocity interventions on training/validation worlds and match them to physical interventions by projected centroid displacement, optical-flow magnitude and change in contact timing, standardized using training statistics. Freeze matching weights and a 0.2-standard-deviation caliper before test. Apply without viewing latent results; report balance, unmatched rate and matched subset size. Exclude event timing from nuisance matching when it is identically unchanged. Pixel-difference matching is an additional appearance control.</w:t>
      </w:r>
    </w:p>
    <w:p>
      <w:pPr>
        <w:pStyle w:val="Normal"/>
      </w:pPr>
      <w:r>
        <w:t xml:space="preserve">Compare random rank-matched bases, bases fitted to mismatched baseline/intervention pairs, factor-label permutations within eligible dose/effect strata, constant mean shifts, and a random-weight encoder. Add a flow-feature representation to test whether geometry is explained by generic motion. Use identical splits, pooling and ranks. Random bases alone are too weak because embedding covariance is anisotropic.</w:t>
      </w:r>
    </w:p>
    <w:p>
      <w:pPr>
        <w:pStyle w:val="Heading1"/>
      </w:pPr>
      <w:r>
        <w:t xml:space="preserve">Counterfactual prediction</w:t>
      </w:r>
    </w:p>
    <w:p>
      <w:pPr>
        <w:pStyle w:val="Normal"/>
      </w:pPr>
      <w:r>
        <w:t xml:space="preserve">Train a ridge operator to predict coefficients aₖ from the baseline representation and intervention dose; basis and regression use training pairs only. Select regularization on validation data. At test, provide baseline X, factor and dose, never Xₖ. Compare predicted zₖ against the true held-out encoding using normalized error; baselines are identity, constant shift and full-space ridge with the same inputs/tuning budget.</w:t>
      </w:r>
    </w:p>
    <w:p>
      <w:pPr>
        <w:pStyle w:val="Normal"/>
      </w:pPr>
      <w:r>
        <w:t xml:space="preserve">Train separate regularized readouts on true training embeddings for apex height, first rebound height and horizontal travel. Freeze them and evaluate their outputs on predicted embeddings against simulated counterfactual outcomes; report readout accuracy on true test embeddings as a ceiling diagnostic. This is an external learned clip-level operator, not a test of the native V-JEPA predictor or evidence of future prediction from a video prefix.</w:t>
      </w:r>
    </w:p>
    <w:p>
      <w:r>
        <w:br w:type="page"/>
      </w:r>
    </w:p>
    <w:p>
      <w:pPr>
        <w:pStyle w:val="Title"/>
      </w:pPr>
      <w:r>
        <w:t xml:space="preserve">Execution, decisions and references</w:t>
      </w:r>
    </w:p>
    <w:p>
      <w:pPr>
        <w:pStyle w:val="Subtitle"/>
      </w:pPr>
      <w:r>
        <w:t xml:space="preserve">05 / A bounded implementation agenda</w:t>
      </w:r>
    </w:p>
    <w:p>
      <w:pPr>
        <w:pStyle w:val="Heading1"/>
      </w:pPr>
      <w:r>
        <w:t xml:space="preserve">Statistics and decision rules</w:t>
      </w:r>
    </w:p>
    <w:p>
      <w:pPr>
        <w:pStyle w:val="Normal"/>
      </w:pPr>
      <w:r>
        <w:t xml:space="preserve">Use 2,000 paired cluster-bootstrap resamples of base worlds for 95% confidence intervals. Permute complete world-level factor/dose blocks, preserving dependence. Apply Holm correction across three physical factors × three primary contrasts: rank-8 retention versus matched null, specificity margin, and prediction gain over identity. Treat domain/layer/rank scans as exploratory. Report paired effect sizes, all failures and Monte Carlo uncertainty.</w:t>
      </w:r>
    </w:p>
    <w:p>
      <w:pPr>
        <w:pStyle w:val="Normal"/>
      </w:pPr>
      <w:r>
        <w:t xml:space="preserve">Proposed practical targets: held-out rank-8 retention ≥0.8, specificity margin ≥0.1, transport loss ≤0.1 and ≥10% counterfactual error reduction over identity. These are planning thresholds, not established scientific constants. Use pilot cluster variance to estimate sample size for 80% power to a prespecified effect, accounting for multiplicity; amend the 1,200-world budget before locking the main study. A useful operator must also compare favorably with constant-shift and full-space controls.</w:t>
      </w:r>
    </w:p>
    <w:p>
      <w:pPr>
        <w:pStyle w:val="Heading1"/>
      </w:pPr>
      <w:r>
        <w:t xml:space="preserve">Coding-agent work packages and milestones</w:t>
      </w:r>
    </w:p>
    <w:p>
      <w:pPr>
        <w:pStyle w:val="Normal"/>
      </w:pPr>
      <w:r>
        <w:t xml:space="preserve">M0 — Integration owner: pin environments, load model, render one scene, verify token dimensions and estimate runtime/storage. Output: reproducible configuration and smoke-test report. Gate: complete round trip.</w:t>
      </w:r>
    </w:p>
    <w:p>
      <w:pPr>
        <w:pStyle w:val="Normal"/>
      </w:pPr>
      <w:r>
        <w:t xml:space="preserve">M1 — Physics owner: implement stepping, interventions, state logging and calibration. Renderer/data owner: consume saved poses, render nuisance pairs, build family-safe splits. Output: 120-world pilot and calibration/balance reports. Gate: observability, numerical and pairing checks pass.</w:t>
      </w:r>
    </w:p>
    <w:p>
      <w:pPr>
        <w:pStyle w:val="Normal"/>
      </w:pPr>
      <w:r>
        <w:t xml:space="preserve">M2 — Representation owner: implement deterministic batching, caching and checksums. Statistics owner: use pilot for power, matching/rank rules and a frozen analysis specification. Output: locked protocol, manifests and cost estimate. Gate: no remaining test-dependent design choices.</w:t>
      </w:r>
    </w:p>
    <w:p>
      <w:pPr>
        <w:pStyle w:val="Normal"/>
      </w:pPr>
      <w:r>
        <w:t xml:space="preserve">M3 — Geometry owner: generate main data, fit train-only bases, run retention, specificity, transport and controls. Prediction owner: fit counterfactual operators/readouts and export sealed-test predictions. Gate: leakage audit; every metric linked to base IDs and configuration.</w:t>
      </w:r>
    </w:p>
    <w:p>
      <w:pPr>
        <w:pStyle w:val="Normal"/>
      </w:pPr>
      <w:r>
        <w:t xml:space="preserve">M4 — Integration/statistics owners: uncertainty estimates, corrected comparisons and reproducible report. Outputs: spectra, specificity heatmap, principal-angle plots, domain-transfer curves, matched-effect balance plots, prediction comparisons, example paired videos and explicit negative results. Run work packages sequentially where dependencies require; independent owners may work in parallel after interfaces are fixed.</w:t>
      </w:r>
    </w:p>
    <w:p>
      <w:pPr>
        <w:pStyle w:val="Heading1"/>
      </w:pPr>
      <w:r>
        <w:t xml:space="preserve">Primary sources • accessed 26 September 2026</w:t>
      </w:r>
    </w:p>
    <w:p>
      <w:pPr>
        <w:pStyle w:val="Reference"/>
      </w:pPr>
      <w:r>
        <w:t xml:space="preserve">[1] Meta FAIR. Official V-JEPA repository, model table and loaders. https://github.com/facebookresearch/vjepa2</w:t>
      </w:r>
    </w:p>
    <w:p>
      <w:pPr>
        <w:pStyle w:val="Reference"/>
      </w:pPr>
      <w:r>
        <w:t xml:space="preserve">[2] V-JEPA 2.1: Unlocking Dense Features in Video Self-Supervised Learning (2026). https://arxiv.org/abs/2603.14482</w:t>
      </w:r>
    </w:p>
    <w:p>
      <w:pPr>
        <w:pStyle w:val="Reference"/>
      </w:pPr>
      <w:r>
        <w:t xml:space="preserve">[3] Bullet Physics. PyBullet Quickstart Guide. https://raw.githubusercontent.com/bulletphysics/bullet3/master/docs/pybullet_quickstartguide.pdf</w:t>
      </w:r>
    </w:p>
    <w:p>
      <w:pPr>
        <w:pStyle w:val="Reference"/>
      </w:pPr>
      <w:r>
        <w:t xml:space="preserve">[4] Blender Manual, rendering introduction. https://docs.blender.org/manual/en/4.3/render/introduction.html</w:t>
      </w:r>
    </w:p>
    <w:p>
      <w:pPr>
        <w:pStyle w:val="Reference"/>
      </w:pPr>
      <w:r>
        <w:t xml:space="preserve">[5] MuJoCo documentation, contact modeling. https://mujoco.readthedocs.io/en/latest/modeling.html</w:t>
      </w:r>
    </w:p>
    <w:sectPr>
      <w:headerReference w:type="default" r:id="rId2"/>
      <w:footerReference w:type="default" r:id="rId3"/>
      <w:pgSz w:w="12240" w:h="15840"/>
      <w:pgMar w:top="850" w:right="1000" w:bottom="850" w:left="1000" w:header="400" w:footer="400"/>
    </w:sectPr>
  </w:body>
</w:document>
</file>

<file path=word/footer1.xml><?xml version="1.0" encoding="utf-8"?>
<w:ftr xmlns:w="http://schemas.openxmlformats.org/wordprocessingml/2006/main">
  <w:p>
    <w:pPr>
      <w:pStyle w:val="Reference"/>
    </w:pPr>
    <w:r>
      <w:t xml:space="preserve">Working protocol v1.1 • 26 September 2026</w:t>
    </w:r>
  </w:p>
  <w:p>
    <w:r>
      <w:fldChar w:fldCharType="begin"/>
    </w:r>
    <w:r>
      <w:instrText>PAGE</w:instrText>
    </w:r>
    <w:r>
      <w:fldChar w:fldCharType="end"/>
    </w:r>
  </w:p>
</w:ftr>
</file>

<file path=word/header1.xml><?xml version="1.0" encoding="utf-8"?>
<w:hdr xmlns:w="http://schemas.openxmlformats.org/wordprocessingml/2006/main">
  <w:p>
    <w:pPr>
      <w:pStyle w:val="Reference"/>
    </w:pPr>
    <w:r>
      <w:t xml:space="preserve">RESEARCH MEMO  /  AGENDA &amp; IMPLEMENTATION</w:t>
    </w:r>
  </w:p>
</w:hdr>
</file>

<file path=word/styles.xml><?xml version="1.0" encoding="utf-8"?>
<w:styles xmlns:w="http://schemas.openxmlformats.org/wordprocessingml/2006/main">
  <w:docDefaults>
    <w:rPrDefault>
      <w:rPr>
        <w:rFonts w:ascii="Calibri" w:hAnsi="Calibri"/>
        <w:sz w:val="21"/>
        <w:color w:val="263445"/>
      </w:rPr>
    </w:rPrDefault>
    <w:pPrDefault>
      <w:pPr>
        <w:spacing w:after="110" w:line="260" w:lineRule="auto"/>
      </w:pPr>
    </w:pPrDefault>
  </w:docDefaults>
  <w:style w:type="paragraph" w:default="1" w:styleId="Normal">
    <w:name w:val="Normal"/>
  </w:style>
  <w:style w:type="paragraph" w:styleId="Title">
    <w:name w:val="Title"/>
    <w:basedOn w:val="Normal"/>
    <w:pPr>
      <w:spacing w:before="140" w:after="100"/>
      <w:keepNext/>
    </w:pPr>
    <w:rPr>
      <w:sz w:val="34"/>
      <w:color w:val="123E55"/>
      <w:b/>
    </w:rPr>
  </w:style>
  <w:style w:type="paragraph" w:styleId="Subtitle">
    <w:name w:val="Subtitle"/>
    <w:basedOn w:val="Normal"/>
    <w:pPr>
      <w:spacing w:before="140" w:after="100"/>
      <w:keepNext/>
    </w:pPr>
    <w:rPr>
      <w:sz w:val="20"/>
      <w:color w:val="637585"/>
    </w:rPr>
  </w:style>
  <w:style w:type="paragraph" w:styleId="Heading1">
    <w:name w:val="Heading1"/>
    <w:basedOn w:val="Normal"/>
    <w:pPr>
      <w:spacing w:before="140" w:after="100"/>
      <w:keepNext/>
    </w:pPr>
    <w:rPr>
      <w:sz w:val="25"/>
      <w:color w:val="123E55"/>
      <w:b/>
    </w:rPr>
  </w:style>
  <w:style w:type="paragraph" w:styleId="Heading2">
    <w:name w:val="Heading2"/>
    <w:basedOn w:val="Normal"/>
    <w:pPr>
      <w:spacing w:before="140" w:after="100"/>
      <w:keepNext/>
    </w:pPr>
    <w:rPr>
      <w:sz w:val="22"/>
      <w:color w:val="167A86"/>
      <w:b/>
    </w:rPr>
  </w:style>
  <w:style w:type="paragraph" w:styleId="Reference">
    <w:name w:val="Reference"/>
    <w:basedOn w:val="Normal"/>
    <w:pPr>
      <w:spacing w:before="140" w:after="100"/>
    </w:pPr>
    <w:rPr>
      <w:sz w:val="17"/>
      <w:color w:val="52616D"/>
    </w:rPr>
  </w:style>
  <w:style w:type="paragraph" w:styleId="Equation">
    <w:name w:val="Equation"/>
    <w:basedOn w:val="Normal"/>
    <w:pPr>
      <w:spacing w:before="140" w:after="100"/>
    </w:pPr>
    <w:rPr>
      <w:sz w:val="22"/>
      <w:color w:val="123E55"/>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