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Interventional representation structure</w:t>
      </w:r>
    </w:p>
    <w:p>
      <w:pPr>
        <w:pStyle w:val="Subtitle"/>
      </w:pPr>
      <w:r>
        <w:t xml:space="preserve">01 / Mathematical ideas and working assumptions</w:t>
      </w:r>
    </w:p>
    <w:p>
      <w:pPr>
        <w:pStyle w:val="Heading1"/>
      </w:pPr>
      <w:r>
        <w:t xml:space="preserve">Objects and causal graph</w:t>
      </w:r>
    </w:p>
    <w:p>
      <w:pPr>
        <w:pStyle w:val="Normal"/>
      </w:pPr>
      <w:r>
        <w:t xml:space="preserve">Let Sₜ = (pₜ,qₜ,vₜ,ωₜ) be 3D position, orientation, linear and angular velocity. Let θ = (g,e,μ) parameterize dynamics, u parameterize initial conditions, and η = (c,C,ℓ,τ) denote color, camera, lighting and texture. Write V for an RGB video, avoiding ambiguity between spatial coordinates and observations. E is a fixed pretrained encoder plus a specified pooling map. The protocol uses a 6 s physical horizon, 1/240 s simulation steps and 180 rendered frames at 30 fps; encoder inputs are sampled across that horizon. The subspace equations are independent of this duration choice.</w:t>
      </w:r>
    </w:p>
    <w:p>
      <w:pPr>
        <w:pStyle w:val="Equation"/>
      </w:pPr>
      <m:oMath>
        <m:r>
          <m:t>S₀ = h(u);   Sₜ₊₁ = F(Sₜ; θ);   V = R(S₀:ₜ; η);   z = E(V) ∈ ℝᵈ.</m:t>
        </m:r>
      </m:oMath>
    </w:p>
    <w:p>
      <w:pPr>
        <w:pStyle w:val="Equation"/>
      </w:pPr>
      <m:oMath>
        <m:r>
          <m:t>u → S₀ → S₁ → ⋯ → Sₜ → V → z;   θ → {S₁,…,Sₜ};   η → V.</m:t>
        </m:r>
      </m:oMath>
    </w:p>
    <w:p>
      <w:pPr>
        <w:pStyle w:val="Normal"/>
      </w:pPr>
      <w:r>
        <w:t xml:space="preserve">The graph is shorthand: every rendered frame depends on its corresponding state. θ affects each relevant transition; η affects observation, not physical evolution. In the designed dataset, exogenous factors are sampled independently except for explicit acceptance constraints, which must be documented.</w:t>
      </w:r>
    </w:p>
    <w:p>
      <w:pPr>
        <w:pStyle w:val="Heading1"/>
      </w:pPr>
      <w:r>
        <w:t xml:space="preserve">Paired interventions</w:t>
      </w:r>
    </w:p>
    <w:p>
      <w:pPr>
        <w:pStyle w:val="Equation"/>
      </w:pPr>
      <m:oMath>
        <m:r>
          <m:t>Vₖ,δ = G(Iₖ,δ(θ,u,η), ξ);   Δzₖ,δ = E(Vₖ,δ) − E(V).</m:t>
        </m:r>
      </m:oMath>
    </w:p>
    <w:p>
      <w:pPr>
        <w:pStyle w:val="Normal"/>
      </w:pPr>
      <w:r>
        <w:t xml:space="preserve">G composes simulation and rendering; ξ collects shared random seeds. I changes one specified coordinate, preserving all other inputs and random draws. Gravity, restitution and friction change mechanisms; velocity changes S₀; appearance changes the observation process. Both members of a pair are simulator-generated potential outcomes for the same exogenous world.</w:t>
      </w:r>
    </w:p>
    <w:p>
      <w:pPr>
        <w:pStyle w:val="Heading1"/>
      </w:pPr>
      <w:r>
        <w:t xml:space="preserve">Sparse mechanism shift connection</w:t>
      </w:r>
    </w:p>
    <w:p>
      <w:pPr>
        <w:pStyle w:val="Normal"/>
      </w:pPr>
      <w:r>
        <w:t xml:space="preserve">Causal representation learning seeks variables aligned with the world’s generative structure [1]. Sparse mechanism shifts posit that environment changes often alter only a small subset of causal mechanisms [2]. Here interventions operationalize that premise, but a single changed parameter can affect many subsequent states and pixels. Sparsity in the world does not mathematically imply a low-rank change in an arbitrary encoder.</w:t>
      </w:r>
    </w:p>
    <w:p>
      <w:pPr>
        <w:pStyle w:val="Normal"/>
      </w:pPr>
      <w:r>
        <w:t xml:space="preserve">Gravity also changes frictional forces through normal loading. Restitution changes later contact timing. Thus “one parameter changed” is weaker than “one independent structural equation changed.” Treat the sparse-mechanism connection as motivation; mechanism-level independence is itself an assumption to examine.</w:t>
      </w:r>
    </w:p>
    <w:p>
      <w:pPr>
        <w:pStyle w:val="Heading1"/>
      </w:pPr>
      <w:r>
        <w:t xml:space="preserve">Target hypothesis</w:t>
      </w:r>
    </w:p>
    <w:p>
      <w:pPr>
        <w:pStyle w:val="Equation"/>
      </w:pPr>
      <m:oMath>
        <m:r>
          <m:t>Δzₖ,δ(V) = Qₖ aₖ(V,δ) + εₖ(V,δ),   QₖᵀQₖ = Iᵣ.</m:t>
        </m:r>
      </m:oMath>
    </w:p>
    <w:p>
      <w:pPr>
        <w:pStyle w:val="Normal"/>
      </w:pPr>
      <w:r>
        <w:t xml:space="preserve">Qₖ is shared across contexts and specified doses, while coefficients may vary with the baseline world. Seek small residuals, limited rank, selective responses and transfer. The hypothesis concerns a subspace, not one neuron per physical variable. Its scope is the sampled world distribution and frozen representation.</w:t>
      </w:r>
    </w:p>
    <w:p>
      <w:r>
        <w:br w:type="page"/>
      </w:r>
    </w:p>
    <w:p>
      <w:pPr>
        <w:pStyle w:val="Title"/>
      </w:pPr>
      <w:r>
        <w:t xml:space="preserve">Local geometry and estimation</w:t>
      </w:r>
    </w:p>
    <w:p>
      <w:pPr>
        <w:pStyle w:val="Subtitle"/>
      </w:pPr>
      <w:r>
        <w:t xml:space="preserve">02 / What SVD can and cannot establish</w:t>
      </w:r>
    </w:p>
    <w:p>
      <w:pPr>
        <w:pStyle w:val="Heading1"/>
      </w:pPr>
      <w:r>
        <w:t xml:space="preserve">Local sensitivity versus global reuse</w:t>
      </w:r>
    </w:p>
    <w:p>
      <w:pPr>
        <w:pStyle w:val="Equation"/>
      </w:pPr>
      <m:oMath>
        <m:r>
          <m:t>Δzₖ,δ(V) ≈ Jₖ(V) δ,   Jₖ(V) = ∂[E ∘ G]/∂θₖ.</m:t>
        </m:r>
      </m:oMath>
    </w:p>
    <w:p>
      <w:pPr>
        <w:pStyle w:val="Normal"/>
      </w:pPr>
      <w:r>
        <w:t xml:space="preserve">For small changes away from contact discontinuities, this is a local linearization. A global Qₖ exists only if the collection of Jacobian directions is concentrated in a common span. Contact event changes and large doses may violate the approximation; evaluate them separately rather than hiding them in a single average.</w:t>
      </w:r>
    </w:p>
    <w:p>
      <w:pPr>
        <w:pStyle w:val="Heading1"/>
      </w:pPr>
      <w:r>
        <w:t xml:space="preserve">Uncentered SVD</w:t>
      </w:r>
    </w:p>
    <w:p>
      <w:pPr>
        <w:pStyle w:val="Equation"/>
      </w:pPr>
      <m:oMath>
        <m:r>
          <m:t>Dₖ = [Δz₁,ₖᵀ; … ; Δzₙ,ₖᵀ] = UΣVᵀ;   Qₖ,ᵣ = V[:,1:r].</m:t>
        </m:r>
      </m:oMath>
    </w:p>
    <w:p>
      <w:pPr>
        <w:pStyle w:val="Equation"/>
      </w:pPr>
      <m:oMath>
        <m:r>
          <m:t>Energyₖ(r) = (Σⱼ≤ᵣ σⱼ²)/(Σⱼ σⱼ²);   r₉₀ = min{r : Energyₖ(r) ≥ 0.90}.</m:t>
        </m:r>
      </m:oMath>
    </w:p>
    <w:p>
      <w:pPr>
        <w:pStyle w:val="Normal"/>
      </w:pPr>
      <w:r>
        <w:t xml:space="preserve">Rows are training pair differences. Uncentered SVD minimizes the squared reconstruction error through the origin. Fit raw differences for the primary total-effect geometry. Report effect norms and a unit-direction sensitivity analysis separately: normalizing rows changes the estimand and can amplify near-zero effects.</w:t>
      </w:r>
    </w:p>
    <w:p>
      <w:pPr>
        <w:pStyle w:val="Equation"/>
      </w:pPr>
      <m:oMath>
        <m:r>
          <m:t>mₖ = meanᵢ Δzᵢ,ₖ;   D̃ₖ[i,:] = (Δzᵢ,ₖ − mₖ)ᵀ.</m:t>
        </m:r>
      </m:oMath>
    </w:p>
    <w:p>
      <w:pPr>
        <w:pStyle w:val="Normal"/>
      </w:pPr>
      <w:r>
        <w:t xml:space="preserve">Centered SVD characterizes variation around the average intervention. A rank-one uncentered result can be driven entirely by mₖ. Report its energy fraction, ‖mₖ‖² / meanᵢ‖Δzᵢ,ₖ‖², and compare with a constant-shift predictor. The centered and uncentered analyses answer different questions.</w:t>
      </w:r>
    </w:p>
    <w:p>
      <w:pPr>
        <w:pStyle w:val="Heading1"/>
      </w:pPr>
      <w:r>
        <w:t xml:space="preserve">Generalization, not in-sample compression</w:t>
      </w:r>
    </w:p>
    <w:p>
      <w:pPr>
        <w:pStyle w:val="Equation"/>
      </w:pPr>
      <m:oMath>
        <m:r>
          <m:t>Pₖ = QₖQₖᵀ;   Rₖ = (Σᵢ ‖PₖΔzᵢ,ₖ‖²)/(Σᵢ ‖Δzᵢ,ₖ‖²).</m:t>
        </m:r>
      </m:oMath>
    </w:p>
    <w:p>
      <w:pPr>
        <w:pStyle w:val="Normal"/>
      </w:pPr>
      <w:r>
        <w:t xml:space="preserve">Evaluate R on held-out worlds. Normalized residual energy is 1 − R. Use a ratio of sums for the primary estimate; also report the distribution of per-pair retention because the aggregate weights large interventions more. If the denominator is below a preregistered render-noise floor, mark the cell uninformative rather than artificially stabilizing a ratio.</w:t>
      </w:r>
    </w:p>
    <w:p>
      <w:pPr>
        <w:pStyle w:val="Normal"/>
      </w:pPr>
      <w:r>
        <w:t xml:space="preserve">Compare all factors at the same rank, primarily r = 8. A separate validation-selected rank characterizes each factor’s achievable compression. Rank is bounded by both sample size and dimension; apparently compact subspaces from few pairs must not be interpreted as an intrinsic dimensionality estimate.</w:t>
      </w:r>
    </w:p>
    <w:p>
      <w:r>
        <w:br w:type="page"/>
      </w:r>
    </w:p>
    <w:p>
      <w:pPr>
        <w:pStyle w:val="Title"/>
      </w:pPr>
      <w:r>
        <w:t xml:space="preserve">Specificity and transport</w:t>
      </w:r>
    </w:p>
    <w:p>
      <w:pPr>
        <w:pStyle w:val="Subtitle"/>
      </w:pPr>
      <w:r>
        <w:t xml:space="preserve">03 / Separate reusable structure from shared motion</w:t>
      </w:r>
    </w:p>
    <w:p>
      <w:pPr>
        <w:pStyle w:val="Heading1"/>
      </w:pPr>
      <w:r>
        <w:t xml:space="preserve">Principal angles and overlap</w:t>
      </w:r>
    </w:p>
    <w:p>
      <w:pPr>
        <w:pStyle w:val="Equation"/>
      </w:pPr>
      <m:oMath>
        <m:r>
          <m:t>svd(QₖᵀQⱼ) has singular values cos φ₁,…,cos φₘ;   m = min(rₖ,rⱼ).</m:t>
        </m:r>
      </m:oMath>
    </w:p>
    <w:p>
      <w:pPr>
        <w:pStyle w:val="Equation"/>
      </w:pPr>
      <m:oMath>
        <m:r>
          <m:t>Overlap(k,j) = ‖QₖᵀQⱼ‖²_F / min(rₖ,rⱼ).</m:t>
        </m:r>
      </m:oMath>
    </w:p>
    <w:p>
      <w:pPr>
        <w:pStyle w:val="Normal"/>
      </w:pPr>
      <w:r>
        <w:t xml:space="preserve">Overlap lies in [0,1]; one means the smaller subspace is contained in the larger. At equal rank, small principal angles indicate shared directions. Bootstrap whole training worlds and refit bases to quantify stability; eigenvalue ties make individual basis vectors unstable even when a subspace is stable.</w:t>
      </w:r>
    </w:p>
    <w:p>
      <w:pPr>
        <w:pStyle w:val="Heading1"/>
      </w:pPr>
      <w:r>
        <w:t xml:space="preserve">Specificity matrix</w:t>
      </w:r>
    </w:p>
    <w:p>
      <w:pPr>
        <w:pStyle w:val="Equation"/>
      </w:pPr>
      <m:oMath>
        <m:r>
          <m:t>Aₖⱼ = (Σᵢ ‖PₖΔzᵢ,ⱼ‖²)/(Σᵢ ‖Δzᵢ,ⱼ‖²);   Mⱼ = Aⱼⱼ − maxₖ≠ⱼ Aₖⱼ.</m:t>
        </m:r>
      </m:oMath>
    </w:p>
    <w:p>
      <w:pPr>
        <w:pStyle w:val="Normal"/>
      </w:pPr>
      <w:r>
        <w:t xml:space="preserve">Rows are source bases and columns are held-out intervention types. A positive margin means the matching basis captures more energy than any competing basis at the same rank. The matrix need not be symmetric. A high diagonal without a positive margin can indicate generic motion encoding. Physics factors need not be orthogonal: their visual consequences and state descendants can overlap.</w:t>
      </w:r>
    </w:p>
    <w:p>
      <w:pPr>
        <w:pStyle w:val="Heading1"/>
      </w:pPr>
      <w:r>
        <w:t xml:space="preserve">Transportability</w:t>
      </w:r>
    </w:p>
    <w:p>
      <w:pPr>
        <w:pStyle w:val="Equation"/>
      </w:pPr>
      <m:oMath>
        <m:r>
          <m:t>Tₖ(A→B) = (Σᵢ∈B ‖Qₖᴬ(Qₖᴬ)ᵀΔzᵢ,ₖᴮ‖²)/(Σᵢ∈B ‖Δzᵢ,ₖᴮ‖²).</m:t>
        </m:r>
      </m:oMath>
    </w:p>
    <w:p>
      <w:pPr>
        <w:pStyle w:val="Normal"/>
      </w:pPr>
      <w:r>
        <w:t xml:space="preserve">Fit Q in source training domain A and evaluate target B without refitting, alignment or target labels. Report paired loss Rₖ(A-test) − Tₖ(A→B). B changes initial conditions, camera, rendering or intervention magnitude in separate tests. An independently fitted target basis is an exploratory geometric comparison, not evidence of zero-shot transfer.</w:t>
      </w:r>
    </w:p>
    <w:p>
      <w:pPr>
        <w:pStyle w:val="Heading1"/>
      </w:pPr>
      <w:r>
        <w:t xml:space="preserve">Matched-effect control</w:t>
      </w:r>
    </w:p>
    <w:p>
      <w:pPr>
        <w:pStyle w:val="Equation"/>
      </w:pPr>
      <m:oMath>
        <m:r>
          <m:t>h(V,V′) = [RMS projected displacement, RMS flow change, |Δcontact time|].</m:t>
        </m:r>
      </m:oMath>
    </w:p>
    <w:p>
      <w:pPr>
        <w:pStyle w:val="Equation"/>
      </w:pPr>
      <m:oMath>
        <m:r>
          <m:t>Match (i,k) to (j,v) by minimizing ‖W[hᵢ,ₖ − hⱼ,ᵥ]‖₂ subject to calipers.</m:t>
        </m:r>
      </m:oMath>
    </w:p>
    <w:p>
      <w:pPr>
        <w:pStyle w:val="Normal"/>
      </w:pPr>
      <w:r>
        <w:t xml:space="preserve">W standardizes summaries using training scales; matching rules are frozen on validation data. Candidate velocity doses are generated without consulting embeddings. Compare specificity and retention on the balanced matched subset and report overlap/attrition. Pixel-change summaries give a separate nuisance-matching analysis.</w:t>
      </w:r>
    </w:p>
    <w:p>
      <w:pPr>
        <w:pStyle w:val="Normal"/>
      </w:pPr>
      <w:r>
        <w:t xml:space="preserve">Matching on intervention consequences is a diagnostic of “more than visible effect magnitude,” not an estimate of the total causal effect. It can select a restricted population or induce selection bias. No finite collection of motion summaries proves equivalence of all visual information; residual differences must temper the interpretation.</w:t>
      </w:r>
    </w:p>
    <w:p>
      <w:r>
        <w:br w:type="page"/>
      </w:r>
    </w:p>
    <w:p>
      <w:pPr>
        <w:pStyle w:val="Title"/>
      </w:pPr>
      <w:r>
        <w:t xml:space="preserve">Counterfactual operators</w:t>
      </w:r>
    </w:p>
    <w:p>
      <w:pPr>
        <w:pStyle w:val="Subtitle"/>
      </w:pPr>
      <w:r>
        <w:t xml:space="preserve">04 / Prediction is stronger than post-hoc projection</w:t>
      </w:r>
    </w:p>
    <w:p>
      <w:pPr>
        <w:pStyle w:val="Heading1"/>
      </w:pPr>
      <w:r>
        <w:t xml:space="preserve">A deployable coefficient model</w:t>
      </w:r>
    </w:p>
    <w:p>
      <w:pPr>
        <w:pStyle w:val="Equation"/>
      </w:pPr>
      <m:oMath>
        <m:r>
          <m:t>âₖ(z,δ) = Wₖ ψ(z,δ);   ẑₖ,δ = z + Qₖâₖ(z,δ).</m:t>
        </m:r>
      </m:oMath>
    </w:p>
    <w:p>
      <w:pPr>
        <w:pStyle w:val="Normal"/>
      </w:pPr>
      <w:r>
        <w:t xml:space="preserve">For scalar factors use ψ(z,δ) = [δ; δz], with z standardized using training moments and δ expressed relative to the baseline parameter. This enforces zero change at δ = 0 and gives an explicit dose-conditioned linear operator. Nonlinear dose features are secondary. Categorical appearance factors require explicit target coding with a baseline-zero convention.</w:t>
      </w:r>
    </w:p>
    <w:p>
      <w:pPr>
        <w:pStyle w:val="Equation"/>
      </w:pPr>
      <m:oMath>
        <m:r>
          <m:t>Ŵₖ = argmin_W Σᵢ ‖QₖᵀΔzᵢ,ₖ − Wψ(zᵢ,δᵢ)‖² + λ‖W‖²_F.</m:t>
        </m:r>
      </m:oMath>
    </w:p>
    <w:p>
      <w:pPr>
        <w:pStyle w:val="Normal"/>
      </w:pPr>
      <w:r>
        <w:t xml:space="preserve">Choose λ using validation worlds. Q and W are fitted on training data only. Counterfactual test inputs are the baseline clip and known intervention; target encoding is used solely for scoring. Oracle projection z + PₖΔzₖ uses the answer and is only a geometric reconstruction ceiling.</w:t>
      </w:r>
    </w:p>
    <w:p>
      <w:pPr>
        <w:pStyle w:val="Equation"/>
      </w:pPr>
      <m:oMath>
        <m:r>
          <m:t>NMSEₖ = Σᵢ ‖ẑᵢ,ₖ − zᵢ,ₖ‖² / Σᵢ ‖zᵢ − zᵢ,ₖ‖².</m:t>
        </m:r>
      </m:oMath>
    </w:p>
    <w:p>
      <w:pPr>
        <w:pStyle w:val="Normal"/>
      </w:pPr>
      <w:r>
        <w:t xml:space="preserve">Identity has NMSE = 1 when intervention energy is nonzero. Compare a training mean shift, a dose-scaled mean shift, full-space ridge using identical ψ, and a rank-matched random-basis operator. Report signed dose extrapolation separately. An external operator’s success does not imply that V-JEPA’s native predictor implements it.</w:t>
      </w:r>
    </w:p>
    <w:p>
      <w:pPr>
        <w:pStyle w:val="Heading1"/>
      </w:pPr>
      <w:r>
        <w:t xml:space="preserve">Physical utility and temporal scope</w:t>
      </w:r>
    </w:p>
    <w:p>
      <w:pPr>
        <w:pStyle w:val="Equation"/>
      </w:pPr>
      <m:oMath>
        <m:r>
          <m:t>ŷₖ = H(ẑₖ);   yₖ = [apex height, first rebound height, horizontal travel]ₖ.</m:t>
        </m:r>
      </m:oMath>
    </w:p>
    <w:p>
      <w:pPr>
        <w:pStyle w:val="Normal"/>
      </w:pPr>
      <w:r>
        <w:t xml:space="preserve">H is a frozen readout trained on true training representations and simulated outcomes. Evaluate per-outcome error on true and predicted test embeddings, plus identity and direct baseline-to-outcome predictors. A weak H makes failure inconclusive; strong H alone establishes decodability, not causal variables. The main operator transforms whole-clip representations. A future-state experiment must instead restrict E to a pre-intervention prefix and define intervention time and prediction horizon.</w:t>
      </w:r>
    </w:p>
    <w:p>
      <w:pPr>
        <w:pStyle w:val="Heading1"/>
      </w:pPr>
      <w:r>
        <w:t xml:space="preserve">Invariance versus equivariance</w:t>
      </w:r>
    </w:p>
    <w:p>
      <w:pPr>
        <w:pStyle w:val="Equation"/>
      </w:pPr>
      <m:oMath>
        <m:r>
          <m:t>Invariance: E(R(S;η′)) ≈ E(R(S;η)).</m:t>
        </m:r>
      </m:oMath>
    </w:p>
    <w:p>
      <w:pPr>
        <w:pStyle w:val="Equation"/>
      </w:pPr>
      <m:oMath>
        <m:r>
          <m:t>Equivariance: E(R(S;η′)) ≈ ρ(η→η′) E(R(S;η)).</m:t>
        </m:r>
      </m:oMath>
    </w:p>
    <w:p>
      <w:pPr>
        <w:pStyle w:val="Normal"/>
      </w:pPr>
      <w:r>
        <w:t xml:space="preserve">A physics readout may be invariant while the full representation is viewpoint-equivariant. Zero-shot basis transport tests a fixed coordinate system and is stronger than transport after alignment. If an alignment ρ is learned from paired training views, report it as a distinct, supervised transport experiment with fresh held-out view pairs.</w:t>
      </w:r>
    </w:p>
    <w:p>
      <w:r>
        <w:br w:type="page"/>
      </w:r>
    </w:p>
    <w:p>
      <w:pPr>
        <w:pStyle w:val="Title"/>
      </w:pPr>
      <w:r>
        <w:t xml:space="preserve">Assumptions and null hypotheses</w:t>
      </w:r>
    </w:p>
    <w:p>
      <w:pPr>
        <w:pStyle w:val="Subtitle"/>
      </w:pPr>
      <w:r>
        <w:t xml:space="preserve">05 / Conditions for an interpretable result</w:t>
      </w:r>
    </w:p>
    <w:p>
      <w:pPr>
        <w:pStyle w:val="Heading1"/>
      </w:pPr>
      <w:r>
        <w:t xml:space="preserve">Identification assumptions</w:t>
      </w:r>
    </w:p>
    <w:p>
      <w:pPr>
        <w:pStyle w:val="Normal"/>
      </w:pPr>
      <w:r>
        <w:t xml:space="preserve">1. Intervention validity: exactly the declared physical or rendering input changes; shared seeds remove avoidable noise. Effective contact parameters are calibrated and camera changes never alter trajectories.</w:t>
      </w:r>
    </w:p>
    <w:p>
      <w:pPr>
        <w:pStyle w:val="Normal"/>
      </w:pPr>
      <w:r>
        <w:t xml:space="preserve">2. Observability and support: clips contain the events needed to reveal a factor. Restitution is unobservable before impact; sliding friction is unobservable without slip. Known scene scale and frame timing constrain ambiguity, but single-view RGB can still confound gravity, scale and viewpoint.</w:t>
      </w:r>
    </w:p>
    <w:p>
      <w:pPr>
        <w:pStyle w:val="Normal"/>
      </w:pPr>
      <w:r>
        <w:t xml:space="preserve">3. Positivity and coverage: every factor/dose has adequate support across the sampled contexts. Rejecting families for visibility/contact changes the population. Record this selection and avoid claims about excluded trajectories.</w:t>
      </w:r>
    </w:p>
    <w:p>
      <w:pPr>
        <w:pStyle w:val="Normal"/>
      </w:pPr>
      <w:r>
        <w:t xml:space="preserve">4. Stable measurement: one encoder, preprocessing rule and token aggregation are frozen. Leakage-free splits are defined on base worlds; temporal windows and nuisance copies are dependent observations.</w:t>
      </w:r>
    </w:p>
    <w:p>
      <w:pPr>
        <w:pStyle w:val="Normal"/>
      </w:pPr>
      <w:r>
        <w:t xml:space="preserve">5. Structural limitation: Q is identified only up to an orthogonal basis change within its span. Rank and angles are preserved by global orthogonal latent transformations, but not by arbitrary invertible nonlinear reparameterizations. The chosen embedding metric is part of the hypothesis. These experiments do not uniquely identify an SCM.</w:t>
      </w:r>
    </w:p>
    <w:p>
      <w:pPr>
        <w:pStyle w:val="Heading1"/>
      </w:pPr>
      <w:r>
        <w:t xml:space="preserve">Null models and their meanings</w:t>
      </w:r>
    </w:p>
    <w:p>
      <w:pPr>
        <w:pStyle w:val="Normal"/>
      </w:pPr>
      <w:r>
        <w:t xml:space="preserve">H₀-geometry: rank-matched random subspaces capture comparable energy. For an isotropic rank-r subspace, expected retention is r/d; use empirical draws and covariance-aware controls because embeddings are anisotropic.</w:t>
      </w:r>
    </w:p>
    <w:p>
      <w:pPr>
        <w:pStyle w:val="Normal"/>
      </w:pPr>
      <w:r>
        <w:t xml:space="preserve">H₀-pairing: shuffled baseline/target pairings yield similar compactness. This detects shared population structure masquerading as a paired intervention effect. H₀-specificity: effect-stratified factor-label permutations yield similar diagonal margins. Exchangeability is a conditional working assumption; disclose imperfect balance.</w:t>
      </w:r>
    </w:p>
    <w:p>
      <w:pPr>
        <w:pStyle w:val="Normal"/>
      </w:pPr>
      <w:r>
        <w:t xml:space="preserve">H₀-motion: matched velocity interventions or flow features reproduce the result. H₀-learning: a random-weight encoder under the same pipeline behaves similarly. H₀-utility: identity, mean-shift or full-space regression explains counterfactual performance. Different nulls address different shortcuts; none alone validates a causal interpretation.</w:t>
      </w:r>
    </w:p>
    <w:p>
      <w:pPr>
        <w:pStyle w:val="Heading1"/>
      </w:pPr>
      <w:r>
        <w:t xml:space="preserve">Uncertainty and negative evidence</w:t>
      </w:r>
    </w:p>
    <w:p>
      <w:pPr>
        <w:pStyle w:val="Normal"/>
      </w:pPr>
      <w:r>
        <w:t xml:space="preserve">Bootstrap base-world clusters with all doses/views attached. Refit bases for training-uncertainty checks; use a fixed fitted model for primary test-population confidence intervals. Label these distinct uncertainties. Prespecify multiplicity correction and practical effect sizes. A large in-sample spectral concentration with weak transfer is evidence for context-dependent geometry, not a successful compact mechanism code.</w:t>
      </w:r>
    </w:p>
    <w:p>
      <w:pPr>
        <w:pStyle w:val="Normal"/>
      </w:pPr>
      <w:r>
        <w:t xml:space="preserve">Failure can localize to physical observability, rendering cues, temporal pooling, rank, context dependence or coefficient predictability. Report each stage separately; avoid a single “physics understanding” score.</w:t>
      </w:r>
    </w:p>
    <w:p>
      <w:r>
        <w:br w:type="page"/>
      </w:r>
    </w:p>
    <w:p>
      <w:pPr>
        <w:pStyle w:val="Title"/>
      </w:pPr>
      <w:r>
        <w:t xml:space="preserve">Toward abstraction depth</w:t>
      </w:r>
    </w:p>
    <w:p>
      <w:pPr>
        <w:pStyle w:val="Subtitle"/>
      </w:pPr>
      <w:r>
        <w:t xml:space="preserve">06 / Extensions and interpretation</w:t>
      </w:r>
    </w:p>
    <w:p>
      <w:pPr>
        <w:pStyle w:val="Heading1"/>
      </w:pPr>
      <w:r>
        <w:t xml:space="preserve">Layerwise depth profiles</w:t>
      </w:r>
    </w:p>
    <w:p>
      <w:pPr>
        <w:pStyle w:val="Equation"/>
      </w:pPr>
      <m:oMath>
        <m:r>
          <m:t>Profile(ℓ) = [Rₖ,ℓ, Mₖ,ℓ, Tₖ,ℓ, 1 − NMSEₖ,ℓ].</m:t>
        </m:r>
      </m:oMath>
    </w:p>
    <w:p>
      <w:pPr>
        <w:pStyle w:val="Normal"/>
      </w:pPr>
      <w:r>
        <w:t xml:space="preserve">Repeat the frozen analysis at preregistered encoder layers, using the same token pooling and rank budget. Ask whether deeper layers retain mechanism response while improving nuisance transport and counterfactual utility. Control for dimension, variance and readout capacity. Network layer depth is an operational axis, not itself proof of conceptual abstraction.</w:t>
      </w:r>
    </w:p>
    <w:p>
      <w:pPr>
        <w:pStyle w:val="Heading1"/>
      </w:pPr>
      <w:r>
        <w:t xml:space="preserve">Compositional interventions</w:t>
      </w:r>
    </w:p>
    <w:p>
      <w:pPr>
        <w:pStyle w:val="Equation"/>
      </w:pPr>
      <m:oMath>
        <m:r>
          <m:t>Jₖⱼ(V) = E(Vₖⱼ) − E(Vₖ) − E(Vⱼ) + E(V).</m:t>
        </m:r>
      </m:oMath>
    </w:p>
    <w:p>
      <w:pPr>
        <w:pStyle w:val="Normal"/>
      </w:pPr>
      <w:r>
        <w:t xml:space="preserve">A small interaction residual supports local additivity in the chosen coordinates; a large one can reflect real nonlinear dynamics rather than representational failure. Compare predicted joint changes with the sum of single-factor operators on held-out combinations. World parameter replacements may commute even when learned latent operators do not.</w:t>
      </w:r>
    </w:p>
    <w:p>
      <w:pPr>
        <w:pStyle w:val="Equation"/>
      </w:pPr>
      <m:oMath>
        <m:r>
          <m:t>Cₖⱼ(z) = Oₖ(Oⱼ(z)) − Oⱼ(Oₖ(z)).</m:t>
        </m:r>
      </m:oMath>
    </w:p>
    <w:p>
      <w:pPr>
        <w:pStyle w:val="Normal"/>
      </w:pPr>
      <w:r>
        <w:t xml:space="preserve">Use operator commutators only for interventions whose world-level semantics commute, with doses and parameter baselines consistently tracked. Do not equate latent commutativity with causal independence.</w:t>
      </w:r>
    </w:p>
    <w:p>
      <w:pPr>
        <w:pStyle w:val="Heading1"/>
      </w:pPr>
      <w:r>
        <w:t xml:space="preserve">Beyond one global subspace</w:t>
      </w:r>
    </w:p>
    <w:p>
      <w:pPr>
        <w:pStyle w:val="Normal"/>
      </w:pPr>
      <w:r>
        <w:t xml:space="preserve">Fit phase-specific or context-conditioned subspaces for free flight, impact and sliding if the global model fails. Compare their held-out gain against added complexity. Probe whether a shared basis reappears across sphere, puck and cube scenes; object-shape changes are new physical regimes, not purely visual nuisance shifts.</w:t>
      </w:r>
    </w:p>
    <w:p>
      <w:pPr>
        <w:pStyle w:val="Normal"/>
      </w:pPr>
      <w:r>
        <w:t xml:space="preserve">Add interacting bodies, variable mass and external forces only once the one-body benchmark works. Mass is largely unidentifiable from ideal isolated ballistic motion; collisions or controlled forces can make it consequential. Progress toward abstraction by transporting an operator across objects, scenes and simulators while preserving event-level predictions.</w:t>
      </w:r>
    </w:p>
    <w:p>
      <w:pPr>
        <w:pStyle w:val="Heading1"/>
      </w:pPr>
      <w:r>
        <w:t xml:space="preserve">Permissible conclusion</w:t>
      </w:r>
    </w:p>
    <w:p>
      <w:pPr>
        <w:pStyle w:val="Normal"/>
      </w:pPr>
      <w:r>
        <w:t xml:space="preserve">If all stages succeed: “In this controlled 3D benchmark, the frozen representation supports compact, selective intervention transformations that generalize across tested contexts and improve counterfactual prediction.” Stronger causal-variable identification requires additional assumptions, environments and intervention structure.</w:t>
      </w:r>
    </w:p>
    <w:p>
      <w:pPr>
        <w:pStyle w:val="Heading1"/>
      </w:pPr>
      <w:r>
        <w:t xml:space="preserve">Primary sources • accessed 26 September 2026</w:t>
      </w:r>
    </w:p>
    <w:p>
      <w:pPr>
        <w:pStyle w:val="Reference"/>
      </w:pPr>
      <w:r>
        <w:t xml:space="preserve">[1] Schölkopf et al. Towards Causal Representation Learning (2021). https://arxiv.org/abs/2102.11107</w:t>
      </w:r>
    </w:p>
    <w:p>
      <w:pPr>
        <w:pStyle w:val="Reference"/>
      </w:pPr>
      <w:r>
        <w:t xml:space="preserve">[2] Perry, von Kügelgen and Schölkopf. Causal Discovery in Heterogeneous Environments Under the Sparse Mechanism Shift Hypothesis (2022). https://arxiv.org/abs/2206.02013</w:t>
      </w:r>
    </w:p>
    <w:p>
      <w:pPr>
        <w:pStyle w:val="Reference"/>
      </w:pPr>
      <w:r>
        <w:t xml:space="preserve">[3] V-JEPA 2.1: Unlocking Dense Features in Video Self-Supervised Learning (2026). https://arxiv.org/abs/2603.14482</w:t>
      </w:r>
    </w:p>
    <w:p>
      <w:pPr>
        <w:pStyle w:val="Reference"/>
      </w:pPr>
      <w:r>
        <w:t xml:space="preserve">The subspace tests, thresholds and operators in these memos are proposed experimental choices, not results claimed by the cited papers. See the companion agenda for concrete simulation settings, split counts and engineering gates.</w:t>
      </w:r>
    </w:p>
    <w:sectPr>
      <w:headerReference w:type="default" r:id="rId2"/>
      <w:footerReference w:type="default" r:id="rId3"/>
      <w:pgSz w:w="12240" w:h="15840"/>
      <w:pgMar w:top="850" w:right="1000" w:bottom="850" w:left="1000" w:header="400" w:footer="400"/>
    </w:sectPr>
  </w:body>
</w:document>
</file>

<file path=word/footer1.xml><?xml version="1.0" encoding="utf-8"?>
<w:ftr xmlns:w="http://schemas.openxmlformats.org/wordprocessingml/2006/main">
  <w:p>
    <w:pPr>
      <w:pStyle w:val="Reference"/>
    </w:pPr>
    <w:r>
      <w:t xml:space="preserve">Working protocol v1.1 • 26 September 2026</w:t>
    </w:r>
  </w:p>
  <w:p>
    <w:r>
      <w:fldChar w:fldCharType="begin"/>
    </w:r>
    <w:r>
      <w:instrText>PAGE</w:instrText>
    </w:r>
    <w:r>
      <w:fldChar w:fldCharType="end"/>
    </w:r>
  </w:p>
</w:ftr>
</file>

<file path=word/header1.xml><?xml version="1.0" encoding="utf-8"?>
<w:hdr xmlns:w="http://schemas.openxmlformats.org/wordprocessingml/2006/main">
  <w:p>
    <w:pPr>
      <w:pStyle w:val="Reference"/>
    </w:pPr>
    <w:r>
      <w:t xml:space="preserve">RESEARCH MEMO  /  MATHEMATICAL FRAMEWORK</w:t>
    </w:r>
  </w:p>
</w:hdr>
</file>

<file path=word/styles.xml><?xml version="1.0" encoding="utf-8"?>
<w:styles xmlns:w="http://schemas.openxmlformats.org/wordprocessingml/2006/main">
  <w:docDefaults>
    <w:rPrDefault>
      <w:rPr>
        <w:rFonts w:ascii="Calibri" w:hAnsi="Calibri"/>
        <w:sz w:val="21"/>
        <w:color w:val="263445"/>
      </w:rPr>
    </w:rPrDefault>
    <w:pPrDefault>
      <w:pPr>
        <w:spacing w:after="110" w:line="260" w:lineRule="auto"/>
      </w:pPr>
    </w:pPrDefault>
  </w:docDefaults>
  <w:style w:type="paragraph" w:default="1" w:styleId="Normal">
    <w:name w:val="Normal"/>
  </w:style>
  <w:style w:type="paragraph" w:styleId="Title">
    <w:name w:val="Title"/>
    <w:basedOn w:val="Normal"/>
    <w:pPr>
      <w:spacing w:before="140" w:after="100"/>
      <w:keepNext/>
    </w:pPr>
    <w:rPr>
      <w:sz w:val="34"/>
      <w:color w:val="123E55"/>
      <w:b/>
    </w:rPr>
  </w:style>
  <w:style w:type="paragraph" w:styleId="Subtitle">
    <w:name w:val="Subtitle"/>
    <w:basedOn w:val="Normal"/>
    <w:pPr>
      <w:spacing w:before="140" w:after="100"/>
      <w:keepNext/>
    </w:pPr>
    <w:rPr>
      <w:sz w:val="20"/>
      <w:color w:val="637585"/>
    </w:rPr>
  </w:style>
  <w:style w:type="paragraph" w:styleId="Heading1">
    <w:name w:val="Heading1"/>
    <w:basedOn w:val="Normal"/>
    <w:pPr>
      <w:spacing w:before="140" w:after="100"/>
      <w:keepNext/>
    </w:pPr>
    <w:rPr>
      <w:sz w:val="25"/>
      <w:color w:val="123E55"/>
      <w:b/>
    </w:rPr>
  </w:style>
  <w:style w:type="paragraph" w:styleId="Heading2">
    <w:name w:val="Heading2"/>
    <w:basedOn w:val="Normal"/>
    <w:pPr>
      <w:spacing w:before="140" w:after="100"/>
      <w:keepNext/>
    </w:pPr>
    <w:rPr>
      <w:sz w:val="22"/>
      <w:color w:val="167A86"/>
      <w:b/>
    </w:rPr>
  </w:style>
  <w:style w:type="paragraph" w:styleId="Reference">
    <w:name w:val="Reference"/>
    <w:basedOn w:val="Normal"/>
    <w:pPr>
      <w:spacing w:before="140" w:after="100"/>
    </w:pPr>
    <w:rPr>
      <w:sz w:val="17"/>
      <w:color w:val="52616D"/>
    </w:rPr>
  </w:style>
  <w:style w:type="paragraph" w:styleId="Equation">
    <w:name w:val="Equation"/>
    <w:basedOn w:val="Normal"/>
    <w:pPr>
      <w:spacing w:before="140" w:after="100"/>
    </w:pPr>
    <w:rPr>
      <w:sz w:val="22"/>
      <w:color w:val="123E55"/>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