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Comparison of Adjusted GVIFs Across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9"/>
        <w:gridCol w:w="1927"/>
        <w:gridCol w:w="1792"/>
        <w:gridCol w:w="1694"/>
        <w:gridCol w:w="4336"/>
        <w:gridCol w:w="268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credit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Payment using Mobile Phone or Internet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Mobile Money Services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5.18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round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GVIFs above are adjusted for degrees of freedom.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Source: Authors' calculation of the 2017 and 2021 Global Findex data (World Bank, 2018; World Bank, 2022).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Comparison of Adjusted GVIFs Across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9"/>
        <w:gridCol w:w="1927"/>
        <w:gridCol w:w="1792"/>
        <w:gridCol w:w="1694"/>
        <w:gridCol w:w="4336"/>
        <w:gridCol w:w="268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credit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Payment using Mobile Phone or Internet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Mobile Money Services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5.18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round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GVIFs above are adjusted for degrees of freedom.</w:t>
            </w:r>
          </w:p>
        </w:tc>
      </w:tr>
    </w:tbl>
    <w:sectPr>
      <w:pgMar w:header="708" w:bottom="1417" w:top="1417" w:right="1417" w:left="1417" w:footer="708" w:gutter="0"/>
      <w:pgSz w:h="30240" w:w="4276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2025-07-07T17:28:58Z</dcterms:modified>
  <cp:category/>
</cp:coreProperties>
</file>