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x.** Logistic Regression Results of Financial Account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5"/>
        <w:gridCol w:w="1096"/>
        <w:gridCol w:w="96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(years),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Currently in the workforce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 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2017, before the 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2021, during the 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00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OR = Odds Ratio, SE = Standard Error</w:t>
            </w:r>
          </w:p>
        </w:tc>
      </w:tr>
    </w:tbl>
    <w:sectPr>
      <w:pgMar w:header="720" w:bottom="1440" w:top="1440" w:right="1440" w:left="1440" w:footer="720" w:gutter="720"/>
      <w:pgSz w:h="42768" w:w="30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2025-07-05T08:11:46Z</dcterms:modified>
  <cp:category/>
</cp:coreProperties>
</file>