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581"/>
        <w:gridCol w:w="1609"/>
        <w:gridCol w:w="3296"/>
        <w:gridCol w:w="3308"/>
      </w:tblGrid>
      <w:tr>
        <w:trPr>
          <w:trHeight w:val="8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2,062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2017, before the pandemic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1,000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2021, during the pandemic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1,062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Dependent variables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Formal account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948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467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 (45%)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1,114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533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581 (55%)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Formal saving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861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368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493 (46%)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632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569 (54%)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Formal credit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1,053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611 (58%)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558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451 (42%)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Used mobile phone or internet to make payments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 (76%)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 (24%)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Used mobile money services in the last 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1,932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961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 (91%)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(8.6%)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Explanatory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853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393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460 (43%)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1,209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607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602 (57%)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(27, 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(27, 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(26, 50)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665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(31%)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1,322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695 (65%)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Tertiary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(4.0%)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Currently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756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392 (37%)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1,306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636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670 (63%)</w:t>
            </w:r>
          </w:p>
        </w:tc>
      </w:tr>
      <w:tr>
        <w:trPr>
          <w:trHeight w:val="61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 quintile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Income-lowest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(17%)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Income-second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 (18%)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Income-third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 (19%)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Income-fourth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405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 (20%)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Income-highest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277 (26%)</w:t>
            </w:r>
          </w:p>
        </w:tc>
      </w:tr>
      <w:tr>
        <w:trPr>
          <w:trHeight w:val="615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Owns a mobile 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465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 (24%)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1,588 (77%)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783 (79%)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805 (76%)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sectPr>
      <w:pgMar w:header="720" w:bottom="1440" w:top="1440" w:right="1440" w:left="1440" w:footer="720" w:gutter="720"/>
      <w:pgSz w:h="42768" w:w="30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2025-07-07T19:09:42Z</dcterms:modified>
  <cp:category/>
</cp:coreProperties>
</file>