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81"/>
        <w:gridCol w:w="1915"/>
        <w:gridCol w:w="1732"/>
        <w:gridCol w:w="1732"/>
        <w:gridCol w:w="1719"/>
        <w:gridCol w:w="1719"/>
        <w:gridCol w:w="1719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</w:tr>
      <w:tr>
        <w:trPr>
          <w:trHeight w:val="76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 1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Main indicators of financial inclusion</w:t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948 (45.97%)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 (46.70%)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 (45.29%)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(48.24%)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1,114 (54.03%)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 (53.30%)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 (54.71%)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(50.35%)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(51.76%)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861 (41.76%)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(36.80%)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 (46.42%)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(50.92%)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1,201 (58.24%)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632 (63.20%)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 (53.58%)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(61.78%)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(49.08%)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Formal credit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1,053 (51.07%)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 (44.20%)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 (57.53%)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(58.41%)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1,009 (48.93%)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 (55.80%)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 (42.47%)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(48.02%)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(54.84%)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(41.59%)</w:t>
            </w:r>
          </w:p>
        </w:tc>
      </w:tr>
      <w:tr>
        <w:trPr>
          <w:trHeight w:val="614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Financial technology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Used mobile phone or internet to make payments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account or debit: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940 (49.58%)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 (51.40%)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 (47.96%)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(53.87%)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(56.35%)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(51.63%)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account or debit: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 (39.45%)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 (39.53%)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 (39.38%)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(35.76%)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 (10.76%)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(8.62%)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(12.66%)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(12.62%)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(6.6%)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Used mobile money services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1,932 (93.70%)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 (96.10%)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 (91.43%)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(93.70%)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(96.88%)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(90.71%)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(6.30%)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(3.90%)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(8.57%)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(6.30%)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(3.12%)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(9.29%)</w:t>
            </w:r>
          </w:p>
        </w:tc>
      </w:tr>
      <w:tr>
        <w:trPr>
          <w:trHeight w:val="614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Explanatory variables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body22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Individual is a female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 (41.37%)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 (39.30%)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 (43.31%)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(48.90%)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1,209 (58.63%)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 (60.70%)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 (56.69%)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(51.10%)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38.34 (14.34)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38.28 (14.24)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38.39 (14.45)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38.03 (15.25)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37.27 (15.05)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38.75 (15.41)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 (32.25%)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 (34.10%)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(30.51%)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(47.37%)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1,322 (64.11%)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 (62.70%)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 (65.44%)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(47.56%)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(3.64%)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(5.07%)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 (36.66%)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 (36.40%)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 (36.91%)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(37.58%)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(36.64%)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(38.46%)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1,306 (63.34%)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 (63.60%)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 (63.09%)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(62.42%)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(63.36%)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(61.54%)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 (16.97%)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(16.90%)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(17.04%)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(19.98%)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 (17.80%)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(17.90%)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 (17.70%)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 (19.16%)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 (18.80%)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(19.49%)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(19.83%)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 (19.64%)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(19.60%)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(19.68%)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(20.18%)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 (26.43%)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(26.80%)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 (26.08%)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(20.03%)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(22.65%)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(21.31%)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(23.91%)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(26.60%)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 (77.35%)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 (78.69%)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805 (76.09%)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(75.21%)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(77.15%)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(73.40%)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(0.3%)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(%); Mean (SD)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2025-11-05T17:04:21Z</dcterms:modified>
  <cp:category/>
</cp:coreProperties>
</file>