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Data Dictionary</w:t>
      </w:r>
    </w:p>
    <w:p>
      <w:pPr>
        <w:spacing w:after="60"/>
      </w:pPr>
      <w:r>
        <w:rPr>
          <w:rFonts w:ascii="Arial" w:cs="Arial" w:eastAsia="Arial" w:hAnsi="Arial"/>
          <w:color w:val="2E5FAC"/>
          <w:sz w:val="24"/>
          <w:szCs w:val="24"/>
        </w:rPr>
        <w:t xml:space="preserve">DAX Executive Compensation — Aggregated Feature Matrix</w:t>
      </w:r>
    </w:p>
    <w:p>
      <w:pPr>
        <w:pBdr>
          <w:bottom w:val="single" w:color="2E5FAC" w:sz="12" w:space="4"/>
        </w:pBdr>
        <w:spacing w:after="280"/>
      </w:pPr>
      <w:r>
        <w:rPr>
          <w:rFonts w:ascii="Arial" w:cs="Arial" w:eastAsia="Arial" w:hAnsi="Arial"/>
          <w:color w:val="888888"/>
          <w:sz w:val="18"/>
          <w:szCs w:val="18"/>
        </w:rPr>
        <w:t xml:space="preserve">TUM JA Science Hack 2026  ·  28 companies  ·  34 columns</w:t>
      </w:r>
    </w:p>
    <w:p>
      <w:pPr>
        <w:spacing w:after="160"/>
      </w:pPr>
    </w:p>
    <w:p>
      <w:pPr>
        <w:pBdr>
          <w:bottom w:val="single" w:color="2E5FAC" w:sz="6" w:space="4"/>
        </w:pBdr>
        <w:spacing w:after="120" w:before="360"/>
      </w:pPr>
      <w:r>
        <w:rPr>
          <w:rFonts w:ascii="Arial" w:cs="Arial" w:eastAsia="Arial" w:hAnsi="Arial"/>
          <w:b/>
          <w:bCs/>
          <w:color w:val="1F3864"/>
          <w:sz w:val="26"/>
          <w:szCs w:val="26"/>
        </w:rPr>
        <w:t xml:space="preserve">Overview</w:t>
      </w:r>
    </w:p>
    <w:p>
      <w:pPr>
        <w:spacing w:after="100"/>
      </w:pPr>
      <w:r>
        <w:rPr>
          <w:rFonts w:ascii="Arial" w:cs="Arial" w:eastAsia="Arial" w:hAnsi="Arial"/>
          <w:color w:val="4A4A4A"/>
          <w:sz w:val="20"/>
          <w:szCs w:val="20"/>
        </w:rPr>
        <w:t xml:space="preserve">This document describes all 34 columns in the company_aggregated_features_dax.csv file, which contains one row per DAX-listed company. Raw compensation data spans fiscal years 2006–2021 from the ORBIS/Bureau van Dijk dataset. All monetary figures in the source data are expressed in EUR thousands (€k) and represent board (Vorstand) totals for a given fiscal year.</w:t>
      </w:r>
    </w:p>
    <w:p>
      <w:pPr>
        <w:spacing w:after="100"/>
      </w:pPr>
      <w:r>
        <w:rPr>
          <w:rFonts w:ascii="Arial" w:cs="Arial" w:eastAsia="Arial" w:hAnsi="Arial"/>
          <w:color w:val="4A4A4A"/>
          <w:sz w:val="20"/>
          <w:szCs w:val="20"/>
        </w:rPr>
        <w:t xml:space="preserve">Aggregation is performed per company across available years using the median, which is robust to single-year anomalies such as restructuring payments or outstanding LTI vesting events. Pay mix ratios are computed at the year level before aggregation, not from the aggregated totals, to avoid distortion from headcount changes.</w:t>
      </w:r>
    </w:p>
    <w:p>
      <w:pPr>
        <w:spacing w:after="80"/>
      </w:pPr>
    </w:p>
    <w:p>
      <w:pPr>
        <w:spacing w:after="80" w:before="240"/>
      </w:pPr>
      <w:r>
        <w:rPr>
          <w:rFonts w:ascii="Arial" w:cs="Arial" w:eastAsia="Arial" w:hAnsi="Arial"/>
          <w:b/>
          <w:bCs/>
          <w:color w:val="2E5FAC"/>
          <w:sz w:val="22"/>
          <w:szCs w:val="22"/>
        </w:rPr>
        <w:t xml:space="preserve">Column groups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Group</w:t>
            </w:r>
          </w:p>
        </w:tc>
        <w:tc>
          <w:tcPr>
            <w:tcW w:type="dxa" w:w="14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Count</w:t>
            </w:r>
          </w:p>
        </w:tc>
        <w:tc>
          <w:tcPr>
            <w:tcW w:type="dxa" w:w="47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Purpose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Identifier</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4 columns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Columns that uniquely identify each company. These are not used as features in clustering or prediction models.</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Pay Mix Ratio</w:t>
            </w:r>
          </w:p>
        </w:tc>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7 columns</w:t>
            </w:r>
          </w:p>
        </w:tc>
        <w:tc>
          <w:tcPr>
            <w:tcW w:type="dxa" w:w="4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Shares of total compensation attributed to each pay component, computed per year then aggregated as medians across available years. All values are dimensionless fractions between 0 and 1. Note: ratio_variable is the sum of ratio_sti + ratio_lti + ratio_equity — avoid using both the aggregate and its sub-components together in models.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Incentive Aggressiveness</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1 column</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Measures how aggressively variable pay is used relative to fixed salary. Unlike pay mix ratios, this is not bounded at 1.</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Equity Instrument Split</w:t>
            </w:r>
          </w:p>
        </w:tc>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2 columns</w:t>
            </w:r>
          </w:p>
        </w:tc>
        <w:tc>
          <w:tcPr>
            <w:tcW w:type="dxa" w:w="4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For companies that grant equity, the split between restricted stock and stock options. Companies with no equity grants at all have both columns set to 0.</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Pay Level</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1 column</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Absolute compensation level, log-transformed for clustering use. Per-executive figures are obtained by dividing board totals by n_executives.</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Per-Executive Level (€k)</w:t>
            </w:r>
          </w:p>
        </w:tc>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11 columns</w:t>
            </w:r>
          </w:p>
        </w:tc>
        <w:tc>
          <w:tcPr>
            <w:tcW w:type="dxa" w:w="4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Raw (non-log) per-executive compensation components in EUR thousands, aggregated as medians across available years. These are the underlying figures behind the pay mix ratios and log_tc_pe.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Structural</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3 columns</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Firm-level structural characteristics used as features in peer grouping.</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Coverage Metadata</w:t>
            </w:r>
          </w:p>
        </w:tc>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5 columns</w:t>
            </w:r>
          </w:p>
        </w:tc>
        <w:tc>
          <w:tcPr>
            <w:tcW w:type="dxa" w:w="4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Information about data availability for each company. Not used directly in modelling but essential for interpreting the reliability of aggregated features and flagging low-confidence companies.</w:t>
            </w:r>
          </w:p>
        </w:tc>
      </w:tr>
    </w:tbl>
    <w:p>
      <w:pPr>
        <w:spacing w:after="200"/>
      </w:pPr>
    </w:p>
    <w:p>
      <w:pPr>
        <w:pBdr>
          <w:bottom w:val="single" w:color="2E5FAC" w:sz="6" w:space="4"/>
        </w:pBdr>
        <w:spacing w:after="120" w:before="360"/>
      </w:pPr>
      <w:r>
        <w:rPr>
          <w:rFonts w:ascii="Arial" w:cs="Arial" w:eastAsia="Arial" w:hAnsi="Arial"/>
          <w:b/>
          <w:bCs/>
          <w:color w:val="1F3864"/>
          <w:sz w:val="26"/>
          <w:szCs w:val="26"/>
        </w:rPr>
        <w:t xml:space="preserve">Identifier</w:t>
      </w:r>
    </w:p>
    <w:p>
      <w:pPr>
        <w:spacing w:after="100"/>
      </w:pPr>
      <w:r>
        <w:rPr>
          <w:rFonts w:ascii="Arial" w:cs="Arial" w:eastAsia="Arial" w:hAnsi="Arial"/>
          <w:color w:val="4A4A4A"/>
          <w:sz w:val="20"/>
          <w:szCs w:val="20"/>
        </w:rPr>
        <w:t xml:space="preserve">Columns that uniquely identify each company. These are not used as features in clustering or prediction models.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Column name</w:t>
            </w:r>
          </w:p>
        </w:tc>
        <w:tc>
          <w:tcPr>
            <w:tcW w:type="dxa" w:w="45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14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isin</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International Securities Identification Number — the unique 12-character alphanumeric code assigned to each listed company. Used as the primary key across all datasets.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String</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e.g. DE0005140008</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company_shortname</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Abbreviated company name used for display and labelling. Reflects the most recent name on record where a company was renamed during the observation window (e.g. Metro AG became Metro_neu2017).</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String</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company_name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Full legal company name as registered, taken from the most recent year of available data.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String</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sector</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GICS (Global Industry Classification Standard) sector assigned to the company based on its primary business activity. Used as a structural grouping variable in peer analysis.</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String</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e.g. Financials, Health Care, Industrials</w:t>
            </w:r>
          </w:p>
        </w:tc>
      </w:tr>
    </w:tbl>
    <w:p>
      <w:pPr>
        <w:spacing w:after="200"/>
      </w:pPr>
    </w:p>
    <w:p>
      <w:pPr>
        <w:pBdr>
          <w:bottom w:val="single" w:color="2E5FAC" w:sz="6" w:space="4"/>
        </w:pBdr>
        <w:spacing w:after="120" w:before="360"/>
      </w:pPr>
      <w:r>
        <w:rPr>
          <w:rFonts w:ascii="Arial" w:cs="Arial" w:eastAsia="Arial" w:hAnsi="Arial"/>
          <w:b/>
          <w:bCs/>
          <w:color w:val="1F3864"/>
          <w:sz w:val="26"/>
          <w:szCs w:val="26"/>
        </w:rPr>
        <w:t xml:space="preserve">Pay Mix Ratio</w:t>
      </w:r>
    </w:p>
    <w:p>
      <w:pPr>
        <w:spacing w:after="100"/>
      </w:pPr>
      <w:r>
        <w:rPr>
          <w:rFonts w:ascii="Arial" w:cs="Arial" w:eastAsia="Arial" w:hAnsi="Arial"/>
          <w:color w:val="4A4A4A"/>
          <w:sz w:val="20"/>
          <w:szCs w:val="20"/>
        </w:rPr>
        <w:t xml:space="preserve">Shares of total compensation attributed to each pay component, computed per year then aggregated as medians across available years. All values are dimensionless fractions between 0 and 1. Note: ratio_variable is the sum of ratio_sti + ratio_lti + ratio_equity — avoid using both the aggregate and its sub-components together in models.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Column name</w:t>
            </w:r>
          </w:p>
        </w:tc>
        <w:tc>
          <w:tcPr>
            <w:tcW w:type="dxa" w:w="45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14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ratio_salary</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share of total compensation paid as fixed base salary across all available years. Computed as salary_bt / total_comp_bt per year, then aggregated to company median.</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Higher value = more fixed-pay oriented</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ratio_sti</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share of total compensation paid as short-term (one-year) bonus. Computed as one_year_bonus_bt / total_comp_bt per year.</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STI = Short-Term Incentive</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ratio_lti</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share of total compensation paid as multi-year (long-term) cash bonus. Computed as multi_year_bonus_bt / total_comp_bt per year.</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LTI = Long-Term Incentive (cash component only)</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ratio_equity</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share of total compensation delivered as equity grants (stocks or options). Computed as total_equity_grants_bt / total_comp_bt per year.</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Separate from cash LTI — captures equity-linked pay</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ratio_variable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share of total compensation that is variable (performance-linked). Computed as (one_year_bonus_bt + multi_year_bonus_bt + total_equity_grants_bt) / total_comp_bt. This is the aggregate of ratio_sti + ratio_lti + ratio_equity.</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Avoid using alongside sub-components to prevent double-counting in models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ratio_other</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share of total compensation classified as other annual benefits (e.g. company cars, allowances, non-cash perks). Computed as other_annual_bt / total_comp_bt.</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ratio_pension</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share of total compensation attributed to pension service costs or contributions. Computed as pension_bt / total_comp_bt.</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Can be material for German companies with defined-benefit obligations</w:t>
            </w:r>
          </w:p>
        </w:tc>
      </w:tr>
    </w:tbl>
    <w:p>
      <w:pPr>
        <w:spacing w:after="200"/>
      </w:pPr>
    </w:p>
    <w:p>
      <w:pPr>
        <w:pBdr>
          <w:bottom w:val="single" w:color="2E5FAC" w:sz="6" w:space="4"/>
        </w:pBdr>
        <w:spacing w:after="120" w:before="360"/>
      </w:pPr>
      <w:r>
        <w:rPr>
          <w:rFonts w:ascii="Arial" w:cs="Arial" w:eastAsia="Arial" w:hAnsi="Arial"/>
          <w:b/>
          <w:bCs/>
          <w:color w:val="1F3864"/>
          <w:sz w:val="26"/>
          <w:szCs w:val="26"/>
        </w:rPr>
        <w:t xml:space="preserve">Incentive Aggressiveness</w:t>
      </w:r>
    </w:p>
    <w:p>
      <w:pPr>
        <w:spacing w:after="100"/>
      </w:pPr>
      <w:r>
        <w:rPr>
          <w:rFonts w:ascii="Arial" w:cs="Arial" w:eastAsia="Arial" w:hAnsi="Arial"/>
          <w:color w:val="4A4A4A"/>
          <w:sz w:val="20"/>
          <w:szCs w:val="20"/>
        </w:rPr>
        <w:t xml:space="preserve">Measures how aggressively variable pay is used relative to fixed salary. Unlike pay mix ratios, this is not bounded at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Column name</w:t>
            </w:r>
          </w:p>
        </w:tc>
        <w:tc>
          <w:tcPr>
            <w:tcW w:type="dxa" w:w="45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14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vpi</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Variable Pay Intensity — the ratio of total variable pay (STI + LTI + equity) to fixed base salary. Unlike ratio_variable, this is not capped at 1 and measures how many times the base salary is matched by variable pay. Median across all available years.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 0</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VPI of 2.0 means variable pay is twice the base salary on average</w:t>
            </w:r>
          </w:p>
        </w:tc>
      </w:tr>
    </w:tbl>
    <w:p>
      <w:pPr>
        <w:spacing w:after="200"/>
      </w:pPr>
    </w:p>
    <w:p>
      <w:pPr>
        <w:pBdr>
          <w:bottom w:val="single" w:color="2E5FAC" w:sz="6" w:space="4"/>
        </w:pBdr>
        <w:spacing w:after="120" w:before="360"/>
      </w:pPr>
      <w:r>
        <w:rPr>
          <w:rFonts w:ascii="Arial" w:cs="Arial" w:eastAsia="Arial" w:hAnsi="Arial"/>
          <w:b/>
          <w:bCs/>
          <w:color w:val="1F3864"/>
          <w:sz w:val="26"/>
          <w:szCs w:val="26"/>
        </w:rPr>
        <w:t xml:space="preserve">Equity Instrument Split</w:t>
      </w:r>
    </w:p>
    <w:p>
      <w:pPr>
        <w:spacing w:after="100"/>
      </w:pPr>
      <w:r>
        <w:rPr>
          <w:rFonts w:ascii="Arial" w:cs="Arial" w:eastAsia="Arial" w:hAnsi="Arial"/>
          <w:color w:val="4A4A4A"/>
          <w:sz w:val="20"/>
          <w:szCs w:val="20"/>
        </w:rPr>
        <w:t xml:space="preserve">For companies that grant equity, the split between restricted stock and stock options. Companies with no equity grants at all have both columns set to 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Column name</w:t>
            </w:r>
          </w:p>
        </w:tc>
        <w:tc>
          <w:tcPr>
            <w:tcW w:type="dxa" w:w="45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14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ratio_stock_in_equity</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Among equity grants, the median share delivered as restricted stock (rather than options). Computed as stock_grants_bt / total_equity_grants_bt. Set to 0 for companies that never granted equity.</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0 = no stock grants; 1 = all equity via stock</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ratio_option_in_equity</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Among equity grants, the median share delivered as stock options (rather than restricted stock). Computed as option_grants_bt / total_equity_grants_bt. Set to 0 for companies that never granted equity.</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[0–1]</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0 = no option grants; 1 = all equity via options</w:t>
            </w:r>
          </w:p>
        </w:tc>
      </w:tr>
    </w:tbl>
    <w:p>
      <w:pPr>
        <w:spacing w:after="200"/>
      </w:pPr>
    </w:p>
    <w:p>
      <w:pPr>
        <w:pBdr>
          <w:bottom w:val="single" w:color="2E5FAC" w:sz="6" w:space="4"/>
        </w:pBdr>
        <w:spacing w:after="120" w:before="360"/>
      </w:pPr>
      <w:r>
        <w:rPr>
          <w:rFonts w:ascii="Arial" w:cs="Arial" w:eastAsia="Arial" w:hAnsi="Arial"/>
          <w:b/>
          <w:bCs/>
          <w:color w:val="1F3864"/>
          <w:sz w:val="26"/>
          <w:szCs w:val="26"/>
        </w:rPr>
        <w:t xml:space="preserve">Pay Level</w:t>
      </w:r>
    </w:p>
    <w:p>
      <w:pPr>
        <w:spacing w:after="100"/>
      </w:pPr>
      <w:r>
        <w:rPr>
          <w:rFonts w:ascii="Arial" w:cs="Arial" w:eastAsia="Arial" w:hAnsi="Arial"/>
          <w:color w:val="4A4A4A"/>
          <w:sz w:val="20"/>
          <w:szCs w:val="20"/>
        </w:rPr>
        <w:t xml:space="preserve">Absolute compensation level, log-transformed for clustering use. Per-executive figures are obtained by dividing board totals by n_executives.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Column name</w:t>
            </w:r>
          </w:p>
        </w:tc>
        <w:tc>
          <w:tcPr>
            <w:tcW w:type="dxa" w:w="45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14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log_tc_pe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Natural log of median per-executive total compensation (total_comp_bt / n_executives). Log transformation reduces right-skew caused by a small number of very high-paying companies. Used as the pay level feature in clustering.</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Reverse with exp(x) − 1 to get EUR thousands</w:t>
            </w:r>
          </w:p>
        </w:tc>
      </w:tr>
    </w:tbl>
    <w:p>
      <w:pPr>
        <w:spacing w:after="200"/>
      </w:pPr>
    </w:p>
    <w:p>
      <w:pPr>
        <w:pBdr>
          <w:bottom w:val="single" w:color="2E5FAC" w:sz="6" w:space="4"/>
        </w:pBdr>
        <w:spacing w:after="120" w:before="360"/>
      </w:pPr>
      <w:r>
        <w:rPr>
          <w:rFonts w:ascii="Arial" w:cs="Arial" w:eastAsia="Arial" w:hAnsi="Arial"/>
          <w:b/>
          <w:bCs/>
          <w:color w:val="1F3864"/>
          <w:sz w:val="26"/>
          <w:szCs w:val="26"/>
        </w:rPr>
        <w:t xml:space="preserve">Per-Executive Level (€k)</w:t>
      </w:r>
    </w:p>
    <w:p>
      <w:pPr>
        <w:spacing w:after="100"/>
      </w:pPr>
      <w:r>
        <w:rPr>
          <w:rFonts w:ascii="Arial" w:cs="Arial" w:eastAsia="Arial" w:hAnsi="Arial"/>
          <w:color w:val="4A4A4A"/>
          <w:sz w:val="20"/>
          <w:szCs w:val="20"/>
        </w:rPr>
        <w:t xml:space="preserve">Raw (non-log) per-executive compensation components in EUR thousands, aggregated as medians across available years. These are the underlying figures behind the pay mix ratios and log_tc_pe.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Column name</w:t>
            </w:r>
          </w:p>
        </w:tc>
        <w:tc>
          <w:tcPr>
            <w:tcW w:type="dxa" w:w="45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14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salary_bt_pe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fixed base salary in EUR thousands. Derived from salary_bt / n_executives per year, then aggregated across years.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one_year_bonus_bt_pe</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short-term (one-year) bonus in EUR thousands.</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multi_year_bonus_bt_pe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multi-year (long-term cash) bonus in EUR thousands.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total_equity_grants_bt_pe</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fair value of equity grants (stocks + options) in EUR thousands.</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stock_grants_bt_pe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fair value of restricted stock grants in EUR thousands.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option_grants_bt_pe</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fair value of stock option grants in EUR thousands.</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other_annual_bt_pe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other annual benefits (allowances, perquisites) in EUR thousands.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total_comp_bt_pe</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total compensation (salary + STI + LTI + equity + other) in EUR thousands. This is the primary pay level metric before log-transformation.</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Core benchmark figure for pay comparison</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one_time_payment_bt_pe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one-time special payments in EUR thousands (e.g. sign-on bonuses, retention awards, severance). Excluded from total_comp_bt but included in total_comp_pens_and_one_time_bt.</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Treat with caution — can distort averages in restructuring years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pension_bt_pe</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pension service cost or contribution in EUR thousands.</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total_comp_pens_and_one_time_bt_pe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per-executive total compensation including pension costs and one-time payments in EUR thousands. The most comprehensive pay measure available in the dataset.</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(€k)</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
            </w:r>
          </w:p>
        </w:tc>
      </w:tr>
    </w:tbl>
    <w:p>
      <w:pPr>
        <w:spacing w:after="200"/>
      </w:pPr>
    </w:p>
    <w:p>
      <w:pPr>
        <w:pBdr>
          <w:bottom w:val="single" w:color="2E5FAC" w:sz="6" w:space="4"/>
        </w:pBdr>
        <w:spacing w:after="120" w:before="360"/>
      </w:pPr>
      <w:r>
        <w:rPr>
          <w:rFonts w:ascii="Arial" w:cs="Arial" w:eastAsia="Arial" w:hAnsi="Arial"/>
          <w:b/>
          <w:bCs/>
          <w:color w:val="1F3864"/>
          <w:sz w:val="26"/>
          <w:szCs w:val="26"/>
        </w:rPr>
        <w:t xml:space="preserve">Structural</w:t>
      </w:r>
    </w:p>
    <w:p>
      <w:pPr>
        <w:spacing w:after="100"/>
      </w:pPr>
      <w:r>
        <w:rPr>
          <w:rFonts w:ascii="Arial" w:cs="Arial" w:eastAsia="Arial" w:hAnsi="Arial"/>
          <w:color w:val="4A4A4A"/>
          <w:sz w:val="20"/>
          <w:szCs w:val="20"/>
        </w:rPr>
        <w:t xml:space="preserve">Firm-level structural characteristics used as features in peer grouping.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Column name</w:t>
            </w:r>
          </w:p>
        </w:tc>
        <w:tc>
          <w:tcPr>
            <w:tcW w:type="dxa" w:w="45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14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n_executives_median</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Median number of board members (Vorstand) covered across all reporting years. Reflects typical board size, though it can vary year-to-year due to mid-year appointments or departures. All _bt compensation figures are totals for this headcount.</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Typically 3–10 for DAX companies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index_score</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Numeric encoding of the company's index membership. DAX = 1.0, MDAX = 0.0, dual-listed (DAX and MDAX) = 0.5. Where listing changed over the observation window, the median score across years is used.</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Float {0, 0.5, 1}</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All DAX-filtered companies will have index_score = 1.0</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ever_opted_out</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Binary flag indicating whether the company ever opted out of individual executive pay disclosure requirements (opting_out = 1 in any year). Relevant for data completeness assessment and regulatory analysis.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Integer {0, 1}</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1 = company used the opt-out at least once</w:t>
            </w:r>
          </w:p>
        </w:tc>
      </w:tr>
    </w:tbl>
    <w:p>
      <w:pPr>
        <w:spacing w:after="200"/>
      </w:pPr>
    </w:p>
    <w:p>
      <w:pPr>
        <w:pBdr>
          <w:bottom w:val="single" w:color="2E5FAC" w:sz="6" w:space="4"/>
        </w:pBdr>
        <w:spacing w:after="120" w:before="360"/>
      </w:pPr>
      <w:r>
        <w:rPr>
          <w:rFonts w:ascii="Arial" w:cs="Arial" w:eastAsia="Arial" w:hAnsi="Arial"/>
          <w:b/>
          <w:bCs/>
          <w:color w:val="1F3864"/>
          <w:sz w:val="26"/>
          <w:szCs w:val="26"/>
        </w:rPr>
        <w:t xml:space="preserve">Coverage Metadata</w:t>
      </w:r>
    </w:p>
    <w:p>
      <w:pPr>
        <w:spacing w:after="100"/>
      </w:pPr>
      <w:r>
        <w:rPr>
          <w:rFonts w:ascii="Arial" w:cs="Arial" w:eastAsia="Arial" w:hAnsi="Arial"/>
          <w:color w:val="4A4A4A"/>
          <w:sz w:val="20"/>
          <w:szCs w:val="20"/>
        </w:rPr>
        <w:t xml:space="preserve">Information about data availability for each company. Not used directly in modelling but essential for interpreting the reliability of aggregated features and flagging low-confidence companies.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Column name</w:t>
            </w:r>
          </w:p>
        </w:tc>
        <w:tc>
          <w:tcPr>
            <w:tcW w:type="dxa" w:w="45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Description</w:t>
            </w:r>
          </w:p>
        </w:tc>
        <w:tc>
          <w:tcPr>
            <w:tcW w:type="dxa" w:w="120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Type</w:t>
            </w:r>
          </w:p>
        </w:tc>
        <w:tc>
          <w:tcPr>
            <w:tcW w:type="dxa" w:w="1460"/>
            <w:tcBorders>
              <w:top w:val="none" w:color="FFFFFF" w:sz="0"/>
              <w:left w:val="none" w:color="FFFFFF" w:sz="0"/>
              <w:bottom w:val="none" w:color="FFFFFF" w:sz="0"/>
              <w:right w:val="none" w:color="FFFFFF" w:sz="0"/>
            </w:tcBorders>
            <w:shd w:fill="2E5FAC"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year_count</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Number of fiscal years for which compensation data is available for this company in the dataset. Ranges from 1 to 16 (2006–2021). Used to assess reliability of the aggregated features.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Integer</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See data_confidence for an interpreted tier</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year_min</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First fiscal year of available data for this company.</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Integer</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Earliest: 2006</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year_max</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Last fiscal year of available data for this company.</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Integer</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Latest: 2021</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index_listing_last</w:t>
            </w:r>
          </w:p>
        </w:tc>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Index listing as of the most recent year of available data. Used as the primary filter to identify DAX vs MDAX companies. Companies that moved between indices retain their most recent classification.</w:t>
            </w:r>
          </w:p>
        </w:tc>
        <w:tc>
          <w:tcPr>
            <w:tcW w:type="dxa" w:w="1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String</w:t>
            </w:r>
          </w:p>
        </w:tc>
        <w:tc>
          <w:tcPr>
            <w:tcW w:type="dxa" w:w="14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DAX | MDAX | DAX and MDAX</w:t>
            </w:r>
          </w:p>
        </w:tc>
      </w:tr>
      <w:tr>
        <w:tc>
          <w:tcPr>
            <w:tcW w:type="dxa" w:w="2200"/>
            <w:tcBorders>
              <w:top w:val="single" w:color="AABBD0" w:sz="1"/>
              <w:left w:val="single" w:color="AABBD0" w:sz="1"/>
              <w:bottom w:val="single" w:color="AABBD0" w:sz="1"/>
              <w:right w:val="single" w:color="AABBD0" w:sz="1"/>
            </w:tcBorders>
            <w:shd w:fill="D9E2F3" w:val="clear"/>
            <w:tcMar>
              <w:top w:type="dxa" w:w="80"/>
              <w:left w:type="dxa" w:w="140"/>
              <w:bottom w:type="dxa" w:w="80"/>
              <w:right w:type="dxa" w:w="140"/>
            </w:tcMar>
          </w:tcPr>
          <w:p>
            <w:pPr>
              <w:jc w:val="left"/>
            </w:pPr>
            <w:r>
              <w:rPr>
                <w:rFonts w:ascii="Arial" w:cs="Arial" w:eastAsia="Arial" w:hAnsi="Arial"/>
                <w:b/>
                <w:bCs/>
                <w:i w:val="false"/>
                <w:iCs w:val="false"/>
                <w:color w:val="1F3864"/>
                <w:sz w:val="20"/>
                <w:szCs w:val="20"/>
              </w:rPr>
              <w:t xml:space="preserve">data_confidence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Qualitative tier summarising how many years of data underlie the aggregated features. very_low = 1–2 years, low = 3–5 years, medium = 6–10 years, high = 11–16 years. Lower confidence companies may have noisier aggregated features.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555555"/>
                <w:sz w:val="20"/>
                <w:szCs w:val="20"/>
              </w:rPr>
              <w:t xml:space="preserve">Categorical</w:t>
            </w:r>
          </w:p>
        </w:tc>
        <w:tc>
          <w:tcPr>
            <w:tcW w:type="dxa" w:w="1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66666"/>
                <w:sz w:val="20"/>
                <w:szCs w:val="20"/>
              </w:rPr>
              <w:t xml:space="preserve">very_low | low | medium | high</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DAX Compensation Data Dictionary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2026-06-20T07:27:33.238Z</dcterms:created>
  <dcterms:modified xsi:type="dcterms:W3CDTF">2026-06-20T07:27:33.238Z</dcterms:modified>
</cp:coreProperties>
</file>

<file path=docProps/custom.xml><?xml version="1.0" encoding="utf-8"?>
<Properties xmlns="http://schemas.openxmlformats.org/officeDocument/2006/custom-properties" xmlns:vt="http://schemas.openxmlformats.org/officeDocument/2006/docPropsVTypes"/>
</file>