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0000" w:color="auto" w:val="clear"/>
        <w:spacing w:after="200"/>
        <w:jc w:val="center"/>
      </w:pPr>
      <w:r>
        <w:rPr>
          <w:b/>
          <w:bCs/>
          <w:color w:val="FFFFFF"/>
          <w:sz w:val="20"/>
          <w:szCs w:val="20"/>
        </w:rPr>
        <w:t xml:space="preserve">CONFIDENTIAL — CLASSIFICATION: INTERNAL RESTRICTED</w:t>
      </w:r>
    </w:p>
    <w:p>
      <w:pPr>
        <w:pStyle w:val="Title"/>
      </w:pPr>
      <w:r>
        <w:t xml:space="preserve">Incident Review Memorandum</w:t>
      </w:r>
    </w:p>
    <w:p>
      <w:pPr>
        <w:pStyle w:val="Heading2"/>
      </w:pPr>
      <w:r>
        <w:t xml:space="preserve">Operation Kraken's Wake — Network Intrusion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EEEEE" w:color="auto" w:val="clear"/>
          </w:tcPr>
          <w:p>
            <w:r>
              <w:rPr>
                <w:b/>
                <w:bCs/>
                <w:sz w:val="20"/>
                <w:szCs w:val="20"/>
              </w:rPr>
              <w:t xml:space="preserve">Document Control Ref.</w:t>
            </w:r>
          </w:p>
        </w:tc>
        <w:tc>
          <w:tcPr>
            <w:tcW w:type="dxa" w:w="6000"/>
          </w:tcPr>
          <w:p>
            <w:r>
              <w:rPr>
                <w:sz w:val="20"/>
                <w:szCs w:val="20"/>
              </w:rPr>
              <w:t xml:space="preserve">DOC-2K26-5396b9-A</w:t>
            </w:r>
          </w:p>
        </w:tc>
      </w:tr>
      <w:tr>
        <w:tc>
          <w:tcPr>
            <w:tcW w:type="dxa" w:w="3000"/>
            <w:shd w:fill="EEEEEE" w:color="auto" w:val="clear"/>
          </w:tcPr>
          <w:p>
            <w:r>
              <w:rPr>
                <w:b/>
                <w:bCs/>
                <w:sz w:val="20"/>
                <w:szCs w:val="20"/>
              </w:rPr>
              <w:t xml:space="preserve">Prepared By</w:t>
            </w:r>
          </w:p>
        </w:tc>
        <w:tc>
          <w:tcPr>
            <w:tcW w:type="dxa" w:w="6000"/>
          </w:tcPr>
          <w:p>
            <w:r>
              <w:rPr>
                <w:sz w:val="20"/>
                <w:szCs w:val="20"/>
              </w:rPr>
              <w:t xml:space="preserve">Security &amp; Risk Division, Greyjoy Systems Group</w:t>
            </w:r>
          </w:p>
        </w:tc>
      </w:tr>
      <w:tr>
        <w:tc>
          <w:tcPr>
            <w:tcW w:type="dxa" w:w="3000"/>
            <w:shd w:fill="EEEEEE" w:color="auto" w:val="clear"/>
          </w:tcPr>
          <w:p>
            <w:r>
              <w:rPr>
                <w:b/>
                <w:bCs/>
                <w:sz w:val="20"/>
                <w:szCs w:val="20"/>
              </w:rPr>
              <w:t xml:space="preserve">Distribution</w:t>
            </w:r>
          </w:p>
        </w:tc>
        <w:tc>
          <w:tcPr>
            <w:tcW w:type="dxa" w:w="6000"/>
          </w:tcPr>
          <w:p>
            <w:r>
              <w:rPr>
                <w:sz w:val="20"/>
                <w:szCs w:val="20"/>
              </w:rPr>
              <w:t xml:space="preserve">Executive Leadership, Incident Response Team</w:t>
            </w:r>
          </w:p>
        </w:tc>
      </w:tr>
      <w:tr>
        <w:tc>
          <w:tcPr>
            <w:tcW w:type="dxa" w:w="3000"/>
            <w:shd w:fill="EEEEEE" w:color="auto" w:val="clear"/>
          </w:tcPr>
          <w:p>
            <w:r>
              <w:rPr>
                <w:b/>
                <w:bCs/>
                <w:sz w:val="20"/>
                <w:szCs w:val="20"/>
              </w:rPr>
              <w:t xml:space="preserve">Status</w:t>
            </w:r>
          </w:p>
        </w:tc>
        <w:tc>
          <w:tcPr>
            <w:tcW w:type="dxa" w:w="6000"/>
          </w:tcPr>
          <w:p>
            <w:r>
              <w:rPr>
                <w:sz w:val="20"/>
                <w:szCs w:val="20"/>
              </w:rPr>
              <w:t xml:space="preserve">Final — Post-Incident Review</w:t>
            </w:r>
          </w:p>
        </w:tc>
      </w:tr>
    </w:tbl>
    <w:p>
      <w:pPr>
        <w:spacing w:before="240"/>
      </w:pPr>
    </w:p>
    <w:p>
      <w:pPr>
        <w:pStyle w:val="Heading2"/>
      </w:pPr>
      <w:r>
        <w:t xml:space="preserve">1. Background</w:t>
      </w:r>
    </w:p>
    <w:p>
      <w:pPr>
        <w:spacing w:after="160"/>
      </w:pPr>
      <w:r>
        <w:t xml:space="preserve">On the night of 14 August, the Security Operations Center flagged anomalous outbound traffic originating from the staging subnet of the Greyjoy Systems internal network. Initial triage indicated a possible unauthorized access attempt against the credential vault hosted on node GRJ-VLT-04.</w:t>
      </w:r>
    </w:p>
    <w:p>
      <w:pPr>
        <w:spacing w:after="160"/>
      </w:pPr>
      <w:r>
        <w:t xml:space="preserve">The Incident Response Team was activated at 23:47 local time and containment measures were applied to the affected VLAN within eleven minutes of detection. A full forensic capture of the subnet was initiated in parallel to preserve volatile evidence ahead of remediation.</w:t>
      </w:r>
    </w:p>
    <w:p>
      <w:pPr>
        <w:spacing w:after="160"/>
      </w:pPr>
      <w:r>
        <w:t xml:space="preserve">This memorandum summarizes the findings of the subsequent investigation, the scope of exposure, and the remediation steps taken by the Security &amp; Risk Division.</w:t>
      </w:r>
    </w:p>
    <w:p>
      <w:pPr>
        <w:spacing w:before="300"/>
      </w:pPr>
    </w:p>
    <w:p>
      <w:pPr>
        <w:jc w:val="right"/>
      </w:pPr>
      <w:r>
        <w:rPr>
          <w:color w:val="999999"/>
          <w:sz w:val="16"/>
          <w:szCs w:val="16"/>
        </w:rPr>
        <w:t xml:space="preserve">Rev. Hash Suffix: </w:t>
      </w:r>
      <w:r>
        <w:rPr>
          <w:rFonts w:ascii="Consolas" w:cs="Consolas" w:eastAsia="Consolas" w:hAnsi="Consolas"/>
          <w:color w:val="444444"/>
          <w:sz w:val="18"/>
          <w:szCs w:val="18"/>
        </w:rPr>
        <w:t xml:space="preserve">ec1a249</w:t>
      </w:r>
    </w:p>
    <w:p>
      <w:r>
        <w:br w:type="page"/>
      </w:r>
    </w:p>
    <w:p>
      <w:pPr>
        <w:shd w:fill="8B0000" w:color="auto" w:val="clear"/>
        <w:spacing w:after="200"/>
        <w:jc w:val="center"/>
      </w:pPr>
      <w:r>
        <w:rPr>
          <w:b/>
          <w:bCs/>
          <w:color w:val="FFFFFF"/>
          <w:sz w:val="20"/>
          <w:szCs w:val="20"/>
        </w:rPr>
        <w:t xml:space="preserve">CONFIDENTIAL — CLASSIFICATION: INTERNAL RESTRICTED</w:t>
      </w:r>
    </w:p>
    <w:p>
      <w:pPr>
        <w:pStyle w:val="Heading2"/>
      </w:pPr>
      <w:r>
        <w:t xml:space="preserve">2. Findings</w:t>
      </w:r>
    </w:p>
    <w:p>
      <w:pPr>
        <w:spacing w:after="160"/>
      </w:pPr>
      <w:r>
        <w:t xml:space="preserve">Log correlation across the perimeter firewall and the vault's access broker identified three distinct authentication attempts against service accounts with elevated privileges. Two of the three attempts were rejected by the multi-factor gate; the third succeeded using a credential set later confirmed to have been harvested via a phishing campaign traced to an external actor.</w:t>
      </w:r>
    </w:p>
    <w:p>
      <w:pPr>
        <w:spacing w:after="160"/>
      </w:pPr>
      <w:r>
        <w:t xml:space="preserve">The compromised session was active for approximately 26 minutes before automated anomaly detection revoked the token. During this window, directory listings were performed against two internal file shares; no evidence of data exfiltration beyond directory enumeration was identified in the capture.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1B1B" w:color="auto" w:val="clear"/>
          </w:tcPr>
          <w:p>
            <w:r>
              <w:rPr>
                <w:b/>
                <w:bCs/>
                <w:color w:val="FFFFFF"/>
                <w:sz w:val="20"/>
                <w:szCs w:val="20"/>
              </w:rPr>
              <w:t xml:space="preserve">Evidence Item</w:t>
            </w:r>
          </w:p>
        </w:tc>
        <w:tc>
          <w:tcPr>
            <w:tcW w:type="dxa" w:w="6000"/>
            <w:shd w:fill="1B1B1B" w:color="auto" w:val="clear"/>
          </w:tcPr>
          <w:p>
            <w:r>
              <w:rPr>
                <w:b/>
                <w:bCs/>
                <w:color w:val="FFFFFF"/>
                <w:sz w:val="20"/>
                <w:szCs w:val="20"/>
              </w:rPr>
              <w:t xml:space="preserve">Partial Checksum (on file)</w:t>
            </w:r>
          </w:p>
        </w:tc>
      </w:tr>
      <w:tr>
        <w:tc>
          <w:tcPr>
            <w:tcW w:type="dxa" w:w="3000"/>
            <w:shd w:fill="FFFFFF" w:color="auto" w:val="clear"/>
          </w:tcPr>
          <w:p>
            <w:r>
              <w:rPr>
                <w:b w:val="false"/>
                <w:bCs w:val="false"/>
                <w:color w:val="000000"/>
                <w:sz w:val="20"/>
                <w:szCs w:val="20"/>
              </w:rPr>
              <w:t xml:space="preserve">Session Capture #114</w:t>
            </w:r>
          </w:p>
        </w:tc>
        <w:tc>
          <w:tcPr>
            <w:tcW w:type="dxa" w:w="6000"/>
            <w:shd w:fill="FFFFFF" w:color="auto" w:val="clear"/>
          </w:tcPr>
          <w:p>
            <w:r>
              <w:rPr>
                <w:rFonts w:ascii="Consolas" w:cs="Consolas" w:eastAsia="Consolas" w:hAnsi="Consolas"/>
                <w:b w:val="false"/>
                <w:bCs w:val="false"/>
                <w:color w:val="000000"/>
                <w:sz w:val="20"/>
                <w:szCs w:val="20"/>
              </w:rPr>
              <w:t xml:space="preserve">81bf63…</w:t>
            </w:r>
          </w:p>
        </w:tc>
      </w:tr>
      <w:tr>
        <w:tc>
          <w:tcPr>
            <w:tcW w:type="dxa" w:w="3000"/>
            <w:shd w:fill="FFFFFF" w:color="auto" w:val="clear"/>
          </w:tcPr>
          <w:p>
            <w:r>
              <w:rPr>
                <w:b w:val="false"/>
                <w:bCs w:val="false"/>
                <w:color w:val="000000"/>
                <w:sz w:val="20"/>
                <w:szCs w:val="20"/>
              </w:rPr>
              <w:t xml:space="preserve">Vault Access Log Export</w:t>
            </w:r>
          </w:p>
        </w:tc>
        <w:tc>
          <w:tcPr>
            <w:tcW w:type="dxa" w:w="6000"/>
            <w:shd w:fill="FFFFFF" w:color="auto" w:val="clear"/>
          </w:tcPr>
          <w:p>
            <w:r>
              <w:rPr>
                <w:rFonts w:ascii="Consolas" w:cs="Consolas" w:eastAsia="Consolas" w:hAnsi="Consolas"/>
                <w:b w:val="false"/>
                <w:bCs w:val="false"/>
                <w:color w:val="000000"/>
                <w:sz w:val="20"/>
                <w:szCs w:val="20"/>
              </w:rPr>
              <w:t xml:space="preserve">redacted</w:t>
            </w:r>
          </w:p>
        </w:tc>
      </w:tr>
      <w:tr>
        <w:tc>
          <w:tcPr>
            <w:tcW w:type="dxa" w:w="3000"/>
            <w:shd w:fill="FFFFFF" w:color="auto" w:val="clear"/>
          </w:tcPr>
          <w:p>
            <w:r>
              <w:rPr>
                <w:b w:val="false"/>
                <w:bCs w:val="false"/>
                <w:color w:val="000000"/>
                <w:sz w:val="20"/>
                <w:szCs w:val="20"/>
              </w:rPr>
              <w:t xml:space="preserve">Firewall Correlation Set</w:t>
            </w:r>
          </w:p>
        </w:tc>
        <w:tc>
          <w:tcPr>
            <w:tcW w:type="dxa" w:w="6000"/>
            <w:shd w:fill="FFFFFF" w:color="auto" w:val="clear"/>
          </w:tcPr>
          <w:p>
            <w:r>
              <w:rPr>
                <w:rFonts w:ascii="Consolas" w:cs="Consolas" w:eastAsia="Consolas" w:hAnsi="Consolas"/>
                <w:b w:val="false"/>
                <w:bCs w:val="false"/>
                <w:color w:val="000000"/>
                <w:sz w:val="20"/>
                <w:szCs w:val="20"/>
              </w:rPr>
              <w:t xml:space="preserve">redacted</w:t>
            </w:r>
          </w:p>
        </w:tc>
      </w:tr>
    </w:tbl>
    <w:p>
      <w:pPr>
        <w:spacing w:before="240"/>
      </w:pPr>
    </w:p>
    <w:p>
      <w:pPr>
        <w:pStyle w:val="Heading2"/>
      </w:pPr>
      <w:r>
        <w:t xml:space="preserve">3. Scope of Exposure</w:t>
      </w:r>
    </w:p>
    <w:p>
      <w:pPr>
        <w:spacing w:after="160"/>
      </w:pPr>
      <w:r>
        <w:t xml:space="preserve">Based on the evidence collected, the exposure was limited to directory metadata for two internal shares. No credential material, source repositories, or customer records were accessed during the window of compromise. The affected service account was disabled and rotated at 00:22 the following morning.</w:t>
      </w:r>
    </w:p>
    <w:p>
      <w:pPr>
        <w:spacing w:before="300"/>
      </w:pPr>
    </w:p>
    <w:p>
      <w:r>
        <w:rPr>
          <w:color w:val="999999"/>
          <w:sz w:val="16"/>
          <w:szCs w:val="16"/>
        </w:rPr>
        <w:t xml:space="preserve">Cross-Ref. Ticket: </w:t>
      </w:r>
      <w:r>
        <w:rPr>
          <w:rFonts w:ascii="Consolas" w:cs="Consolas" w:eastAsia="Consolas" w:hAnsi="Consolas"/>
          <w:color w:val="444444"/>
          <w:sz w:val="18"/>
          <w:szCs w:val="18"/>
        </w:rPr>
        <w:t xml:space="preserve">500c879</w:t>
      </w:r>
      <w:r>
        <w:rPr>
          <w:color w:val="999999"/>
          <w:sz w:val="16"/>
          <w:szCs w:val="16"/>
        </w:rPr>
        <w:t xml:space="preserve">  /CONF</w:t>
      </w:r>
    </w:p>
    <w:p>
      <w:r>
        <w:br w:type="page"/>
      </w:r>
    </w:p>
    <w:p>
      <w:pPr>
        <w:shd w:fill="8B0000" w:color="auto" w:val="clear"/>
        <w:spacing w:after="200"/>
        <w:jc w:val="center"/>
      </w:pPr>
      <w:r>
        <w:rPr>
          <w:b/>
          <w:bCs/>
          <w:color w:val="FFFFFF"/>
          <w:sz w:val="20"/>
          <w:szCs w:val="20"/>
        </w:rPr>
        <w:t xml:space="preserve">CONFIDENTIAL — CLASSIFICATION: INTERNAL RESTRICTED</w:t>
      </w:r>
    </w:p>
    <w:p>
      <w:pPr>
        <w:pStyle w:val="Heading2"/>
      </w:pPr>
      <w:r>
        <w:t xml:space="preserve">4. Remediation &amp; Recommendations</w:t>
      </w:r>
    </w:p>
    <w:p>
      <w:pPr>
        <w:spacing w:after="160"/>
      </w:pPr>
      <w:r>
        <w:t xml:space="preserve">The Security &amp; Risk Division has implemented the following controls in response to this incident:</w:t>
      </w:r>
    </w:p>
    <w:p>
      <w:pPr>
        <w:spacing w:after="160"/>
      </w:pPr>
      <w:r>
        <w:rPr>
          <w:sz w:val="22"/>
          <w:szCs w:val="22"/>
        </w:rPr>
        <w:t xml:space="preserve">• Mandatory hardware security key enrollment for all service accounts with vault-level privileges.</w:t>
      </w:r>
    </w:p>
    <w:p>
      <w:pPr>
        <w:spacing w:after="160"/>
      </w:pPr>
      <w:r>
        <w:rPr>
          <w:sz w:val="22"/>
          <w:szCs w:val="22"/>
        </w:rPr>
        <w:t xml:space="preserve">• Reduction of directory share default permissions from read-write to read-only for non-administrative roles.</w:t>
      </w:r>
    </w:p>
    <w:p>
      <w:pPr>
        <w:spacing w:after="160"/>
      </w:pPr>
      <w:r>
        <w:rPr>
          <w:sz w:val="22"/>
          <w:szCs w:val="22"/>
        </w:rPr>
        <w:t xml:space="preserve">• Deployment of session-length anomaly alerts on the access broker, tuned to the 26-minute exposure window identified in this incident.</w:t>
      </w:r>
    </w:p>
    <w:p>
      <w:pPr>
        <w:spacing w:after="160"/>
      </w:pPr>
      <w:r>
        <w:t xml:space="preserve">• Quarterly phishing simulation exercises for all staff with access to privileged systems.</w:t>
      </w:r>
    </w:p>
    <w:p>
      <w:pPr>
        <w:pStyle w:val="Heading2"/>
      </w:pPr>
      <w:r>
        <w:t xml:space="preserve">5. Sign-Off</w:t>
      </w:r>
    </w:p>
    <w:p>
      <w:pPr>
        <w:spacing w:after="160"/>
      </w:pPr>
      <w:r>
        <w:t xml:space="preserve">This review has been accepted by the Security &amp; Risk Division and the Office of the CISO. No further action is required at this time beyond the monitoring measures listed above.</w:t>
      </w:r>
    </w:p>
    <w:p>
      <w:pPr>
        <w:spacing w:before="400"/>
      </w:pPr>
    </w:p>
    <w:p>
      <w:pPr>
        <w:pBdr>
          <w:top w:val="single" w:color="AAAAAA" w:sz="6"/>
        </w:pBdr>
        <w:spacing w:after="100" w:before="200"/>
      </w:pPr>
      <w:r>
        <w:rPr>
          <w:i/>
          <w:iCs/>
          <w:color w:val="666666"/>
          <w:sz w:val="18"/>
          <w:szCs w:val="18"/>
        </w:rPr>
        <w:t xml:space="preserve">Digitally Verified — Signature Block</w:t>
      </w:r>
    </w:p>
    <w:p>
      <w:r>
        <w:rPr>
          <w:color w:val="999999"/>
          <w:sz w:val="16"/>
          <w:szCs w:val="16"/>
        </w:rPr>
        <w:t xml:space="preserve">Verification Code: </w:t>
      </w:r>
      <w:r>
        <w:rPr>
          <w:rFonts w:ascii="Consolas" w:cs="Consolas" w:eastAsia="Consolas" w:hAnsi="Consolas"/>
          <w:color w:val="444444"/>
          <w:sz w:val="18"/>
          <w:szCs w:val="18"/>
        </w:rPr>
        <w:t xml:space="preserve">1ef0e7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Greyjoy Systems Group — Security &amp; Risk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B0000"/>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2026-09-08T19:29:44.452Z</dcterms:created>
  <dcterms:modified xsi:type="dcterms:W3CDTF">2026-09-08T19:29:44.453Z</dcterms:modified>
</cp:coreProperties>
</file>

<file path=docProps/custom.xml><?xml version="1.0" encoding="utf-8"?>
<Properties xmlns="http://schemas.openxmlformats.org/officeDocument/2006/custom-properties" xmlns:vt="http://schemas.openxmlformats.org/officeDocument/2006/docPropsVTypes"/>
</file>