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4 – Software Design Specification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>– Hanoi, Jul 2026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3643725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j69mvhemx6a0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1ezhil9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d1mtiocv1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i9whm2toy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High Level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twt491rd02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Software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qrud3xq37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Package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icapgiy0ae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Database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1ieuxsh8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Detailed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ji2c5n8h4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&lt;Feature/Function Name1&gt;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f9k17cj6ar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&lt;Feature/Function Name2&gt;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ynx3n0o98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Class Specifications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msu1nfdtl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package_name1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pmwdaz4w5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Other Design Specifications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11ezhil9zo" w:id="1"/>
      <w:bookmarkEnd w:id="1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>
            <w:r>
              <w:t>02/07/2026</w:t>
            </w:r>
          </w:p>
        </w:tc>
        <w:tc>
          <w:tcPr/>
          <w:p>
            <w:r>
              <w:t>A</w:t>
            </w:r>
          </w:p>
        </w:tc>
        <w:tc>
          <w:tcPr/>
          <w:p>
            <w:r>
              <w:t>HungPV</w:t>
            </w:r>
          </w:p>
        </w:tc>
        <w:tc>
          <w:tcPr/>
          <w:p>
            <w:r>
              <w:t>Added Section II.1.1 Software Architecture (high-level architecture diagram and component descriptions)</w:t>
            </w:r>
          </w:p>
        </w:tc>
      </w:tr>
      <w:tr>
        <w:trPr>
          <w:cantSplit w:val="0"/>
          <w:tblHeader w:val="0"/>
        </w:trPr>
        <w:tc>
          <w:tcPr/>
          <w:p>
            <w:r>
              <w:t>02/07/2026</w:t>
            </w:r>
          </w:p>
        </w:tc>
        <w:tc>
          <w:tcPr/>
          <w:p>
            <w:r>
              <w:t>A</w:t>
            </w:r>
          </w:p>
        </w:tc>
        <w:tc>
          <w:tcPr/>
          <w:p>
            <w:r>
              <w:t>HungPV</w:t>
            </w:r>
          </w:p>
        </w:tc>
        <w:tc>
          <w:tcPr/>
          <w:p>
            <w:r>
              <w:t>Added Section II.1.2 Package Diagram (backend &amp; frontend package diagrams, naming conventions, package descriptions)</w:t>
            </w:r>
          </w:p>
        </w:tc>
      </w:tr>
      <w:tr>
        <w:trPr>
          <w:cantSplit w:val="0"/>
          <w:tblHeader w:val="0"/>
        </w:trPr>
        <w:tc>
          <w:tcPr/>
          <w:p>
            <w:r>
              <w:t>02/07/2026</w:t>
            </w:r>
          </w:p>
        </w:tc>
        <w:tc>
          <w:tcPr/>
          <w:p>
            <w:r>
              <w:t>A</w:t>
            </w:r>
          </w:p>
        </w:tc>
        <w:tc>
          <w:tcPr/>
          <w:p>
            <w:r>
              <w:t>HungPV</w:t>
            </w:r>
          </w:p>
        </w:tc>
        <w:tc>
          <w:tcPr/>
          <w:p>
            <w:r>
              <w:t>Added Section II.1.3 Database Design (ERD and detailed descriptions of all 16 tables)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7zd1mtiocv1p" w:id="2"/>
      <w:bookmarkEnd w:id="2"/>
      <w:r w:rsidDel="00000000" w:rsidR="00000000" w:rsidRPr="00000000">
        <w:rPr>
          <w:rtl w:val="0"/>
        </w:rPr>
        <w:t xml:space="preserve">II. Software Design Document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mci9whm2toy4" w:id="3"/>
      <w:bookmarkEnd w:id="3"/>
      <w:r w:rsidDel="00000000" w:rsidR="00000000" w:rsidRPr="00000000">
        <w:rPr>
          <w:rtl w:val="0"/>
        </w:rPr>
        <w:t xml:space="preserve">1. High-Level Design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eading=h.ntwt491rd02p" w:id="4"/>
      <w:bookmarkEnd w:id="4"/>
      <w:r w:rsidDel="00000000" w:rsidR="00000000" w:rsidRPr="00000000">
        <w:rPr>
          <w:rtl w:val="0"/>
        </w:rPr>
        <w:t xml:space="preserve">1.1 Software Architecture</w:t>
      </w:r>
    </w:p>
    <w:p w:rsidR="00000000" w:rsidDel="00000000" w:rsidP="00000000" w:rsidRDefault="00000000" w:rsidRPr="00000000" w14:paraId="00000062">
      <w:pPr>
        <w:jc w:val="both"/>
        <w:rPr>
          <w:i w:val="1"/>
          <w:iCs w:val="1"/>
          <w:color w:val="0000ff"/>
        </w:rPr>
      </w:pPr>
      <w:r>
        <w:t>The Smart Warehouse Execution System (SWES) is designed as a layered, event-driven modular monolith. The system consists of a React single-page application (wes-client), a NestJS backend (wes) that owns all business logic, and a customized openTCS kernel (FMS) that executes physical routing and AGV control. The backend takes over the default openTCS dispatching: every transport order is pushed to the kernel with an already-assigned vehicle (intendedVehicle). Figure II-1 shows the overall architecture, the external systems, and the communication messages between the components.</w:t>
      </w:r>
    </w:p>
    <w:p>
      <w:pPr>
        <w:jc w:val="center"/>
      </w:pPr>
      <w:r>
        <w:drawing>
          <wp:inline>
            <wp:extent cx="5577840" cy="3732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32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II-1. SWES high-level software architecture</w:t>
      </w:r>
    </w:p>
    <w:p>
      <w:r>
        <w:t>The responsibilities of each component in the diagram are described below: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"/>
        <w:gridCol w:w="2448"/>
        <w:gridCol w:w="6048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864"/>
          </w:tcPr>
          <w:p>
            <w:r>
              <w:t>01</w:t>
            </w:r>
          </w:p>
        </w:tc>
        <w:tc>
          <w:tcPr>
            <w:tcW w:type="dxa" w:w="2448"/>
          </w:tcPr>
          <w:p>
            <w:r>
              <w:t>Admin / Operator</w:t>
            </w:r>
          </w:p>
        </w:tc>
        <w:tc>
          <w:tcPr>
            <w:tcW w:type="dxa" w:w="6048"/>
          </w:tcPr>
          <w:p>
            <w:r>
              <w:t>Human actors. The Admin configures the system (fleet, map/topology, users, dispatch policies) and monitors operations; the Operator creates and tracks transport requests. Both interact with the system through the wes-client web application.</w:t>
            </w:r>
          </w:p>
        </w:tc>
      </w:tr>
      <w:tr>
        <w:tc>
          <w:tcPr>
            <w:tcW w:type="dxa" w:w="864"/>
          </w:tcPr>
          <w:p>
            <w:r>
              <w:t>02</w:t>
            </w:r>
          </w:p>
        </w:tc>
        <w:tc>
          <w:tcPr>
            <w:tcW w:type="dxa" w:w="2448"/>
          </w:tcPr>
          <w:p>
            <w:r>
              <w:t>Barcode Scanner / Handheld App</w:t>
            </w:r>
          </w:p>
        </w:tc>
        <w:tc>
          <w:tcPr>
            <w:tcW w:type="dxa" w:w="6048"/>
          </w:tcPr>
          <w:p>
            <w:r>
              <w:t>On-site edge client. It optically decodes floor QR codes and package barcodes, then calls the SWES REST API to create a Cargo record and initiate the lifecycle of a Transport Request.</w:t>
            </w:r>
          </w:p>
        </w:tc>
      </w:tr>
      <w:tr>
        <w:tc>
          <w:tcPr>
            <w:tcW w:type="dxa" w:w="864"/>
          </w:tcPr>
          <w:p>
            <w:r>
              <w:t>03</w:t>
            </w:r>
          </w:p>
        </w:tc>
        <w:tc>
          <w:tcPr>
            <w:tcW w:type="dxa" w:w="2448"/>
          </w:tcPr>
          <w:p>
            <w:r>
              <w:t>wes-client (React SPA)</w:t>
            </w:r>
          </w:p>
        </w:tc>
        <w:tc>
          <w:tcPr>
            <w:tcW w:type="dxa" w:w="6048"/>
          </w:tcPr>
          <w:p>
            <w:r>
              <w:t>Single-page web application built with React, Vite and MUI. It renders data served by the backend over HTTPS REST and subscribes to the backend SSE endpoint (/maps/kernel/sse) for live AGV tracking on the warehouse map. It contains no business logic.</w:t>
            </w:r>
          </w:p>
        </w:tc>
      </w:tr>
      <w:tr>
        <w:tc>
          <w:tcPr>
            <w:tcW w:type="dxa" w:w="864"/>
          </w:tcPr>
          <w:p>
            <w:r>
              <w:t>04</w:t>
            </w:r>
          </w:p>
        </w:tc>
        <w:tc>
          <w:tcPr>
            <w:tcW w:type="dxa" w:w="2448"/>
          </w:tcPr>
          <w:p>
            <w:r>
              <w:t>Presentation Layer (REST Controllers)</w:t>
            </w:r>
          </w:p>
        </w:tc>
        <w:tc>
          <w:tcPr>
            <w:tcW w:type="dxa" w:w="6048"/>
          </w:tcPr>
          <w:p>
            <w:r>
              <w:t>NestJS controllers exposing the system API: AuthController/AccountController/AdminUsersController (authentication and user management), AgvsController (fleet registry), MapsController/ZoneController (map, topology and the SSE stream), CargoController (cargo and transport requests, also consumed by the barcode scanner). Controllers validate DTOs, enforce JWT/role guards and delegate to services.</w:t>
            </w:r>
          </w:p>
        </w:tc>
      </w:tr>
      <w:tr>
        <w:tc>
          <w:tcPr>
            <w:tcW w:type="dxa" w:w="864"/>
          </w:tcPr>
          <w:p>
            <w:r>
              <w:t>05</w:t>
            </w:r>
          </w:p>
        </w:tc>
        <w:tc>
          <w:tcPr>
            <w:tcW w:type="dxa" w:w="2448"/>
          </w:tcPr>
          <w:p>
            <w:r>
              <w:t>Application Layer (Business Services)</w:t>
            </w:r>
          </w:p>
        </w:tc>
        <w:tc>
          <w:tcPr>
            <w:tcW w:type="dxa" w:w="6048"/>
          </w:tcPr>
          <w:p>
            <w:r>
              <w:t>All business use cases. CargoService manages cargo records; TransportTaskService is the single write choke point for transport-task status (validate via state machine, persist, emit event). The Dispatch Orchestration group implements the core value of SWES: ReleaseEngineService with PickupDependencyService gates CREATED tasks (row-dependency anti-congestion rule, BLOCKED state), AssignmentEngineService selects the nearest eligible AGV (Dijkstra over the plant-model road graph via RoutingService), TransportTaskSaga advances the three-leg order flow (pick-up, approach, drop-off), DeliverySlotEngine late-binds the concrete drop-off slot, and DispatchSchedulerService debounces and triggers release/assignment cycles. Supporting services: AgvsService, MapsService/ZoneService, AuthService/TokenService/UsersService/AccountService/AdminUsersService, MailService.</w:t>
            </w:r>
          </w:p>
        </w:tc>
      </w:tr>
      <w:tr>
        <w:tc>
          <w:tcPr>
            <w:tcW w:type="dxa" w:w="864"/>
          </w:tcPr>
          <w:p>
            <w:r>
              <w:t>06</w:t>
            </w:r>
          </w:p>
        </w:tc>
        <w:tc>
          <w:tcPr>
            <w:tcW w:type="dxa" w:w="2448"/>
          </w:tcPr>
          <w:p>
            <w:r>
              <w:t>In-process Event Bus (@nestjs/event-emitter)</w:t>
            </w:r>
          </w:p>
        </w:tc>
        <w:tc>
          <w:tcPr>
            <w:tcW w:type="dxa" w:w="6048"/>
          </w:tcPr>
          <w:p>
            <w:r>
              <w:t>Decouples producers and consumers inside the monolith. TransportTaskService emits transport-task.* events; the openTCS listener emits fms.* events; engines react via @OnEvent handlers. No external message broker is used.</w:t>
            </w:r>
          </w:p>
        </w:tc>
      </w:tr>
      <w:tr>
        <w:tc>
          <w:tcPr>
            <w:tcW w:type="dxa" w:w="864"/>
          </w:tcPr>
          <w:p>
            <w:r>
              <w:t>07</w:t>
            </w:r>
          </w:p>
        </w:tc>
        <w:tc>
          <w:tcPr>
            <w:tcW w:type="dxa" w:w="2448"/>
          </w:tcPr>
          <w:p>
            <w:r>
              <w:t>Anti-Corruption Layer (opentcs/)</w:t>
            </w:r>
          </w:p>
        </w:tc>
        <w:tc>
          <w:tcPr>
            <w:tcW w:type="dxa" w:w="6048"/>
          </w:tcPr>
          <w:p>
            <w:r>
              <w:t>The only place that talks to openTCS. KernelApiService wraps the kernel REST API (transport orders, plant model, vehicles); KernelEventListenerService subscribes to the kernel SSE stream and translates telemetry frames into fms.* domain events; VehicleStateStore caches live vehicle telemetry in memory; KernelSyncService and MapLoaderService push/synchronize the plant model at startup; FleetTelemetryService observes vehicle-state updates and batch-writes state transitions to the database for KPI evaluation. openTCS types never leak into business modules.</w:t>
            </w:r>
          </w:p>
        </w:tc>
      </w:tr>
      <w:tr>
        <w:tc>
          <w:tcPr>
            <w:tcW w:type="dxa" w:w="864"/>
          </w:tcPr>
          <w:p>
            <w:r>
              <w:t>08</w:t>
            </w:r>
          </w:p>
        </w:tc>
        <w:tc>
          <w:tcPr>
            <w:tcW w:type="dxa" w:w="2448"/>
          </w:tcPr>
          <w:p>
            <w:r>
              <w:t>PostgreSQL</w:t>
            </w:r>
          </w:p>
        </w:tc>
        <w:tc>
          <w:tcPr>
            <w:tcW w:type="dxa" w:w="6048"/>
          </w:tcPr>
          <w:p>
            <w:r>
              <w:t>Relational database accessed through TypeORM entities/repositories. Stores AGVs, cargos, transport requests, maps, zones, points/paths, users and the append-only event log.</w:t>
            </w:r>
          </w:p>
        </w:tc>
      </w:tr>
      <w:tr>
        <w:tc>
          <w:tcPr>
            <w:tcW w:type="dxa" w:w="864"/>
          </w:tcPr>
          <w:p>
            <w:r>
              <w:t>09</w:t>
            </w:r>
          </w:p>
        </w:tc>
        <w:tc>
          <w:tcPr>
            <w:tcW w:type="dxa" w:w="2448"/>
          </w:tcPr>
          <w:p>
            <w:r>
              <w:t>FMS (openTCS Kernel)</w:t>
            </w:r>
          </w:p>
        </w:tc>
        <w:tc>
          <w:tcPr>
            <w:tcW w:type="dxa" w:w="6048"/>
          </w:tcPr>
          <w:p>
            <w:r>
              <w:t>External fleet-management middleware (customized openTCS, project opentcs-integration-FMS). It receives transport orders whose vehicle has already been chosen by SWES, performs pathfinding and physical vehicle control, and continuously publishes vehicle and transport-order telemetry to SWES over SSE (/v1/sse).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2448"/>
          </w:tcPr>
          <w:p>
            <w:r>
              <w:t>AGV Fleet</w:t>
            </w:r>
          </w:p>
        </w:tc>
        <w:tc>
          <w:tcPr>
            <w:tcW w:type="dxa" w:w="6048"/>
          </w:tcPr>
          <w:p>
            <w:r>
              <w:t>The physical automated guided vehicles. They communicate only with the openTCS kernel through its vehicle communication adapters (movement commands and telemetry).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2448"/>
          </w:tcPr>
          <w:p>
            <w:r>
              <w:t>Gmail Service</w:t>
            </w:r>
          </w:p>
        </w:tc>
        <w:tc>
          <w:tcPr>
            <w:tcW w:type="dxa" w:w="6048"/>
          </w:tcPr>
          <w:p>
            <w:r>
              <w:t>Third-party email delivery service used by MailService to send authentication emails: OTP codes and password-reset links.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heading=h.lkqrud3xq37h" w:id="5"/>
      <w:bookmarkEnd w:id="5"/>
      <w:r w:rsidDel="00000000" w:rsidR="00000000" w:rsidRPr="00000000">
        <w:rPr>
          <w:rtl w:val="0"/>
        </w:rPr>
        <w:t xml:space="preserve">1.2 Package Diagram</w:t>
      </w:r>
    </w:p>
    <w:p w:rsidR="00000000" w:rsidDel="00000000" w:rsidP="00000000" w:rsidRDefault="00000000" w:rsidRPr="00000000" w14:paraId="00000065">
      <w:pPr>
        <w:jc w:val="both"/>
        <w:rPr>
          <w:i w:val="1"/>
          <w:iCs w:val="1"/>
          <w:color w:val="0000ff"/>
        </w:rPr>
      </w:pPr>
      <w:r>
        <w:t>The SWES software is organized into two sub-systems: the NestJS backend (wes) and the React single-page application (wes-client). Figure II-2 shows the package structure of the backend and Figure II-3 shows the frontend; in both diagrams the dependency arrows are derived from the actual import relationships in the source code (solid arrow = module dependency, dashed arrow = entity/type reuse).</w:t>
      </w:r>
    </w:p>
    <w:p>
      <w:pPr>
        <w:jc w:val="center"/>
      </w:pPr>
      <w:r>
        <w:drawing>
          <wp:inline>
            <wp:extent cx="5486400" cy="35822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-back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II-2. Package diagram — wes backend (NestJS)</w:t>
      </w:r>
    </w:p>
    <w:p>
      <w:r>
        <w:t>In the backend, every business package that needs the fleet-management kernel (agvs, cargo, maps) depends only on the opentcs package — the Anti-Corruption Layer — so no openTCS type or HTTP call leaks into business code. The cargo package is the core domain: it contains the dispatch orchestration services, a framework-free domain sub-package (state machine, dispatch and row-dependency policies, domain events) and its persistence entities. The user-management cluster (auth, account, admin_users) depends on the shared users package and on mail for OTP and password-reset delivery. The database package holds TypeORM configuration and migrations and is imported once at application bootstrap.</w:t>
      </w:r>
    </w:p>
    <w:p>
      <w:pPr>
        <w:jc w:val="center"/>
      </w:pPr>
      <w:r>
        <w:drawing>
          <wp:inline>
            <wp:extent cx="5486400" cy="41733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-fronte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II-3. Package diagram — wes-client (React SPA)</w:t>
      </w:r>
    </w:p>
    <w:p>
      <w:r>
        <w:t>In the frontend, each business feature lives in its own folder under features (auth, account, agv, cargo, map, usersAdmin, zones). Features fetch server state exclusively through the api package — one file per domain sharing a single axios instance (client.ts) — and render with the shared ui controls and MUI. Response/request types are centralized in types. No business logic exists in the frontend; it renders data served by the backend.</w:t>
      </w:r>
    </w:p>
    <w:p>
      <w:r>
        <w:t>Naming conventions. Backend: each module is a kebab-case folder under src/ whose files are named by role — {module}.controller.ts, {module}.service.ts, {module}.module.ts, {module}.dto.ts, entities/{entity}.entity.ts — and pure business rules live in domain/ with no framework import. Classes are PascalCase with a role suffix (Controller, Service, Engine, Saga, Store). Domain events are named {entity-kebab-case}.{past-tense-verb}, e.g. transport-task.status-changed. Frontend: feature folders are camelCase under features/; API modules are api/{domain}.ts; shared types are types/{domain}.ts; hooks are prefixed use*.</w:t>
      </w:r>
    </w:p>
    <w:p w:rsidR="00000000" w:rsidDel="00000000" w:rsidP="00000000" w:rsidRDefault="00000000" w:rsidRPr="00000000" w14:paraId="00000067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>
        <w:t>Package descriptions — wes backend (NestJS):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"/>
        <w:gridCol w:w="2015"/>
        <w:gridCol w:w="6480"/>
        <w:tblGridChange w:id="0">
          <w:tblGrid>
            <w:gridCol w:w="551"/>
            <w:gridCol w:w="2568"/>
            <w:gridCol w:w="6231"/>
          </w:tblGrid>
        </w:tblGridChange>
      </w:tblGrid>
      <w:tr>
        <w:trPr>
          <w:cantSplit w:val="0"/>
          <w:tblHeader w:val="0"/>
        </w:trPr>
        <w:tc>
          <w:tcPr>
            <w:tcW w:type="dxa" w:w="864"/>
            <w:shd w:fill="ffe8e1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W w:type="dxa" w:w="2016"/>
            <w:shd w:fill="ffe8e1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tcW w:type="dxa" w:w="6480"/>
            <w:shd w:fill="ffe8e1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c>
          <w:tcPr>
            <w:tcW w:type="dxa" w:w="864"/>
          </w:tcPr>
          <w:p>
            <w:r>
              <w:t>01</w:t>
            </w:r>
          </w:p>
        </w:tc>
        <w:tc>
          <w:tcPr>
            <w:tcW w:type="dxa" w:w="2016"/>
          </w:tcPr>
          <w:p>
            <w:r>
              <w:t>auth</w:t>
            </w:r>
          </w:p>
        </w:tc>
        <w:tc>
          <w:tcPr>
            <w:tcW w:type="dxa" w:w="6480"/>
          </w:tcPr>
          <w:p>
            <w:r>
              <w:t>JWT authentication: login, token refresh, OTP verification, password reset; provides the auth guards and role-based access control used by all controllers.</w:t>
            </w:r>
          </w:p>
        </w:tc>
      </w:tr>
      <w:tr>
        <w:tc>
          <w:tcPr>
            <w:tcW w:type="dxa" w:w="864"/>
          </w:tcPr>
          <w:p>
            <w:r>
              <w:t>02</w:t>
            </w:r>
          </w:p>
        </w:tc>
        <w:tc>
          <w:tcPr>
            <w:tcW w:type="dxa" w:w="2016"/>
          </w:tcPr>
          <w:p>
            <w:r>
              <w:t>account</w:t>
            </w:r>
          </w:p>
        </w:tc>
        <w:tc>
          <w:tcPr>
            <w:tcW w:type="dxa" w:w="6480"/>
          </w:tcPr>
          <w:p>
            <w:r>
              <w:t>Self-service account use cases for the signed-in user (view/update profile, change password).</w:t>
            </w:r>
          </w:p>
        </w:tc>
      </w:tr>
      <w:tr>
        <w:tc>
          <w:tcPr>
            <w:tcW w:type="dxa" w:w="864"/>
          </w:tcPr>
          <w:p>
            <w:r>
              <w:t>03</w:t>
            </w:r>
          </w:p>
        </w:tc>
        <w:tc>
          <w:tcPr>
            <w:tcW w:type="dxa" w:w="2016"/>
          </w:tcPr>
          <w:p>
            <w:r>
              <w:t>users</w:t>
            </w:r>
          </w:p>
        </w:tc>
        <w:tc>
          <w:tcPr>
            <w:tcW w:type="dxa" w:w="6480"/>
          </w:tcPr>
          <w:p>
            <w:r>
              <w:t>Shared user domain: user, role, session, refresh-token, password-reset and preference entities with their queries; consumed by auth, account and admin_users.</w:t>
            </w:r>
          </w:p>
        </w:tc>
      </w:tr>
      <w:tr>
        <w:tc>
          <w:tcPr>
            <w:tcW w:type="dxa" w:w="864"/>
          </w:tcPr>
          <w:p>
            <w:r>
              <w:t>04</w:t>
            </w:r>
          </w:p>
        </w:tc>
        <w:tc>
          <w:tcPr>
            <w:tcW w:type="dxa" w:w="2016"/>
          </w:tcPr>
          <w:p>
            <w:r>
              <w:t>admin_users</w:t>
            </w:r>
          </w:p>
        </w:tc>
        <w:tc>
          <w:tcPr>
            <w:tcW w:type="dxa" w:w="6480"/>
          </w:tcPr>
          <w:p>
            <w:r>
              <w:t>Administrator use cases for managing user accounts (create, update, assign roles, activate/deactivate).</w:t>
            </w:r>
          </w:p>
        </w:tc>
      </w:tr>
      <w:tr>
        <w:tc>
          <w:tcPr>
            <w:tcW w:type="dxa" w:w="864"/>
          </w:tcPr>
          <w:p>
            <w:r>
              <w:t>05</w:t>
            </w:r>
          </w:p>
        </w:tc>
        <w:tc>
          <w:tcPr>
            <w:tcW w:type="dxa" w:w="2016"/>
          </w:tcPr>
          <w:p>
            <w:r>
              <w:t>agvs</w:t>
            </w:r>
          </w:p>
        </w:tc>
        <w:tc>
          <w:tcPr>
            <w:tcW w:type="dxa" w:w="6480"/>
          </w:tcPr>
          <w:p>
            <w:r>
              <w:t>AGV fleet registry: AGV profile and configuration, dispatch enable/ignore flags, battery thresholds.</w:t>
            </w:r>
          </w:p>
        </w:tc>
      </w:tr>
      <w:tr>
        <w:tc>
          <w:tcPr>
            <w:tcW w:type="dxa" w:w="864"/>
          </w:tcPr>
          <w:p>
            <w:r>
              <w:t>06</w:t>
            </w:r>
          </w:p>
        </w:tc>
        <w:tc>
          <w:tcPr>
            <w:tcW w:type="dxa" w:w="2016"/>
          </w:tcPr>
          <w:p>
            <w:r>
              <w:t>cargo</w:t>
            </w:r>
          </w:p>
        </w:tc>
        <w:tc>
          <w:tcPr>
            <w:tcW w:type="dxa" w:w="6480"/>
          </w:tcPr>
          <w:p>
            <w:r>
              <w:t>Core business domain: cargo records, transport tasks and the dispatch orchestration engines (release, pickup-dependency, assignment, saga, delivery-slot, routing, zone-geometry). domain/ holds framework-free rules (state machine, dispatch and row-dependency policies, events); entities/ holds persistence models.</w:t>
            </w:r>
          </w:p>
        </w:tc>
      </w:tr>
      <w:tr>
        <w:tc>
          <w:tcPr>
            <w:tcW w:type="dxa" w:w="864"/>
          </w:tcPr>
          <w:p>
            <w:r>
              <w:t>07</w:t>
            </w:r>
          </w:p>
        </w:tc>
        <w:tc>
          <w:tcPr>
            <w:tcW w:type="dxa" w:w="2016"/>
          </w:tcPr>
          <w:p>
            <w:r>
              <w:t>maps</w:t>
            </w:r>
          </w:p>
        </w:tc>
        <w:tc>
          <w:tcPr>
            <w:tcW w:type="dxa" w:w="6480"/>
          </w:tcPr>
          <w:p>
            <w:r>
              <w:t>Warehouse map management: QR-grid map records, plant-model access, and the SSE endpoint streaming live kernel state to the client.</w:t>
            </w:r>
          </w:p>
        </w:tc>
      </w:tr>
      <w:tr>
        <w:tc>
          <w:tcPr>
            <w:tcW w:type="dxa" w:w="864"/>
          </w:tcPr>
          <w:p>
            <w:r>
              <w:t>08</w:t>
            </w:r>
          </w:p>
        </w:tc>
        <w:tc>
          <w:tcPr>
            <w:tcW w:type="dxa" w:w="2016"/>
          </w:tcPr>
          <w:p>
            <w:r>
              <w:t>zones</w:t>
            </w:r>
          </w:p>
        </w:tc>
        <w:tc>
          <w:tcPr>
            <w:tcW w:type="dxa" w:w="6480"/>
          </w:tcPr>
          <w:p>
            <w:r>
              <w:t>Warehouse topology: zones and zone members (storage slots and their geometry).</w:t>
            </w:r>
          </w:p>
        </w:tc>
      </w:tr>
      <w:tr>
        <w:tc>
          <w:tcPr>
            <w:tcW w:type="dxa" w:w="864"/>
          </w:tcPr>
          <w:p>
            <w:r>
              <w:t>09</w:t>
            </w:r>
          </w:p>
        </w:tc>
        <w:tc>
          <w:tcPr>
            <w:tcW w:type="dxa" w:w="2016"/>
          </w:tcPr>
          <w:p>
            <w:r>
              <w:t>opentcs</w:t>
            </w:r>
          </w:p>
        </w:tc>
        <w:tc>
          <w:tcPr>
            <w:tcW w:type="dxa" w:w="6480"/>
          </w:tcPr>
          <w:p>
            <w:r>
              <w:t>Anti-Corruption Layer to the openTCS kernel: REST client (KernelApiService), SSE listener translating telemetry into fms.* events, in-memory vehicle-state cache, fleet telemetry instrumentation and plant-model loader (map_loader).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mail</w:t>
            </w:r>
          </w:p>
        </w:tc>
        <w:tc>
          <w:tcPr>
            <w:tcW w:type="dxa" w:w="6480"/>
          </w:tcPr>
          <w:p>
            <w:r>
              <w:t>Outbound email delivery (OTP codes, password-reset links) via the Gmail service.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2016"/>
          </w:tcPr>
          <w:p>
            <w:r>
              <w:t>database</w:t>
            </w:r>
          </w:p>
        </w:tc>
        <w:tc>
          <w:tcPr>
            <w:tcW w:type="dxa" w:w="6480"/>
          </w:tcPr>
          <w:p>
            <w:r>
              <w:t>TypeORM datasource configuration, migrations and seeding.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>
      <w:r>
        <w:t>Package descriptions — wes-client (React SPA):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"/>
        <w:gridCol w:w="2015"/>
        <w:gridCol w:w="6480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Package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864"/>
          </w:tcPr>
          <w:p>
            <w:r>
              <w:t>01</w:t>
            </w:r>
          </w:p>
        </w:tc>
        <w:tc>
          <w:tcPr>
            <w:tcW w:type="dxa" w:w="2016"/>
          </w:tcPr>
          <w:p>
            <w:r>
              <w:t>App (entry)</w:t>
            </w:r>
          </w:p>
        </w:tc>
        <w:tc>
          <w:tcPr>
            <w:tcW w:type="dxa" w:w="6480"/>
          </w:tcPr>
          <w:p>
            <w:r>
              <w:t>Application bootstrap: App.tsx routing, main.tsx mount, i18n dictionary, global providers (react-query, theme).</w:t>
            </w:r>
          </w:p>
        </w:tc>
      </w:tr>
      <w:tr>
        <w:tc>
          <w:tcPr>
            <w:tcW w:type="dxa" w:w="864"/>
          </w:tcPr>
          <w:p>
            <w:r>
              <w:t>02</w:t>
            </w:r>
          </w:p>
        </w:tc>
        <w:tc>
          <w:tcPr>
            <w:tcW w:type="dxa" w:w="2016"/>
          </w:tcPr>
          <w:p>
            <w:r>
              <w:t>components</w:t>
            </w:r>
          </w:p>
        </w:tc>
        <w:tc>
          <w:tcPr>
            <w:tcW w:type="dxa" w:w="6480"/>
          </w:tcPr>
          <w:p>
            <w:r>
              <w:t>Cross-feature UI: AppShell layout (navigation, top bar) and route permission mapping.</w:t>
            </w:r>
          </w:p>
        </w:tc>
      </w:tr>
      <w:tr>
        <w:tc>
          <w:tcPr>
            <w:tcW w:type="dxa" w:w="864"/>
          </w:tcPr>
          <w:p>
            <w:r>
              <w:t>03</w:t>
            </w:r>
          </w:p>
        </w:tc>
        <w:tc>
          <w:tcPr>
            <w:tcW w:type="dxa" w:w="2016"/>
          </w:tcPr>
          <w:p>
            <w:r>
              <w:t>features</w:t>
            </w:r>
          </w:p>
        </w:tc>
        <w:tc>
          <w:tcPr>
            <w:tcW w:type="dxa" w:w="6480"/>
          </w:tcPr>
          <w:p>
            <w:r>
              <w:t>One folder per business feature (auth, account, agv, cargo, map, usersAdmin, zones): pages, feature hooks and feature-specific components; the map feature renders the live warehouse canvas with react-konva.</w:t>
            </w:r>
          </w:p>
        </w:tc>
      </w:tr>
      <w:tr>
        <w:tc>
          <w:tcPr>
            <w:tcW w:type="dxa" w:w="864"/>
          </w:tcPr>
          <w:p>
            <w:r>
              <w:t>04</w:t>
            </w:r>
          </w:p>
        </w:tc>
        <w:tc>
          <w:tcPr>
            <w:tcW w:type="dxa" w:w="2016"/>
          </w:tcPr>
          <w:p>
            <w:r>
              <w:t>api</w:t>
            </w:r>
          </w:p>
        </w:tc>
        <w:tc>
          <w:tcPr>
            <w:tcW w:type="dxa" w:w="6480"/>
          </w:tcPr>
          <w:p>
            <w:r>
              <w:t>REST client layer: one file per domain wrapping the backend API; client.ts holds the shared axios instance with authentication interceptors.</w:t>
            </w:r>
          </w:p>
        </w:tc>
      </w:tr>
      <w:tr>
        <w:tc>
          <w:tcPr>
            <w:tcW w:type="dxa" w:w="864"/>
          </w:tcPr>
          <w:p>
            <w:r>
              <w:t>05</w:t>
            </w:r>
          </w:p>
        </w:tc>
        <w:tc>
          <w:tcPr>
            <w:tcW w:type="dxa" w:w="2016"/>
          </w:tcPr>
          <w:p>
            <w:r>
              <w:t>types</w:t>
            </w:r>
          </w:p>
        </w:tc>
        <w:tc>
          <w:tcPr>
            <w:tcW w:type="dxa" w:w="6480"/>
          </w:tcPr>
          <w:p>
            <w:r>
              <w:t>TypeScript request/response types per domain.</w:t>
            </w:r>
          </w:p>
        </w:tc>
      </w:tr>
      <w:tr>
        <w:tc>
          <w:tcPr>
            <w:tcW w:type="dxa" w:w="864"/>
          </w:tcPr>
          <w:p>
            <w:r>
              <w:t>06</w:t>
            </w:r>
          </w:p>
        </w:tc>
        <w:tc>
          <w:tcPr>
            <w:tcW w:type="dxa" w:w="2016"/>
          </w:tcPr>
          <w:p>
            <w:r>
              <w:t>ui</w:t>
            </w:r>
          </w:p>
        </w:tc>
        <w:tc>
          <w:tcPr>
            <w:tcW w:type="dxa" w:w="6480"/>
          </w:tcPr>
          <w:p>
            <w:r>
              <w:t>Reusable presentational controls (form fields, dialogs, toasts, icons, overlays).</w:t>
            </w:r>
          </w:p>
        </w:tc>
      </w:tr>
      <w:tr>
        <w:tc>
          <w:tcPr>
            <w:tcW w:type="dxa" w:w="864"/>
          </w:tcPr>
          <w:p>
            <w:r>
              <w:t>07</w:t>
            </w:r>
          </w:p>
        </w:tc>
        <w:tc>
          <w:tcPr>
            <w:tcW w:type="dxa" w:w="2016"/>
          </w:tcPr>
          <w:p>
            <w:r>
              <w:t>lib</w:t>
            </w:r>
          </w:p>
        </w:tc>
        <w:tc>
          <w:tcPr>
            <w:tcW w:type="dxa" w:w="6480"/>
          </w:tcPr>
          <w:p>
            <w:r>
              <w:t>Small utilities: formatting helpers and react-query helpers.</w:t>
            </w:r>
          </w:p>
        </w:tc>
      </w:tr>
      <w:tr>
        <w:tc>
          <w:tcPr>
            <w:tcW w:type="dxa" w:w="864"/>
          </w:tcPr>
          <w:p>
            <w:r>
              <w:t>08</w:t>
            </w:r>
          </w:p>
        </w:tc>
        <w:tc>
          <w:tcPr>
            <w:tcW w:type="dxa" w:w="2016"/>
          </w:tcPr>
          <w:p>
            <w:r>
              <w:t>styles</w:t>
            </w:r>
          </w:p>
        </w:tc>
        <w:tc>
          <w:tcPr>
            <w:tcW w:type="dxa" w:w="6480"/>
          </w:tcPr>
          <w:p>
            <w:r>
              <w:t>Global styles and theme.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heading=h.bicapgiy0ae6" w:id="18"/>
      <w:bookmarkEnd w:id="18"/>
      <w:r w:rsidDel="00000000" w:rsidR="00000000" w:rsidRPr="00000000">
        <w:rPr>
          <w:rtl w:val="0"/>
        </w:rPr>
        <w:t xml:space="preserve">1.3 Database Design</w:t>
      </w:r>
    </w:p>
    <w:p>
      <w:r>
        <w:t>The SWES database is a single PostgreSQL schema managed by TypeORM migrations. It contains 16 tables in four clusters: user &amp; authentication (users, roles, user_roles, refresh_tokens, user_sessions, password_reset_tokens, user_preferences), AGV fleet (agvs), warehouse topology (zones, zone_members, map_records) and core business with its instrumentation (cargos, transport_requests, task_status_transitions, sse_sessions, vehicle_state_transitions). The map topology itself (points, paths, locations) is intentionally NOT stored in the WES database — it lives in the openTCS plant model and is accessed through the Anti-Corruption Layer. Figure II-4 shows the table relationships; solid keys are enforced foreign-key constraints, the remaining *_id columns are semantic references resolved at application level.</w:t>
      </w:r>
    </w:p>
    <w:p>
      <w:pPr>
        <w:jc w:val="center"/>
      </w:pPr>
      <w:r>
        <w:drawing>
          <wp:inline>
            <wp:extent cx="5760720" cy="26077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II-4. SWES entity relationship diagram (generated from the TypeORM entities)</w:t>
      </w:r>
    </w:p>
    <w:p>
      <w:r>
        <w:rPr>
          <w:i/>
          <w:sz w:val="20"/>
        </w:rPr>
        <w:t>* PK ~ Primary Key; FK ~ Foreign Key (including application-level references); UN ~ Unique; NN ~ Not Null</w:t>
      </w:r>
    </w:p>
    <w:p>
      <w:pPr>
        <w:pStyle w:val="Heading4"/>
      </w:pPr>
      <w:r>
        <w:t>1.3.1 users</w:t>
      </w:r>
    </w:p>
    <w:p>
      <w:r>
        <w:t>System user accounts with profile details and authentication/status flags.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username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Login name of the user.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email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Email address used for OTP and password-reset delivery.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password_hash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Bcrypt hash of the password; never stores plain text.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full_name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Display name.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phone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Contact phone number.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2448"/>
          </w:tcPr>
          <w:p>
            <w:r>
              <w:t>shift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Working shift of the operator.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2448"/>
          </w:tcPr>
          <w:p>
            <w:r>
              <w:t>avatar_url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Profile picture URL.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09</w:t>
            </w:r>
          </w:p>
        </w:tc>
        <w:tc>
          <w:tcPr>
            <w:tcW w:type="dxa" w:w="2448"/>
          </w:tcPr>
          <w:p>
            <w:r>
              <w:t>is_active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Account enabled flag (default true).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48"/>
          </w:tcPr>
          <w:p>
            <w:r>
              <w:t>is_locked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Account locked by admin (default false).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48"/>
          </w:tcPr>
          <w:p>
            <w:r>
              <w:t>is_invited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Invitation-pending flag (default false).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48"/>
          </w:tcPr>
          <w:p>
            <w:r>
              <w:t>lock_reason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Reason the account was locked.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48"/>
          </w:tcPr>
          <w:p>
            <w:r>
              <w:t>last_login_at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Timestamp of the most recent login.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Row creation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48"/>
          </w:tcPr>
          <w:p>
            <w:r>
              <w:t>updated_at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Last modification time.</w:t>
            </w:r>
          </w:p>
        </w:tc>
      </w:tr>
    </w:tbl>
    <w:p>
      <w:pPr>
        <w:pStyle w:val="Heading4"/>
      </w:pPr>
      <w:r>
        <w:t>1.3.2 roles</w:t>
      </w:r>
    </w:p>
    <w:p>
      <w:r>
        <w:t>Authorization roles that determine permissions (ADMIN, OPERATOR).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(small serial).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Role name enum: ADMIN | OPERATOR.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Human-readable description of the role.</w:t>
            </w:r>
          </w:p>
        </w:tc>
      </w:tr>
    </w:tbl>
    <w:p>
      <w:pPr>
        <w:pStyle w:val="Heading4"/>
      </w:pPr>
      <w:r>
        <w:t>1.3.3 user_roles</w:t>
      </w:r>
    </w:p>
    <w:p>
      <w:r>
        <w:t>Many-to-many mapping assigning roles to users.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user_id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Composite PK; references users.id (ON DELETE CASCADE).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role_id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Composite PK; references roles.id.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assigned_at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When the role was granted (default now()).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assigned_by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Admin user who granted the role.</w:t>
            </w:r>
          </w:p>
        </w:tc>
      </w:tr>
    </w:tbl>
    <w:p>
      <w:pPr>
        <w:pStyle w:val="Heading4"/>
      </w:pPr>
      <w:r>
        <w:t>1.3.4 refresh_tokens</w:t>
      </w:r>
    </w:p>
    <w:p>
      <w:r>
        <w:t>Refresh tokens keeping authentication sessions alive securely.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user_id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Owner of the token.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token_hash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Hash of the refresh token; raw token is never stored.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expires_at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Expiry timestamp.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is_revoked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Set true on logout/rotation (default false).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Row creation time.</w:t>
            </w:r>
          </w:p>
        </w:tc>
      </w:tr>
    </w:tbl>
    <w:p>
      <w:pPr>
        <w:pStyle w:val="Heading4"/>
      </w:pPr>
      <w:r>
        <w:t>1.3.5 user_sessions</w:t>
      </w:r>
    </w:p>
    <w:p>
      <w:r>
        <w:t>Login/logout audit trail with client information.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user_id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User who logged in.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ip_address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Client IP address (inet).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user_agent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Client browser/device string.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login_at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Login time (default now()).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logout_at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Logout time; NULL while the session is open.</w:t>
            </w:r>
          </w:p>
        </w:tc>
      </w:tr>
    </w:tbl>
    <w:p>
      <w:pPr>
        <w:pStyle w:val="Heading4"/>
      </w:pPr>
      <w:r>
        <w:t>1.3.6 password_reset_tokens</w:t>
      </w:r>
    </w:p>
    <w:p>
      <w:r>
        <w:t>Single-use tokens generated for password reset requests.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user_id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User requesting the reset.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token_hash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Hash of the reset token.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expires_at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Expiry timestamp.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used_at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Set when consumed; enforces single use.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Row creation time.</w:t>
            </w:r>
          </w:p>
        </w:tc>
      </w:tr>
    </w:tbl>
    <w:p>
      <w:pPr>
        <w:pStyle w:val="Heading4"/>
      </w:pPr>
      <w:r>
        <w:t>1.3.7 user_preferences</w:t>
      </w:r>
    </w:p>
    <w:p>
      <w:r>
        <w:t>Per-user UI preferences.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user_id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PK and reference to users.id (one-to-one).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language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UI language (default 'vi').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notifications_enabled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Notification toggle (default true).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sound_enabled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Sound toggle (default false).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updated_at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Last modification time.</w:t>
            </w:r>
          </w:p>
        </w:tc>
      </w:tr>
    </w:tbl>
    <w:p>
      <w:pPr>
        <w:pStyle w:val="Heading4"/>
      </w:pPr>
      <w:r>
        <w:t>1.3.8 agvs</w:t>
      </w:r>
    </w:p>
    <w:p>
      <w:r>
        <w:t>AGV fleet registry: configuration and dispatch eligibility of each vehicle.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code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Unique vehicle code; MUST equal the openTCS vehicle name (join key with FMS telemetry).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Display name.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model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Vehicle model.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manufacturer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Vehicle manufacturer.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serial_number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Hardware serial number.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2448"/>
          </w:tcPr>
          <w:p>
            <w:r>
              <w:t>is_dispatch_enabled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Eligibility gate for the assignment engine (default true).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2448"/>
          </w:tcPr>
          <w:p>
            <w:r>
              <w:t>is_ignored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Excluded from dispatch entirely when true (default false).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09</w:t>
            </w:r>
          </w:p>
        </w:tc>
        <w:tc>
          <w:tcPr>
            <w:tcW w:type="dxa" w:w="2448"/>
          </w:tcPr>
          <w:p>
            <w:r>
              <w:t>operational_battery_threshold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Minimum battery % for normal dispatch (default 20).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48"/>
          </w:tcPr>
          <w:p>
            <w:r>
              <w:t>charging_battery_threshold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Battery % that forces a charging order (default 10).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48"/>
          </w:tcPr>
          <w:p>
            <w:r>
              <w:t>initial_position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Point name where the vehicle starts.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48"/>
          </w:tcPr>
          <w:p>
            <w:r>
              <w:t>config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Free-form JSONB configuration (default {}).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Row creation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48"/>
          </w:tcPr>
          <w:p>
            <w:r>
              <w:t>updated_at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Last modification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48"/>
          </w:tcPr>
          <w:p>
            <w:r>
              <w:t>created_by_id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Admin who registered the AGV.</w:t>
            </w:r>
          </w:p>
        </w:tc>
      </w:tr>
    </w:tbl>
    <w:p>
      <w:pPr>
        <w:pStyle w:val="Heading4"/>
      </w:pPr>
      <w:r>
        <w:t>1.3.9 zones</w:t>
      </w:r>
    </w:p>
    <w:p>
      <w:r>
        <w:t>Warehouse zones (pickup rows / drop-off areas) used by dispatch orchestration.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Zone display name.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type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Enum: PICKUP | DROPOFF.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kernel_id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Sequential ID used to name openTCS locations; NULL for PICKUP zones.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approach_location_name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openTCS location of the zone's approach point (TO2 target).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status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Enum: ACTIVE | STALE (default ACTIVE).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Row creation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2448"/>
          </w:tcPr>
          <w:p>
            <w:r>
              <w:t>updated_at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Last modification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09</w:t>
            </w:r>
          </w:p>
        </w:tc>
        <w:tc>
          <w:tcPr>
            <w:tcW w:type="dxa" w:w="2448"/>
          </w:tcPr>
          <w:p>
            <w:r>
              <w:t>deleted_at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Soft-delete timestamp.</w:t>
            </w:r>
          </w:p>
        </w:tc>
      </w:tr>
    </w:tbl>
    <w:p>
      <w:pPr>
        <w:pStyle w:val="Heading4"/>
      </w:pPr>
      <w:r>
        <w:t>1.3.10 zone_members</w:t>
      </w:r>
    </w:p>
    <w:p>
      <w:r>
        <w:t>Member slots of a zone with their ordering along the lane.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zone_id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Owning zone (ON DELETE CASCADE).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location_name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openTCS location name of the slot.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position_index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Order along the lane; drives row-dependency and fill order.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Row creation time.</w:t>
            </w:r>
          </w:p>
        </w:tc>
      </w:tr>
    </w:tbl>
    <w:p>
      <w:pPr>
        <w:pStyle w:val="Heading4"/>
      </w:pPr>
      <w:r>
        <w:t>1.3.11 map_records</w:t>
      </w:r>
    </w:p>
    <w:p>
      <w:r>
        <w:t>Uploaded plant-model (QR-grid map) files and their statistics.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Map display name.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original_filename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Uploaded file name.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point_count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Number of points parsed from the model (default 0).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path_count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Number of paths parsed (default 0).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vehicle_count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Number of vehicles in the model (default 0).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2448"/>
          </w:tcPr>
          <w:p>
            <w:r>
              <w:t>uploaded_at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Upload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2448"/>
          </w:tcPr>
          <w:p>
            <w:r>
              <w:t>uploaded_by_id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Admin who uploaded the map.</w:t>
            </w:r>
          </w:p>
        </w:tc>
      </w:tr>
    </w:tbl>
    <w:p>
      <w:pPr>
        <w:pStyle w:val="Heading4"/>
      </w:pPr>
      <w:r>
        <w:t>1.3.12 cargos</w:t>
      </w:r>
    </w:p>
    <w:p>
      <w:r>
        <w:t>Physical goods units registered by the barcode scanner or operator.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item_code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Scanned barcode of the goods.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source_point_name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Point where the cargo currently sits (from floor QR).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source_pickup_location_name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openTCS pickup location linked to the source point.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destination_location_name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Concrete drop-off slot; NULL until committed at the TO2 barrier (late binding).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source_zone_id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Zone the cargo is picked from.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2448"/>
          </w:tcPr>
          <w:p>
            <w:r>
              <w:t>destination_zone_id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Reserved drop-off zone (capacity-checked at creation).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2448"/>
          </w:tcPr>
          <w:p>
            <w:r>
              <w:t>status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Enum: ACTIVE | DELIVERED | CANCELLED (default ACTIVE).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09</w:t>
            </w:r>
          </w:p>
        </w:tc>
        <w:tc>
          <w:tcPr>
            <w:tcW w:type="dxa" w:w="2448"/>
          </w:tcPr>
          <w:p>
            <w:r>
              <w:t>created_by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User/scanner account that registered the cargo.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Row creation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48"/>
          </w:tcPr>
          <w:p>
            <w:r>
              <w:t>updated_at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Last modification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48"/>
          </w:tcPr>
          <w:p>
            <w:r>
              <w:t>deleted_at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Soft-delete timestamp.</w:t>
            </w:r>
          </w:p>
        </w:tc>
      </w:tr>
    </w:tbl>
    <w:p>
      <w:pPr>
        <w:pStyle w:val="Heading4"/>
      </w:pPr>
      <w:r>
        <w:t>1.3.13 transport_requests</w:t>
      </w:r>
    </w:p>
    <w:p>
      <w:r>
        <w:t>Transport tasks and their lifecycle; one cargo may have several tasks over time.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(UUID).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request_code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Human-readable unique request code.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cargo_id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Cargo being transported.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status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Enum: CREATED | READY_TO_ASSIGN | BLOCKED | PICKING_UP | DELIVERING | DELIVERY_COMPLETED | CANCELLED | FAILED.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metadata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JSONB: assignedVehicleName, to1Name/to2Name/to3Name, approachLocationName, blockedReason.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assigned_at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When a vehicle was assigned.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2448"/>
          </w:tcPr>
          <w:p>
            <w:r>
              <w:t>started_at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When execution started.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2448"/>
          </w:tcPr>
          <w:p>
            <w:r>
              <w:t>completed_at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When delivery completed.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09</w:t>
            </w:r>
          </w:p>
        </w:tc>
        <w:tc>
          <w:tcPr>
            <w:tcW w:type="dxa" w:w="2448"/>
          </w:tcPr>
          <w:p>
            <w:r>
              <w:t>cancelled_at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When the task was cancelled.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Row creation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48"/>
          </w:tcPr>
          <w:p>
            <w:r>
              <w:t>updated_at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Last modification time.</w:t>
            </w:r>
          </w:p>
        </w:tc>
      </w:tr>
    </w:tbl>
    <w:p>
      <w:pPr>
        <w:pStyle w:val="Heading4"/>
      </w:pPr>
      <w:r>
        <w:t>1.3.14 task_status_transitions</w:t>
      </w:r>
    </w:p>
    <w:p>
      <w:r>
        <w:t>Insert-only audit of every task status change, written exclusively by TransportTaskService.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(bigserial).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task_id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Transport task that changed.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from_status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Previous status; NULL only on the birth row.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to_status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New status.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trigger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Cause of the change: API | RELEASE_ENGINE | ASSIGNMENT_ENGINE | SAGA.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vehicle_name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Snapshot of the assigned vehicle at transition time.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2448"/>
          </w:tcPr>
          <w:p>
            <w:r>
              <w:t>reason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Free-text reason (e.g. blocked reason).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2448"/>
          </w:tcPr>
          <w:p>
            <w:r>
              <w:t>context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JSONB measurements (e.g. distanceToSource at assign).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09</w:t>
            </w:r>
          </w:p>
        </w:tc>
        <w:tc>
          <w:tcPr>
            <w:tcW w:type="dxa" w:w="2448"/>
          </w:tcPr>
          <w:p>
            <w:r>
              <w:t>occurred_at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Transition time (default now()).</w:t>
            </w:r>
          </w:p>
        </w:tc>
      </w:tr>
    </w:tbl>
    <w:p>
      <w:pPr>
        <w:pStyle w:val="Heading4"/>
      </w:pPr>
      <w:r>
        <w:t>1.3.15 sse_sessions</w:t>
      </w:r>
    </w:p>
    <w:p>
      <w:r>
        <w:t>One row per kernel SSE (re)connect, bracketing telemetry so analysis never spans a reconnect gap.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(bigserial).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connected_at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SSE connect time (default now()).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ended_at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SSE disconnect time; NULL while open.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end_reason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Why the session ended (error, shutdown, ...).</w:t>
            </w:r>
          </w:p>
        </w:tc>
      </w:tr>
    </w:tbl>
    <w:p>
      <w:pPr>
        <w:pStyle w:val="Heading4"/>
      </w:pPr>
      <w:r>
        <w:t>1.3.16 vehicle_state_transitions</w:t>
      </w:r>
    </w:p>
    <w:p>
      <w:r>
        <w:t>Insert-only log of observed vehicle state changes, batch-written by FleetTelemetryService for KPI evaluation.</w:t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448"/>
        <w:gridCol w:w="503"/>
        <w:gridCol w:w="503"/>
        <w:gridCol w:w="503"/>
        <w:gridCol w:w="503"/>
        <w:gridCol w:w="4176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FK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UN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</w:rPr>
              <w:t>NN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Primary key (bigserial).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2448"/>
          </w:tcPr>
          <w:p>
            <w:r>
              <w:t>session_id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SSE session the observation belongs to.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2448"/>
          </w:tcPr>
          <w:p>
            <w:r>
              <w:t>vehicle_name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openTCS vehicle name.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2448"/>
          </w:tcPr>
          <w:p>
            <w:r>
              <w:t>point_name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Current point; NULL while between points.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2448"/>
          </w:tcPr>
          <w:p>
            <w:r>
              <w:t>proc_state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Kernel processing state (IDLE, PROCESSING_ORDER, ...).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2448"/>
          </w:tcPr>
          <w:p>
            <w:r>
              <w:t>vehicle_state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Kernel vehicle state (IDLE, EXECUTING, CHARGING, ...).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2448"/>
          </w:tcPr>
          <w:p>
            <w:r>
              <w:t>order_name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4176"/>
          </w:tcPr>
          <w:p>
            <w:r>
              <w:t>Transport order being executed.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2448"/>
          </w:tcPr>
          <w:p>
            <w:r>
              <w:t>occurred_at</w:t>
            </w:r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/>
          </w:p>
        </w:tc>
        <w:tc>
          <w:tcPr>
            <w:tcW w:type="dxa" w:w="50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4176"/>
          </w:tcPr>
          <w:p>
            <w:r>
              <w:t>Observation time (kernel-side when available).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heading=h.521ieuxsh8v" w:id="19"/>
      <w:bookmarkEnd w:id="19"/>
      <w:r w:rsidDel="00000000" w:rsidR="00000000" w:rsidRPr="00000000">
        <w:rPr>
          <w:rtl w:val="0"/>
        </w:rPr>
        <w:t xml:space="preserve">2. Detailed Design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eading=h.86ji2c5n8h4g" w:id="20"/>
      <w:bookmarkEnd w:id="20"/>
      <w:r w:rsidDel="00000000" w:rsidR="00000000" w:rsidRPr="00000000">
        <w:rPr>
          <w:rtl w:val="0"/>
        </w:rPr>
        <w:t xml:space="preserve">2.1 &lt;Feature/Function Name1&gt;</w:t>
      </w:r>
    </w:p>
    <w:p w:rsidR="00000000" w:rsidDel="00000000" w:rsidP="00000000" w:rsidRDefault="00000000" w:rsidRPr="00000000" w14:paraId="000000A8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detailed design for the feature &lt;Feature Name1&gt;. It includes Class Diagram and Sequence Diagram(s);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For the features/functions with the same structure of class &amp; sequence diagrams, you need to provide the diagrams once for one feature/function and refer to those diagrams from other features/functions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]</w:t>
      </w:r>
    </w:p>
    <w:p w:rsidR="00000000" w:rsidDel="00000000" w:rsidP="00000000" w:rsidRDefault="00000000" w:rsidRPr="00000000" w14:paraId="000000A9">
      <w:pPr>
        <w:pStyle w:val="Heading4"/>
        <w:rPr/>
      </w:pPr>
      <w:r w:rsidDel="00000000" w:rsidR="00000000" w:rsidRPr="00000000">
        <w:rPr>
          <w:rtl w:val="0"/>
        </w:rPr>
        <w:t xml:space="preserve">2.1.1 Class Diagram</w:t>
      </w:r>
    </w:p>
    <w:p w:rsidR="00000000" w:rsidDel="00000000" w:rsidP="00000000" w:rsidRDefault="00000000" w:rsidRPr="00000000" w14:paraId="000000AA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[This part presents the class diagram for the relevant feature]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68024" cy="239484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024" cy="2394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rPr/>
      </w:pPr>
      <w:r w:rsidDel="00000000" w:rsidR="00000000" w:rsidRPr="00000000">
        <w:rPr>
          <w:rtl w:val="0"/>
        </w:rPr>
        <w:t xml:space="preserve">2.1.2 &lt;Sequence Diagram Name1&gt;</w:t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sequence diagram(s) for the feature, see the sample below]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0" distT="0" distL="0" distR="0">
            <wp:extent cx="5937885" cy="373951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73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rPr/>
      </w:pPr>
      <w:r w:rsidDel="00000000" w:rsidR="00000000" w:rsidRPr="00000000">
        <w:rPr>
          <w:rtl w:val="0"/>
        </w:rPr>
        <w:t xml:space="preserve">2.1.3 &lt;Sequence Diagram Name2&gt;</w:t>
      </w:r>
    </w:p>
    <w:p w:rsidR="00000000" w:rsidDel="00000000" w:rsidP="00000000" w:rsidRDefault="00000000" w:rsidRPr="00000000" w14:paraId="000000B0">
      <w:pPr>
        <w:pStyle w:val="Heading4"/>
        <w:rPr/>
      </w:pPr>
      <w:r w:rsidDel="00000000" w:rsidR="00000000" w:rsidRPr="00000000">
        <w:rPr>
          <w:rtl w:val="0"/>
        </w:rPr>
        <w:t xml:space="preserve">2.1.4 …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heading=h.tf9k17cj6arw" w:id="21"/>
      <w:bookmarkEnd w:id="21"/>
      <w:r w:rsidDel="00000000" w:rsidR="00000000" w:rsidRPr="00000000">
        <w:rPr>
          <w:rtl w:val="0"/>
        </w:rPr>
        <w:t xml:space="preserve">2.2 &lt;Feature/Function Name2&gt;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heading=h.b7ynx3n0o98l" w:id="22"/>
      <w:bookmarkEnd w:id="22"/>
      <w:r w:rsidDel="00000000" w:rsidR="00000000" w:rsidRPr="00000000">
        <w:rPr>
          <w:rtl w:val="0"/>
        </w:rPr>
        <w:t xml:space="preserve">3. Class Specifications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heading=h.hmsu1nfdtlh" w:id="23"/>
      <w:bookmarkEnd w:id="23"/>
      <w:r w:rsidDel="00000000" w:rsidR="00000000" w:rsidRPr="00000000">
        <w:rPr>
          <w:rtl w:val="0"/>
        </w:rPr>
        <w:t xml:space="preserve">3.1 package_name1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This section provides the detailed specifications for the classes in the package package_name1</w:t>
      </w:r>
    </w:p>
    <w:p w:rsidR="00000000" w:rsidDel="00000000" w:rsidP="00000000" w:rsidRDefault="00000000" w:rsidRPr="00000000" w14:paraId="000000B7">
      <w:pPr>
        <w:pStyle w:val="Heading4"/>
        <w:rPr/>
      </w:pPr>
      <w:r w:rsidDel="00000000" w:rsidR="00000000" w:rsidRPr="00000000">
        <w:rPr>
          <w:rtl w:val="0"/>
        </w:rPr>
        <w:t xml:space="preserve">3.1.1 ClassName1</w:t>
      </w:r>
    </w:p>
    <w:p w:rsidR="00000000" w:rsidDel="00000000" w:rsidP="00000000" w:rsidRDefault="00000000" w:rsidRPr="00000000" w14:paraId="000000B8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brief description of the class here]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class attributes and operations using below table format</w:t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2000"/>
        <w:gridCol w:w="5953"/>
        <w:tblGridChange w:id="0">
          <w:tblGrid>
            <w:gridCol w:w="552"/>
            <w:gridCol w:w="2000"/>
            <w:gridCol w:w="595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Name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df1e9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Attributes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&lt;attributeName1&gt;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&lt;attribute’s visibility: private, protected, default…&gt;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&lt;data type of the attribute: int, String...&gt;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&lt;description or purpose of the attribute&gt;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&lt;attributeName2&gt;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..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df1e9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Methods/Operations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&lt;methodName1&gt;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&lt;operation’s visibility: private, protected, default…&gt;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&lt;void or return type of the operation: int, String,..&gt;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&lt;description or purpose of the method&gt;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&lt;&lt;list out all the method parameters and provide details (name, data type, purpose/description) of each method parameter here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paramName1:type1, purpose/description1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paramName2:type2, purpose/description1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&lt;methodName2&gt;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..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]</w:t>
      </w:r>
    </w:p>
    <w:p w:rsidR="00000000" w:rsidDel="00000000" w:rsidP="00000000" w:rsidRDefault="00000000" w:rsidRPr="00000000" w14:paraId="000000DE">
      <w:pPr>
        <w:pStyle w:val="Heading4"/>
        <w:rPr/>
      </w:pPr>
      <w:r w:rsidDel="00000000" w:rsidR="00000000" w:rsidRPr="00000000">
        <w:rPr>
          <w:rtl w:val="0"/>
        </w:rPr>
        <w:t xml:space="preserve">3.1.1 ClassName2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heading=h.bpmwdaz4w5k" w:id="24"/>
      <w:bookmarkEnd w:id="24"/>
      <w:r w:rsidDel="00000000" w:rsidR="00000000" w:rsidRPr="00000000">
        <w:rPr>
          <w:rtl w:val="0"/>
        </w:rPr>
        <w:t xml:space="preserve">4. Other Design Specifications</w:t>
      </w:r>
    </w:p>
    <w:p w:rsidR="00000000" w:rsidDel="00000000" w:rsidP="00000000" w:rsidRDefault="00000000" w:rsidRPr="00000000" w14:paraId="000000E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any other design specifications here: data design, system integrations, algorithms, etc.]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headerReference w:type="default" r:id="rId14"/>
      <w:footerReference w:type="default" r:id="rId15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ZjokTd3Bh7uA9RjBebLFxpdB9A==">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