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Tahoma-bold.ttf" ContentType="application/x-font-ttf"/>
  <Override PartName="/word/fonts/Tahoma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/>
        <w:drawing>
          <wp:inline distB="0" distT="0" distL="0" distR="0">
            <wp:extent cx="2707537" cy="832092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07537" cy="8320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mallCaps w:val="1"/>
          <w:color w:val="c00000"/>
          <w:sz w:val="56"/>
          <w:szCs w:val="56"/>
        </w:rPr>
      </w:pPr>
      <w:r w:rsidDel="00000000" w:rsidR="00000000" w:rsidRPr="00000000">
        <w:rPr>
          <w:b w:val="1"/>
          <w:bCs w:val="1"/>
          <w:smallCaps w:val="1"/>
          <w:color w:val="c00000"/>
          <w:sz w:val="56"/>
          <w:szCs w:val="56"/>
          <w:rtl w:val="0"/>
        </w:rPr>
        <w:t xml:space="preserve">CAPSTONE PROJECT REPORT</w:t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color w:val="c00000"/>
          <w:sz w:val="44"/>
          <w:szCs w:val="44"/>
        </w:rPr>
      </w:pPr>
      <w:r w:rsidDel="00000000" w:rsidR="00000000" w:rsidRPr="00000000">
        <w:rPr>
          <w:b w:val="1"/>
          <w:bCs w:val="1"/>
          <w:color w:val="c00000"/>
          <w:sz w:val="44"/>
          <w:szCs w:val="44"/>
          <w:rtl w:val="0"/>
        </w:rPr>
        <w:t xml:space="preserve">Report 4 – Software Design Specification</w:t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before="89" w:lineRule="auto"/>
        <w:ind w:left="2526" w:right="2171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>– Hanoi, Jul 2026 –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e75b5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e75b5"/>
          <w:sz w:val="32"/>
          <w:szCs w:val="32"/>
          <w:u w:val="none"/>
          <w:shd w:fill="auto" w:val="clear"/>
          <w:vertAlign w:val="baseline"/>
          <w:rtl w:val="0"/>
        </w:rPr>
        <w:t xml:space="preserve">Table of Contents</w:t>
      </w:r>
    </w:p>
    <w:sdt>
      <w:sdtPr>
        <w:id w:val="-136437254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bookmarkStart w:colFirst="0" w:colLast="0" w:name="_heading=h.j69mvhemx6a0" w:id="0"/>
          <w:bookmarkEnd w:id="0"/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11ezhil9z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I. Record of Changes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zd1mtiocv1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II. Software Design Document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ci9whm2toy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High Level Design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twt491rd02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 Software Architecture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kqrud3xq37h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Package Diagram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icapgiy0ae6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 Database Design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21ieuxsh8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Detailed Design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6ji2c5n8h4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 &lt;Feature/Function Name1&gt;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f9k17cj6arw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 &lt;Feature/Function Name2&gt;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7ynx3n0o98l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Class Specifications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msu1nfdtlh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package_name1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pmwdaz4w5k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Other Design Specifications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3">
      <w:pPr>
        <w:rPr>
          <w:rFonts w:ascii="Calibri" w:cs="Calibri" w:eastAsia="Calibri" w:hAnsi="Calibri"/>
          <w:b w:val="1"/>
          <w:bCs w:val="1"/>
          <w:color w:val="c00000"/>
          <w:sz w:val="36"/>
          <w:szCs w:val="3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/>
      </w:pPr>
      <w:bookmarkStart w:colFirst="0" w:colLast="0" w:name="_heading=h.11ezhil9zo" w:id="1"/>
      <w:bookmarkEnd w:id="1"/>
      <w:r w:rsidDel="00000000" w:rsidR="00000000" w:rsidRPr="00000000">
        <w:rPr>
          <w:rtl w:val="0"/>
        </w:rPr>
        <w:t xml:space="preserve">I. Record of Changes</w:t>
      </w:r>
    </w:p>
    <w:tbl>
      <w:tblPr>
        <w:tblStyle w:val="Table1"/>
        <w:tblW w:w="8804.0" w:type="dxa"/>
        <w:jc w:val="left"/>
        <w:tblInd w:w="8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90"/>
        <w:gridCol w:w="810"/>
        <w:gridCol w:w="1234"/>
        <w:gridCol w:w="5770"/>
        <w:tblGridChange w:id="0">
          <w:tblGrid>
            <w:gridCol w:w="990"/>
            <w:gridCol w:w="810"/>
            <w:gridCol w:w="1234"/>
            <w:gridCol w:w="5770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A*</w:t>
              <w:br w:type="textWrapping"/>
              <w:t xml:space="preserve">M, D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 charge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Change Description</w:t>
            </w:r>
          </w:p>
        </w:tc>
      </w:tr>
      <w:tr>
        <w:trPr>
          <w:cantSplit w:val="0"/>
          <w:tblHeader w:val="0"/>
        </w:trPr>
        <w:tc>
          <w:tcPr/>
          <w:p>
            <w:r>
              <w:t>02/07/2026</w:t>
            </w:r>
          </w:p>
        </w:tc>
        <w:tc>
          <w:tcPr/>
          <w:p>
            <w:r>
              <w:t>A</w:t>
            </w:r>
          </w:p>
        </w:tc>
        <w:tc>
          <w:tcPr/>
          <w:p>
            <w:r>
              <w:t>HungPV</w:t>
            </w:r>
          </w:p>
        </w:tc>
        <w:tc>
          <w:tcPr/>
          <w:p>
            <w:r>
              <w:t>Added Section II.1.1 Software Architecture (high-level architecture diagram and component descriptions)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rPr>
          <w:sz w:val="28"/>
          <w:szCs w:val="28"/>
        </w:rPr>
      </w:pPr>
      <w:r w:rsidDel="00000000" w:rsidR="00000000" w:rsidRPr="00000000">
        <w:rPr>
          <w:rtl w:val="0"/>
        </w:rPr>
        <w:t xml:space="preserve">*A - Added M - Modified D - Deleted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rPr/>
      </w:pPr>
      <w:bookmarkStart w:colFirst="0" w:colLast="0" w:name="_heading=h.7zd1mtiocv1p" w:id="2"/>
      <w:bookmarkEnd w:id="2"/>
      <w:r w:rsidDel="00000000" w:rsidR="00000000" w:rsidRPr="00000000">
        <w:rPr>
          <w:rtl w:val="0"/>
        </w:rPr>
        <w:t xml:space="preserve">II. Software Design Document</w:t>
      </w:r>
    </w:p>
    <w:p w:rsidR="00000000" w:rsidDel="00000000" w:rsidP="00000000" w:rsidRDefault="00000000" w:rsidRPr="00000000" w14:paraId="00000060">
      <w:pPr>
        <w:pStyle w:val="Heading2"/>
        <w:rPr/>
      </w:pPr>
      <w:bookmarkStart w:colFirst="0" w:colLast="0" w:name="_heading=h.mci9whm2toy4" w:id="3"/>
      <w:bookmarkEnd w:id="3"/>
      <w:r w:rsidDel="00000000" w:rsidR="00000000" w:rsidRPr="00000000">
        <w:rPr>
          <w:rtl w:val="0"/>
        </w:rPr>
        <w:t xml:space="preserve">1. High-Level Design</w:t>
      </w:r>
    </w:p>
    <w:p w:rsidR="00000000" w:rsidDel="00000000" w:rsidP="00000000" w:rsidRDefault="00000000" w:rsidRPr="00000000" w14:paraId="00000061">
      <w:pPr>
        <w:pStyle w:val="Heading3"/>
        <w:rPr/>
      </w:pPr>
      <w:bookmarkStart w:colFirst="0" w:colLast="0" w:name="_heading=h.ntwt491rd02p" w:id="4"/>
      <w:bookmarkEnd w:id="4"/>
      <w:r w:rsidDel="00000000" w:rsidR="00000000" w:rsidRPr="00000000">
        <w:rPr>
          <w:rtl w:val="0"/>
        </w:rPr>
        <w:t xml:space="preserve">1.1 Software Architecture</w:t>
      </w:r>
    </w:p>
    <w:p w:rsidR="00000000" w:rsidDel="00000000" w:rsidP="00000000" w:rsidRDefault="00000000" w:rsidRPr="00000000" w14:paraId="00000062">
      <w:pPr>
        <w:jc w:val="both"/>
        <w:rPr>
          <w:i w:val="1"/>
          <w:iCs w:val="1"/>
          <w:color w:val="0000ff"/>
        </w:rPr>
      </w:pPr>
      <w:r>
        <w:t>The Smart Warehouse Execution System (SWES) is designed as a layered, event-driven modular monolith. The system consists of a React single-page application (wes-client), a NestJS backend (wes) that owns all business logic, and a customized openTCS kernel (FMS) that executes physical routing and AGV control. The backend takes over the default openTCS dispatching: every transport order is pushed to the kernel with an already-assigned vehicle (intendedVehicle). Figure II-1 shows the overall architecture, the external systems, and the communication messages between the components.</w:t>
      </w:r>
    </w:p>
    <w:p>
      <w:pPr>
        <w:jc w:val="center"/>
      </w:pPr>
      <w:r>
        <w:drawing>
          <wp:inline>
            <wp:extent cx="5577840" cy="416744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7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II-1. SWES high-level software architecture</w:t>
      </w:r>
    </w:p>
    <w:p>
      <w:r>
        <w:t>The responsibilities of each component in the diagram are described below:</w:t>
      </w:r>
    </w:p>
    <w:tbl>
      <w:tblPr>
        <w:tblStyle w:val="Table2"/>
        <w:tblW w:w="9350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"/>
        <w:gridCol w:w="2448"/>
        <w:gridCol w:w="6048"/>
      </w:tblGrid>
      <w:tr>
        <w:tc>
          <w:tcPr>
            <w:tcW w:type="dxa" w:w="864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rPr>
                <w:b/>
              </w:rPr>
              <w:t>Component</w:t>
            </w:r>
          </w:p>
        </w:tc>
        <w:tc>
          <w:tcPr>
            <w:tcW w:type="dxa" w:w="6048"/>
          </w:tcPr>
          <w:p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864"/>
          </w:tcPr>
          <w:p>
            <w:r>
              <w:t>01</w:t>
            </w:r>
          </w:p>
        </w:tc>
        <w:tc>
          <w:tcPr>
            <w:tcW w:type="dxa" w:w="2448"/>
          </w:tcPr>
          <w:p>
            <w:r>
              <w:t>Admin / Operator</w:t>
            </w:r>
          </w:p>
        </w:tc>
        <w:tc>
          <w:tcPr>
            <w:tcW w:type="dxa" w:w="6048"/>
          </w:tcPr>
          <w:p>
            <w:r>
              <w:t>Human actors. The Admin configures the system (fleet, map/topology, users, dispatch policies) and monitors operations; the Operator creates and tracks transport requests. Both interact with the system through the wes-client web application.</w:t>
            </w:r>
          </w:p>
        </w:tc>
      </w:tr>
      <w:tr>
        <w:tc>
          <w:tcPr>
            <w:tcW w:type="dxa" w:w="864"/>
          </w:tcPr>
          <w:p>
            <w:r>
              <w:t>02</w:t>
            </w:r>
          </w:p>
        </w:tc>
        <w:tc>
          <w:tcPr>
            <w:tcW w:type="dxa" w:w="2448"/>
          </w:tcPr>
          <w:p>
            <w:r>
              <w:t>Barcode Scanner / Handheld App</w:t>
            </w:r>
          </w:p>
        </w:tc>
        <w:tc>
          <w:tcPr>
            <w:tcW w:type="dxa" w:w="6048"/>
          </w:tcPr>
          <w:p>
            <w:r>
              <w:t>On-site edge client. It optically decodes floor QR codes and package barcodes, then calls the SWES REST API to create a Cargo record and initiate the lifecycle of a Transport Request.</w:t>
            </w:r>
          </w:p>
        </w:tc>
      </w:tr>
      <w:tr>
        <w:tc>
          <w:tcPr>
            <w:tcW w:type="dxa" w:w="864"/>
          </w:tcPr>
          <w:p>
            <w:r>
              <w:t>03</w:t>
            </w:r>
          </w:p>
        </w:tc>
        <w:tc>
          <w:tcPr>
            <w:tcW w:type="dxa" w:w="2448"/>
          </w:tcPr>
          <w:p>
            <w:r>
              <w:t>wes-client (React SPA)</w:t>
            </w:r>
          </w:p>
        </w:tc>
        <w:tc>
          <w:tcPr>
            <w:tcW w:type="dxa" w:w="6048"/>
          </w:tcPr>
          <w:p>
            <w:r>
              <w:t>Single-page web application built with React, Vite and MUI. It renders data served by the backend over HTTPS REST and subscribes to the backend SSE endpoint (/maps/kernel/sse) for live AGV tracking on the warehouse map. It contains no business logic.</w:t>
            </w:r>
          </w:p>
        </w:tc>
      </w:tr>
      <w:tr>
        <w:tc>
          <w:tcPr>
            <w:tcW w:type="dxa" w:w="864"/>
          </w:tcPr>
          <w:p>
            <w:r>
              <w:t>04</w:t>
            </w:r>
          </w:p>
        </w:tc>
        <w:tc>
          <w:tcPr>
            <w:tcW w:type="dxa" w:w="2448"/>
          </w:tcPr>
          <w:p>
            <w:r>
              <w:t>Presentation Layer (REST Controllers)</w:t>
            </w:r>
          </w:p>
        </w:tc>
        <w:tc>
          <w:tcPr>
            <w:tcW w:type="dxa" w:w="6048"/>
          </w:tcPr>
          <w:p>
            <w:r>
              <w:t>NestJS controllers exposing the system API: AuthController/AccountController/AdminUsersController (authentication and user management), AgvsController (fleet registry), MapsController/ZoneController (map, topology and the SSE stream), CargoController (cargo and transport requests, also consumed by the barcode scanner). Controllers validate DTOs, enforce JWT/role guards and delegate to services.</w:t>
            </w:r>
          </w:p>
        </w:tc>
      </w:tr>
      <w:tr>
        <w:tc>
          <w:tcPr>
            <w:tcW w:type="dxa" w:w="864"/>
          </w:tcPr>
          <w:p>
            <w:r>
              <w:t>05</w:t>
            </w:r>
          </w:p>
        </w:tc>
        <w:tc>
          <w:tcPr>
            <w:tcW w:type="dxa" w:w="2448"/>
          </w:tcPr>
          <w:p>
            <w:r>
              <w:t>Application Layer (Business Services)</w:t>
            </w:r>
          </w:p>
        </w:tc>
        <w:tc>
          <w:tcPr>
            <w:tcW w:type="dxa" w:w="6048"/>
          </w:tcPr>
          <w:p>
            <w:r>
              <w:t>All business use cases. CargoService manages cargo records; TransportTaskService is the single write choke point for transport-task status (validate via state machine, persist, emit event). The Dispatch Orchestration group implements the core value of SWES: ReleaseEngineService with PickupDependencyService gates CREATED tasks (row-dependency anti-congestion rule, BLOCKED state), AssignmentEngineService selects the nearest eligible AGV (Dijkstra over the plant-model road graph via RoutingService), TransportTaskSaga advances the three-leg order flow (pick-up, approach, drop-off), DeliverySlotEngine late-binds the concrete drop-off slot, and DispatchSchedulerService debounces and triggers release/assignment cycles. Supporting services: AgvsService, MapsService/ZoneService, AuthService/TokenService/UsersService/AccountService/AdminUsersService, MailService.</w:t>
            </w:r>
          </w:p>
        </w:tc>
      </w:tr>
      <w:tr>
        <w:tc>
          <w:tcPr>
            <w:tcW w:type="dxa" w:w="864"/>
          </w:tcPr>
          <w:p>
            <w:r>
              <w:t>06</w:t>
            </w:r>
          </w:p>
        </w:tc>
        <w:tc>
          <w:tcPr>
            <w:tcW w:type="dxa" w:w="2448"/>
          </w:tcPr>
          <w:p>
            <w:r>
              <w:t>In-process Event Bus (@nestjs/event-emitter)</w:t>
            </w:r>
          </w:p>
        </w:tc>
        <w:tc>
          <w:tcPr>
            <w:tcW w:type="dxa" w:w="6048"/>
          </w:tcPr>
          <w:p>
            <w:r>
              <w:t>Decouples producers and consumers inside the monolith. TransportTaskService emits transport-task.* events; the openTCS listener emits fms.* events; engines react via @OnEvent handlers. No external message broker is used.</w:t>
            </w:r>
          </w:p>
        </w:tc>
      </w:tr>
      <w:tr>
        <w:tc>
          <w:tcPr>
            <w:tcW w:type="dxa" w:w="864"/>
          </w:tcPr>
          <w:p>
            <w:r>
              <w:t>07</w:t>
            </w:r>
          </w:p>
        </w:tc>
        <w:tc>
          <w:tcPr>
            <w:tcW w:type="dxa" w:w="2448"/>
          </w:tcPr>
          <w:p>
            <w:r>
              <w:t>Anti-Corruption Layer (opentcs/)</w:t>
            </w:r>
          </w:p>
        </w:tc>
        <w:tc>
          <w:tcPr>
            <w:tcW w:type="dxa" w:w="6048"/>
          </w:tcPr>
          <w:p>
            <w:r>
              <w:t>The only place that talks to openTCS. KernelApiService wraps the kernel REST API (transport orders, plant model, vehicles); KernelEventListenerService subscribes to the kernel SSE stream and translates telemetry frames into fms.* domain events; VehicleStateStore caches live vehicle telemetry in memory; KernelSyncService and MapLoaderService push/synchronize the plant model at startup. openTCS types never leak into business modules.</w:t>
            </w:r>
          </w:p>
        </w:tc>
      </w:tr>
      <w:tr>
        <w:tc>
          <w:tcPr>
            <w:tcW w:type="dxa" w:w="864"/>
          </w:tcPr>
          <w:p>
            <w:r>
              <w:t>08</w:t>
            </w:r>
          </w:p>
        </w:tc>
        <w:tc>
          <w:tcPr>
            <w:tcW w:type="dxa" w:w="2448"/>
          </w:tcPr>
          <w:p>
            <w:r>
              <w:t>PostgreSQL</w:t>
            </w:r>
          </w:p>
        </w:tc>
        <w:tc>
          <w:tcPr>
            <w:tcW w:type="dxa" w:w="6048"/>
          </w:tcPr>
          <w:p>
            <w:r>
              <w:t>Relational database accessed through TypeORM entities/repositories. Stores AGVs, cargos, transport requests, maps, zones, points/paths, users and the append-only event log.</w:t>
            </w:r>
          </w:p>
        </w:tc>
      </w:tr>
      <w:tr>
        <w:tc>
          <w:tcPr>
            <w:tcW w:type="dxa" w:w="864"/>
          </w:tcPr>
          <w:p>
            <w:r>
              <w:t>09</w:t>
            </w:r>
          </w:p>
        </w:tc>
        <w:tc>
          <w:tcPr>
            <w:tcW w:type="dxa" w:w="2448"/>
          </w:tcPr>
          <w:p>
            <w:r>
              <w:t>FMS (openTCS Kernel)</w:t>
            </w:r>
          </w:p>
        </w:tc>
        <w:tc>
          <w:tcPr>
            <w:tcW w:type="dxa" w:w="6048"/>
          </w:tcPr>
          <w:p>
            <w:r>
              <w:t>External fleet-management middleware (customized openTCS, project opentcs-integration-FMS). It receives transport orders whose vehicle has already been chosen by SWES, performs pathfinding and physical vehicle control, and continuously publishes vehicle and transport-order telemetry to SWES over SSE (/v1/sse).</w:t>
            </w:r>
          </w:p>
        </w:tc>
      </w:tr>
      <w:tr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2448"/>
          </w:tcPr>
          <w:p>
            <w:r>
              <w:t>AGV Fleet</w:t>
            </w:r>
          </w:p>
        </w:tc>
        <w:tc>
          <w:tcPr>
            <w:tcW w:type="dxa" w:w="6048"/>
          </w:tcPr>
          <w:p>
            <w:r>
              <w:t>The physical automated guided vehicles. They communicate only with the openTCS kernel through its vehicle communication adapters (movement commands and telemetry).</w:t>
            </w:r>
          </w:p>
        </w:tc>
      </w:tr>
      <w:tr>
        <w:tc>
          <w:tcPr>
            <w:tcW w:type="dxa" w:w="864"/>
          </w:tcPr>
          <w:p>
            <w:r>
              <w:t>11</w:t>
            </w:r>
          </w:p>
        </w:tc>
        <w:tc>
          <w:tcPr>
            <w:tcW w:type="dxa" w:w="2448"/>
          </w:tcPr>
          <w:p>
            <w:r>
              <w:t>Gmail Service</w:t>
            </w:r>
          </w:p>
        </w:tc>
        <w:tc>
          <w:tcPr>
            <w:tcW w:type="dxa" w:w="6048"/>
          </w:tcPr>
          <w:p>
            <w:r>
              <w:t>Third-party email delivery service used by MailService to send authentication emails: OTP codes and password-reset links.</w:t>
            </w:r>
          </w:p>
        </w:tc>
      </w:tr>
    </w:tbl>
    <w:p w:rsidR="00000000" w:rsidDel="00000000" w:rsidP="00000000" w:rsidRDefault="00000000" w:rsidRPr="00000000" w14:paraId="00000064">
      <w:pPr>
        <w:pStyle w:val="Heading3"/>
        <w:rPr/>
      </w:pPr>
      <w:bookmarkStart w:colFirst="0" w:colLast="0" w:name="_heading=h.lkqrud3xq37h" w:id="5"/>
      <w:bookmarkEnd w:id="5"/>
      <w:r w:rsidDel="00000000" w:rsidR="00000000" w:rsidRPr="00000000">
        <w:rPr>
          <w:rtl w:val="0"/>
        </w:rPr>
        <w:t xml:space="preserve">1.2 Package Diagram</w:t>
      </w:r>
    </w:p>
    <w:p w:rsidR="00000000" w:rsidDel="00000000" w:rsidP="00000000" w:rsidRDefault="00000000" w:rsidRPr="00000000" w14:paraId="00000065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i w:val="1"/>
          <w:iCs w:val="1"/>
          <w:color w:val="0000ff"/>
          <w:rtl w:val="0"/>
        </w:rPr>
        <w:t xml:space="preserve">[Provide the package diagram for each sub-system. The content of this section including the overall package diagram, the explanation, package and class naming conventions in each package. Please see the sample &amp; description table format below]</w:t>
      </w:r>
    </w:p>
    <w:p w:rsidR="00000000" w:rsidDel="00000000" w:rsidP="00000000" w:rsidRDefault="00000000" w:rsidRPr="00000000" w14:paraId="00000066">
      <w:pPr>
        <w:jc w:val="center"/>
        <w:rPr/>
      </w:pPr>
      <w:r w:rsidDel="00000000" w:rsidR="00000000" w:rsidRPr="00000000">
        <w:rPr/>
        <w:drawing>
          <wp:inline distB="0" distT="0" distL="0" distR="0">
            <wp:extent cx="5943600" cy="3015615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56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60" w:lineRule="auto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Package descriptions</w:t>
      </w:r>
    </w:p>
    <w:tbl>
      <w:tblPr>
        <w:tblStyle w:val="Table2"/>
        <w:tblW w:w="9350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51"/>
        <w:gridCol w:w="2568"/>
        <w:gridCol w:w="6231"/>
        <w:tblGridChange w:id="0">
          <w:tblGrid>
            <w:gridCol w:w="551"/>
            <w:gridCol w:w="2568"/>
            <w:gridCol w:w="6231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68">
            <w:pPr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No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69">
            <w:pPr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Package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6A">
            <w:pPr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6C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Member_authority</w:t>
            </w:r>
          </w:p>
        </w:tc>
        <w:tc>
          <w:tcPr/>
          <w:p w:rsidR="00000000" w:rsidDel="00000000" w:rsidP="00000000" w:rsidRDefault="00000000" w:rsidRPr="00000000" w14:paraId="0000006D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&lt;Description of the package&gt;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6F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registration</w:t>
            </w:r>
          </w:p>
        </w:tc>
        <w:tc>
          <w:tcPr/>
          <w:p w:rsidR="00000000" w:rsidDel="00000000" w:rsidP="00000000" w:rsidRDefault="00000000" w:rsidRPr="00000000" w14:paraId="00000070">
            <w:pPr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&lt;Description of the package&gt;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03</w:t>
            </w:r>
          </w:p>
        </w:tc>
        <w:tc>
          <w:tcPr/>
          <w:p w:rsidR="00000000" w:rsidDel="00000000" w:rsidP="00000000" w:rsidRDefault="00000000" w:rsidRPr="00000000" w14:paraId="00000072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…</w:t>
            </w:r>
          </w:p>
        </w:tc>
        <w:tc>
          <w:tcPr/>
          <w:p w:rsidR="00000000" w:rsidDel="00000000" w:rsidP="00000000" w:rsidRDefault="00000000" w:rsidRPr="00000000" w14:paraId="00000073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3"/>
        <w:rPr/>
      </w:pPr>
      <w:bookmarkStart w:colFirst="0" w:colLast="0" w:name="_heading=h.1wambqn9w3pa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3"/>
        <w:rPr/>
      </w:pPr>
      <w:bookmarkStart w:colFirst="0" w:colLast="0" w:name="_heading=h.gaip2hn371p9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3"/>
        <w:rPr/>
      </w:pPr>
      <w:bookmarkStart w:colFirst="0" w:colLast="0" w:name="_heading=h.r7shn3s9lg0j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3"/>
        <w:rPr/>
      </w:pPr>
      <w:bookmarkStart w:colFirst="0" w:colLast="0" w:name="_heading=h.fw8121wu1ddz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3"/>
        <w:rPr/>
      </w:pPr>
      <w:bookmarkStart w:colFirst="0" w:colLast="0" w:name="_heading=h.g1yx3ws06igx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3"/>
        <w:rPr/>
      </w:pPr>
      <w:bookmarkStart w:colFirst="0" w:colLast="0" w:name="_heading=h.nc5crgru1pqt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3"/>
        <w:rPr/>
      </w:pPr>
      <w:bookmarkStart w:colFirst="0" w:colLast="0" w:name="_heading=h.taaz4tkg3jo4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3"/>
        <w:rPr/>
      </w:pPr>
      <w:bookmarkStart w:colFirst="0" w:colLast="0" w:name="_heading=h.61qhkxz66xth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3"/>
        <w:rPr/>
      </w:pPr>
      <w:bookmarkStart w:colFirst="0" w:colLast="0" w:name="_heading=h.9vif8a9jkblf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3"/>
        <w:rPr/>
      </w:pPr>
      <w:bookmarkStart w:colFirst="0" w:colLast="0" w:name="_heading=h.1f39scga0fdv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rPr/>
      </w:pPr>
      <w:bookmarkStart w:colFirst="0" w:colLast="0" w:name="_heading=h.z6zpnxzg185i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3"/>
        <w:rPr/>
      </w:pPr>
      <w:bookmarkStart w:colFirst="0" w:colLast="0" w:name="_heading=h.376e6h9ie0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rPr/>
      </w:pPr>
      <w:bookmarkStart w:colFirst="0" w:colLast="0" w:name="_heading=h.bicapgiy0ae6" w:id="18"/>
      <w:bookmarkEnd w:id="18"/>
      <w:r w:rsidDel="00000000" w:rsidR="00000000" w:rsidRPr="00000000">
        <w:rPr>
          <w:rtl w:val="0"/>
        </w:rPr>
        <w:t xml:space="preserve">1.3 Database Design</w:t>
      </w:r>
    </w:p>
    <w:p w:rsidR="00000000" w:rsidDel="00000000" w:rsidP="00000000" w:rsidRDefault="00000000" w:rsidRPr="00000000" w14:paraId="00000082">
      <w:pPr>
        <w:spacing w:after="0" w:line="240" w:lineRule="auto"/>
        <w:jc w:val="both"/>
        <w:rPr>
          <w:i w:val="1"/>
          <w:iCs w:val="1"/>
          <w:color w:val="0000ff"/>
        </w:rPr>
      </w:pPr>
      <w:r w:rsidDel="00000000" w:rsidR="00000000" w:rsidRPr="00000000">
        <w:rPr>
          <w:i w:val="1"/>
          <w:iCs w:val="1"/>
          <w:color w:val="0000ff"/>
          <w:rtl w:val="0"/>
        </w:rPr>
        <w:t xml:space="preserve">[Provide the files description, database table relationship &amp; table descriptions like example below]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sz w:val="24"/>
          <w:szCs w:val="24"/>
        </w:rPr>
        <w:drawing>
          <wp:inline distB="0" distT="0" distL="0" distR="0">
            <wp:extent cx="5669077" cy="5029436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077" cy="50294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4"/>
        <w:rPr/>
      </w:pPr>
      <w:r w:rsidDel="00000000" w:rsidR="00000000" w:rsidRPr="00000000">
        <w:rPr>
          <w:rtl w:val="0"/>
        </w:rPr>
        <w:t xml:space="preserve">1.3.1 table_name1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[Provide brief description of the table here]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[Provide the detailed table fields description using below table format</w:t>
        <w:br w:type="textWrapping"/>
        <w:t xml:space="preserve"> * PK~Primary Key; FK~Foreign Key; UN~Unique; NN ~ not null</w:t>
      </w:r>
    </w:p>
    <w:tbl>
      <w:tblPr>
        <w:tblStyle w:val="Table3"/>
        <w:tblW w:w="9356.000000000002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52"/>
        <w:gridCol w:w="1717"/>
        <w:gridCol w:w="566"/>
        <w:gridCol w:w="566"/>
        <w:gridCol w:w="566"/>
        <w:gridCol w:w="566"/>
        <w:gridCol w:w="4823"/>
        <w:tblGridChange w:id="0">
          <w:tblGrid>
            <w:gridCol w:w="552"/>
            <w:gridCol w:w="1717"/>
            <w:gridCol w:w="566"/>
            <w:gridCol w:w="566"/>
            <w:gridCol w:w="566"/>
            <w:gridCol w:w="566"/>
            <w:gridCol w:w="4823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87">
            <w:pPr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No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88">
            <w:pPr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Field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89">
            <w:pPr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PK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8A">
            <w:pPr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FK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8B">
            <w:pPr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UN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8C">
            <w:pPr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NN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8D">
            <w:pPr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spacing w:after="0" w:line="240" w:lineRule="auto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8F">
            <w:pPr>
              <w:spacing w:after="0" w:line="240" w:lineRule="auto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&lt;field_name1&gt;</w:t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after="0" w:line="240" w:lineRule="auto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spacing w:after="0" w:line="240" w:lineRule="auto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after="0" w:line="240" w:lineRule="auto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spacing w:after="0" w:line="240" w:lineRule="auto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spacing w:after="0" w:line="240" w:lineRule="auto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&lt;Description of the field_name1&gt;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spacing w:after="0" w:line="240" w:lineRule="auto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96">
            <w:pPr>
              <w:spacing w:after="0" w:line="240" w:lineRule="auto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&lt;field_name2&gt;</w:t>
            </w:r>
          </w:p>
        </w:tc>
        <w:tc>
          <w:tcPr/>
          <w:p w:rsidR="00000000" w:rsidDel="00000000" w:rsidP="00000000" w:rsidRDefault="00000000" w:rsidRPr="00000000" w14:paraId="00000097">
            <w:pPr>
              <w:spacing w:after="0" w:lin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spacing w:after="0" w:lin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spacing w:after="0" w:lin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spacing w:after="0" w:lin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spacing w:after="0" w:lin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…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C">
            <w:pPr>
              <w:spacing w:after="0" w:line="240" w:lineRule="auto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..</w:t>
            </w:r>
          </w:p>
        </w:tc>
        <w:tc>
          <w:tcPr/>
          <w:p w:rsidR="00000000" w:rsidDel="00000000" w:rsidP="00000000" w:rsidRDefault="00000000" w:rsidRPr="00000000" w14:paraId="0000009D">
            <w:pPr>
              <w:spacing w:after="0" w:line="240" w:lineRule="auto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spacing w:after="0" w:lin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spacing w:after="0" w:lin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spacing w:after="0" w:lin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spacing w:after="0" w:lin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after="0" w:lin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4"/>
        <w:rPr/>
      </w:pPr>
      <w:r w:rsidDel="00000000" w:rsidR="00000000" w:rsidRPr="00000000">
        <w:rPr>
          <w:rtl w:val="0"/>
        </w:rPr>
        <w:t xml:space="preserve">1.3.2 table_name2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…</w:t>
      </w:r>
    </w:p>
    <w:p w:rsidR="00000000" w:rsidDel="00000000" w:rsidP="00000000" w:rsidRDefault="00000000" w:rsidRPr="00000000" w14:paraId="000000A6">
      <w:pPr>
        <w:pStyle w:val="Heading2"/>
        <w:rPr/>
      </w:pPr>
      <w:bookmarkStart w:colFirst="0" w:colLast="0" w:name="_heading=h.521ieuxsh8v" w:id="19"/>
      <w:bookmarkEnd w:id="19"/>
      <w:r w:rsidDel="00000000" w:rsidR="00000000" w:rsidRPr="00000000">
        <w:rPr>
          <w:rtl w:val="0"/>
        </w:rPr>
        <w:t xml:space="preserve">2. Detailed Design</w:t>
      </w:r>
    </w:p>
    <w:p w:rsidR="00000000" w:rsidDel="00000000" w:rsidP="00000000" w:rsidRDefault="00000000" w:rsidRPr="00000000" w14:paraId="000000A7">
      <w:pPr>
        <w:pStyle w:val="Heading3"/>
        <w:rPr/>
      </w:pPr>
      <w:bookmarkStart w:colFirst="0" w:colLast="0" w:name="_heading=h.86ji2c5n8h4g" w:id="20"/>
      <w:bookmarkEnd w:id="20"/>
      <w:r w:rsidDel="00000000" w:rsidR="00000000" w:rsidRPr="00000000">
        <w:rPr>
          <w:rtl w:val="0"/>
        </w:rPr>
        <w:t xml:space="preserve">2.1 &lt;Feature/Function Name1&gt;</w:t>
      </w:r>
    </w:p>
    <w:p w:rsidR="00000000" w:rsidDel="00000000" w:rsidP="00000000" w:rsidRDefault="00000000" w:rsidRPr="00000000" w14:paraId="000000A8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i w:val="1"/>
          <w:iCs w:val="1"/>
          <w:color w:val="0000ff"/>
          <w:rtl w:val="0"/>
        </w:rPr>
        <w:t xml:space="preserve">[Provide the detailed design for the feature &lt;Feature Name1&gt;. It includes Class Diagram and Sequence Diagram(s); </w:t>
      </w:r>
      <w:r w:rsidDel="00000000" w:rsidR="00000000" w:rsidRPr="00000000">
        <w:rPr>
          <w:b w:val="1"/>
          <w:bCs w:val="1"/>
          <w:i w:val="1"/>
          <w:iCs w:val="1"/>
          <w:color w:val="0000ff"/>
          <w:rtl w:val="0"/>
        </w:rPr>
        <w:t xml:space="preserve">For the features/functions with the same structure of class &amp; sequence diagrams, you need to provide the diagrams once for one feature/function and refer to those diagrams from other features/functions</w:t>
      </w:r>
      <w:r w:rsidDel="00000000" w:rsidR="00000000" w:rsidRPr="00000000">
        <w:rPr>
          <w:i w:val="1"/>
          <w:iCs w:val="1"/>
          <w:color w:val="0000ff"/>
          <w:rtl w:val="0"/>
        </w:rPr>
        <w:t xml:space="preserve">]</w:t>
      </w:r>
    </w:p>
    <w:p w:rsidR="00000000" w:rsidDel="00000000" w:rsidP="00000000" w:rsidRDefault="00000000" w:rsidRPr="00000000" w14:paraId="000000A9">
      <w:pPr>
        <w:pStyle w:val="Heading4"/>
        <w:rPr/>
      </w:pPr>
      <w:r w:rsidDel="00000000" w:rsidR="00000000" w:rsidRPr="00000000">
        <w:rPr>
          <w:rtl w:val="0"/>
        </w:rPr>
        <w:t xml:space="preserve">2.1.1 Class Diagram</w:t>
      </w:r>
    </w:p>
    <w:p w:rsidR="00000000" w:rsidDel="00000000" w:rsidP="00000000" w:rsidRDefault="00000000" w:rsidRPr="00000000" w14:paraId="000000AA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i w:val="1"/>
          <w:iCs w:val="1"/>
          <w:color w:val="0000ff"/>
          <w:rtl w:val="0"/>
        </w:rPr>
        <w:t xml:space="preserve">[This part presents the class diagram for the relevant feature]</w:t>
      </w:r>
    </w:p>
    <w:p w:rsidR="00000000" w:rsidDel="00000000" w:rsidP="00000000" w:rsidRDefault="00000000" w:rsidRPr="00000000" w14:paraId="000000AB">
      <w:pPr>
        <w:jc w:val="center"/>
        <w:rPr/>
      </w:pPr>
      <w:r w:rsidDel="00000000" w:rsidR="00000000" w:rsidRPr="00000000">
        <w:rPr/>
        <w:drawing>
          <wp:inline distB="0" distT="0" distL="0" distR="0">
            <wp:extent cx="4968024" cy="2394842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68024" cy="23948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4"/>
        <w:rPr/>
      </w:pPr>
      <w:r w:rsidDel="00000000" w:rsidR="00000000" w:rsidRPr="00000000">
        <w:rPr>
          <w:rtl w:val="0"/>
        </w:rPr>
        <w:t xml:space="preserve">2.1.2 &lt;Sequence Diagram Name1&gt;</w:t>
      </w:r>
    </w:p>
    <w:p w:rsidR="00000000" w:rsidDel="00000000" w:rsidP="00000000" w:rsidRDefault="00000000" w:rsidRPr="00000000" w14:paraId="000000AD">
      <w:pPr>
        <w:spacing w:after="0" w:line="240" w:lineRule="auto"/>
        <w:jc w:val="both"/>
        <w:rPr>
          <w:i w:val="1"/>
          <w:iCs w:val="1"/>
          <w:color w:val="0000ff"/>
        </w:rPr>
      </w:pPr>
      <w:r w:rsidDel="00000000" w:rsidR="00000000" w:rsidRPr="00000000">
        <w:rPr>
          <w:i w:val="1"/>
          <w:iCs w:val="1"/>
          <w:color w:val="0000ff"/>
          <w:rtl w:val="0"/>
        </w:rPr>
        <w:t xml:space="preserve">[Provide the sequence diagram(s) for the feature, see the sample below]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/>
        <w:drawing>
          <wp:inline distB="0" distT="0" distL="0" distR="0">
            <wp:extent cx="5937885" cy="3739515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37395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4"/>
        <w:rPr/>
      </w:pPr>
      <w:r w:rsidDel="00000000" w:rsidR="00000000" w:rsidRPr="00000000">
        <w:rPr>
          <w:rtl w:val="0"/>
        </w:rPr>
        <w:t xml:space="preserve">2.1.3 &lt;Sequence Diagram Name2&gt;</w:t>
      </w:r>
    </w:p>
    <w:p w:rsidR="00000000" w:rsidDel="00000000" w:rsidP="00000000" w:rsidRDefault="00000000" w:rsidRPr="00000000" w14:paraId="000000B0">
      <w:pPr>
        <w:pStyle w:val="Heading4"/>
        <w:rPr/>
      </w:pPr>
      <w:r w:rsidDel="00000000" w:rsidR="00000000" w:rsidRPr="00000000">
        <w:rPr>
          <w:rtl w:val="0"/>
        </w:rPr>
        <w:t xml:space="preserve">2.1.4 …</w:t>
      </w:r>
    </w:p>
    <w:p w:rsidR="00000000" w:rsidDel="00000000" w:rsidP="00000000" w:rsidRDefault="00000000" w:rsidRPr="00000000" w14:paraId="000000B1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3"/>
        <w:rPr/>
      </w:pPr>
      <w:bookmarkStart w:colFirst="0" w:colLast="0" w:name="_heading=h.tf9k17cj6arw" w:id="21"/>
      <w:bookmarkEnd w:id="21"/>
      <w:r w:rsidDel="00000000" w:rsidR="00000000" w:rsidRPr="00000000">
        <w:rPr>
          <w:rtl w:val="0"/>
        </w:rPr>
        <w:t xml:space="preserve">2.2 &lt;Feature/Function Name2&gt;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…</w:t>
      </w:r>
    </w:p>
    <w:p w:rsidR="00000000" w:rsidDel="00000000" w:rsidP="00000000" w:rsidRDefault="00000000" w:rsidRPr="00000000" w14:paraId="000000B4">
      <w:pPr>
        <w:pStyle w:val="Heading2"/>
        <w:rPr/>
      </w:pPr>
      <w:bookmarkStart w:colFirst="0" w:colLast="0" w:name="_heading=h.b7ynx3n0o98l" w:id="22"/>
      <w:bookmarkEnd w:id="22"/>
      <w:r w:rsidDel="00000000" w:rsidR="00000000" w:rsidRPr="00000000">
        <w:rPr>
          <w:rtl w:val="0"/>
        </w:rPr>
        <w:t xml:space="preserve">3. Class Specifications</w:t>
      </w:r>
    </w:p>
    <w:p w:rsidR="00000000" w:rsidDel="00000000" w:rsidP="00000000" w:rsidRDefault="00000000" w:rsidRPr="00000000" w14:paraId="000000B5">
      <w:pPr>
        <w:pStyle w:val="Heading3"/>
        <w:rPr/>
      </w:pPr>
      <w:bookmarkStart w:colFirst="0" w:colLast="0" w:name="_heading=h.hmsu1nfdtlh" w:id="23"/>
      <w:bookmarkEnd w:id="23"/>
      <w:r w:rsidDel="00000000" w:rsidR="00000000" w:rsidRPr="00000000">
        <w:rPr>
          <w:rtl w:val="0"/>
        </w:rPr>
        <w:t xml:space="preserve">3.1 package_name1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This section provides the detailed specifications for the classes in the package package_name1</w:t>
      </w:r>
    </w:p>
    <w:p w:rsidR="00000000" w:rsidDel="00000000" w:rsidP="00000000" w:rsidRDefault="00000000" w:rsidRPr="00000000" w14:paraId="000000B7">
      <w:pPr>
        <w:pStyle w:val="Heading4"/>
        <w:rPr/>
      </w:pPr>
      <w:r w:rsidDel="00000000" w:rsidR="00000000" w:rsidRPr="00000000">
        <w:rPr>
          <w:rtl w:val="0"/>
        </w:rPr>
        <w:t xml:space="preserve">3.1.1 ClassName1</w:t>
      </w:r>
    </w:p>
    <w:p w:rsidR="00000000" w:rsidDel="00000000" w:rsidP="00000000" w:rsidRDefault="00000000" w:rsidRPr="00000000" w14:paraId="000000B8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i w:val="1"/>
          <w:iCs w:val="1"/>
          <w:color w:val="0000ff"/>
          <w:rtl w:val="0"/>
        </w:rPr>
        <w:t xml:space="preserve">[Provide brief description of the class here]</w:t>
      </w:r>
    </w:p>
    <w:p w:rsidR="00000000" w:rsidDel="00000000" w:rsidP="00000000" w:rsidRDefault="00000000" w:rsidRPr="00000000" w14:paraId="000000B9">
      <w:pPr>
        <w:rPr>
          <w:i w:val="1"/>
          <w:iCs w:val="1"/>
          <w:color w:val="0000ff"/>
        </w:rPr>
      </w:pPr>
      <w:r w:rsidDel="00000000" w:rsidR="00000000" w:rsidRPr="00000000">
        <w:rPr>
          <w:i w:val="1"/>
          <w:iCs w:val="1"/>
          <w:color w:val="0000ff"/>
          <w:rtl w:val="0"/>
        </w:rPr>
        <w:t xml:space="preserve">[Provide the class attributes and operations using below table format</w:t>
      </w:r>
    </w:p>
    <w:tbl>
      <w:tblPr>
        <w:tblStyle w:val="Table4"/>
        <w:tblW w:w="850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52"/>
        <w:gridCol w:w="2000"/>
        <w:gridCol w:w="5953"/>
        <w:tblGridChange w:id="0">
          <w:tblGrid>
            <w:gridCol w:w="552"/>
            <w:gridCol w:w="2000"/>
            <w:gridCol w:w="5953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BA">
            <w:pPr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No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BB">
            <w:pPr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Name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BC">
            <w:pPr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gridSpan w:val="3"/>
            <w:shd w:fill="fdf1e9" w:val="clear"/>
            <w:vAlign w:val="center"/>
          </w:tcPr>
          <w:p w:rsidR="00000000" w:rsidDel="00000000" w:rsidP="00000000" w:rsidRDefault="00000000" w:rsidRPr="00000000" w14:paraId="000000BD">
            <w:pPr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000000"/>
                <w:rtl w:val="0"/>
              </w:rPr>
              <w:t xml:space="preserve">Attributes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spacing w:after="0" w:line="240" w:lineRule="auto"/>
              <w:jc w:val="center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C1">
            <w:pPr>
              <w:spacing w:after="0" w:line="240" w:lineRule="auto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&lt;attributeName1&gt;</w:t>
            </w:r>
          </w:p>
        </w:tc>
        <w:tc>
          <w:tcPr/>
          <w:p w:rsidR="00000000" w:rsidDel="00000000" w:rsidP="00000000" w:rsidRDefault="00000000" w:rsidRPr="00000000" w14:paraId="000000C2">
            <w:pPr>
              <w:spacing w:after="0" w:line="240" w:lineRule="auto"/>
              <w:rPr/>
            </w:pPr>
            <w:r w:rsidDel="00000000" w:rsidR="00000000" w:rsidRPr="00000000">
              <w:rPr>
                <w:u w:val="single"/>
                <w:rtl w:val="0"/>
              </w:rPr>
              <w:t xml:space="preserve">Visibility</w:t>
            </w:r>
            <w:r w:rsidDel="00000000" w:rsidR="00000000" w:rsidRPr="00000000">
              <w:rPr>
                <w:rtl w:val="0"/>
              </w:rPr>
              <w:t xml:space="preserve">: </w:t>
            </w: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&lt;attribute’s visibility: private, protected, default…&gt;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spacing w:after="0" w:line="240" w:lineRule="auto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  <w:t xml:space="preserve">: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&lt;data type of the attribute: int, String...&gt;</w:t>
            </w:r>
          </w:p>
          <w:p w:rsidR="00000000" w:rsidDel="00000000" w:rsidP="00000000" w:rsidRDefault="00000000" w:rsidRPr="00000000" w14:paraId="000000C4">
            <w:pPr>
              <w:spacing w:after="0" w:line="240" w:lineRule="auto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  <w:t xml:space="preserve">: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&lt;description or purpose of the attribute&gt;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5">
            <w:pPr>
              <w:spacing w:after="0" w:line="240" w:lineRule="auto"/>
              <w:jc w:val="center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C6">
            <w:pPr>
              <w:spacing w:after="0" w:line="240" w:lineRule="auto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&lt;attributeName2&gt;</w:t>
            </w:r>
          </w:p>
        </w:tc>
        <w:tc>
          <w:tcPr/>
          <w:p w:rsidR="00000000" w:rsidDel="00000000" w:rsidP="00000000" w:rsidRDefault="00000000" w:rsidRPr="00000000" w14:paraId="000000C7">
            <w:pPr>
              <w:spacing w:after="0" w:lin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…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8">
            <w:pPr>
              <w:spacing w:after="0" w:line="240" w:lineRule="auto"/>
              <w:jc w:val="center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..</w:t>
            </w:r>
          </w:p>
        </w:tc>
        <w:tc>
          <w:tcPr/>
          <w:p w:rsidR="00000000" w:rsidDel="00000000" w:rsidP="00000000" w:rsidRDefault="00000000" w:rsidRPr="00000000" w14:paraId="000000C9">
            <w:pPr>
              <w:spacing w:after="0" w:line="240" w:lineRule="auto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spacing w:after="0" w:lin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shd w:fill="fdf1e9" w:val="clear"/>
            <w:vAlign w:val="center"/>
          </w:tcPr>
          <w:p w:rsidR="00000000" w:rsidDel="00000000" w:rsidP="00000000" w:rsidRDefault="00000000" w:rsidRPr="00000000" w14:paraId="000000CB">
            <w:pPr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000000"/>
                <w:rtl w:val="0"/>
              </w:rPr>
              <w:t xml:space="preserve">Methods/Operations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E">
            <w:pPr>
              <w:spacing w:after="0" w:line="240" w:lineRule="auto"/>
              <w:jc w:val="center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CF">
            <w:pPr>
              <w:spacing w:after="0" w:line="240" w:lineRule="auto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&lt;methodName1&gt;</w:t>
            </w:r>
          </w:p>
        </w:tc>
        <w:tc>
          <w:tcPr/>
          <w:p w:rsidR="00000000" w:rsidDel="00000000" w:rsidP="00000000" w:rsidRDefault="00000000" w:rsidRPr="00000000" w14:paraId="000000D0">
            <w:pPr>
              <w:spacing w:after="0"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Visibility</w:t>
            </w:r>
            <w:r w:rsidDel="00000000" w:rsidR="00000000" w:rsidRPr="00000000">
              <w:rPr>
                <w:rtl w:val="0"/>
              </w:rPr>
              <w:t xml:space="preserve">: </w:t>
            </w: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&lt;operation’s visibility: private, protected, default…&gt;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after="0" w:line="240" w:lineRule="auto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Return</w:t>
            </w:r>
            <w:r w:rsidDel="00000000" w:rsidR="00000000" w:rsidRPr="00000000">
              <w:rPr>
                <w:rtl w:val="0"/>
              </w:rPr>
              <w:t xml:space="preserve">: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&lt;void or return type of the operation: int, String,..&gt;</w:t>
            </w:r>
          </w:p>
          <w:p w:rsidR="00000000" w:rsidDel="00000000" w:rsidP="00000000" w:rsidRDefault="00000000" w:rsidRPr="00000000" w14:paraId="000000D2">
            <w:pPr>
              <w:spacing w:after="0" w:line="240" w:lineRule="auto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  <w:t xml:space="preserve">: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&lt;description or purpose of the method&gt;</w:t>
            </w:r>
          </w:p>
          <w:p w:rsidR="00000000" w:rsidDel="00000000" w:rsidP="00000000" w:rsidRDefault="00000000" w:rsidRPr="00000000" w14:paraId="000000D3">
            <w:pPr>
              <w:spacing w:after="0" w:line="240" w:lineRule="auto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  <w:t xml:space="preserve">: </w:t>
            </w: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&lt;&lt;list out all the method parameters and provide details (name, data type, purpose/description) of each method parameter here</w:t>
            </w:r>
          </w:p>
          <w:p w:rsidR="00000000" w:rsidDel="00000000" w:rsidP="00000000" w:rsidRDefault="00000000" w:rsidRPr="00000000" w14:paraId="000000D4">
            <w:pPr>
              <w:spacing w:after="0" w:line="240" w:lineRule="auto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- paramName1:type1, purpose/description1</w:t>
            </w:r>
          </w:p>
          <w:p w:rsidR="00000000" w:rsidDel="00000000" w:rsidP="00000000" w:rsidRDefault="00000000" w:rsidRPr="00000000" w14:paraId="000000D5">
            <w:pPr>
              <w:spacing w:after="0" w:line="240" w:lineRule="auto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- paramName2:type2, purpose/description1</w:t>
            </w:r>
          </w:p>
          <w:p w:rsidR="00000000" w:rsidDel="00000000" w:rsidP="00000000" w:rsidRDefault="00000000" w:rsidRPr="00000000" w14:paraId="000000D6">
            <w:pPr>
              <w:spacing w:after="0" w:line="240" w:lineRule="auto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&gt;&gt;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7">
            <w:pPr>
              <w:spacing w:after="0" w:line="240" w:lineRule="auto"/>
              <w:jc w:val="center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D8">
            <w:pPr>
              <w:spacing w:after="0" w:line="240" w:lineRule="auto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&lt;methodName2&gt;</w:t>
            </w:r>
          </w:p>
        </w:tc>
        <w:tc>
          <w:tcPr/>
          <w:p w:rsidR="00000000" w:rsidDel="00000000" w:rsidP="00000000" w:rsidRDefault="00000000" w:rsidRPr="00000000" w14:paraId="000000D9">
            <w:pPr>
              <w:spacing w:after="0" w:line="240" w:lineRule="auto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…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A">
            <w:pPr>
              <w:spacing w:after="0" w:line="240" w:lineRule="auto"/>
              <w:jc w:val="center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..</w:t>
            </w:r>
          </w:p>
        </w:tc>
        <w:tc>
          <w:tcPr/>
          <w:p w:rsidR="00000000" w:rsidDel="00000000" w:rsidP="00000000" w:rsidRDefault="00000000" w:rsidRPr="00000000" w14:paraId="000000DB">
            <w:pPr>
              <w:spacing w:after="0" w:line="240" w:lineRule="auto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spacing w:after="0" w:lin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D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i w:val="1"/>
          <w:iCs w:val="1"/>
          <w:color w:val="0000ff"/>
          <w:rtl w:val="0"/>
        </w:rPr>
        <w:t xml:space="preserve">]</w:t>
      </w:r>
    </w:p>
    <w:p w:rsidR="00000000" w:rsidDel="00000000" w:rsidP="00000000" w:rsidRDefault="00000000" w:rsidRPr="00000000" w14:paraId="000000DE">
      <w:pPr>
        <w:pStyle w:val="Heading4"/>
        <w:rPr/>
      </w:pPr>
      <w:r w:rsidDel="00000000" w:rsidR="00000000" w:rsidRPr="00000000">
        <w:rPr>
          <w:rtl w:val="0"/>
        </w:rPr>
        <w:t xml:space="preserve">3.1.1 ClassName2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…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2"/>
        <w:rPr/>
      </w:pPr>
      <w:bookmarkStart w:colFirst="0" w:colLast="0" w:name="_heading=h.bpmwdaz4w5k" w:id="24"/>
      <w:bookmarkEnd w:id="24"/>
      <w:r w:rsidDel="00000000" w:rsidR="00000000" w:rsidRPr="00000000">
        <w:rPr>
          <w:rtl w:val="0"/>
        </w:rPr>
        <w:t xml:space="preserve">4. Other Design Specifications</w:t>
      </w:r>
    </w:p>
    <w:p w:rsidR="00000000" w:rsidDel="00000000" w:rsidP="00000000" w:rsidRDefault="00000000" w:rsidRPr="00000000" w14:paraId="000000E2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i w:val="1"/>
          <w:iCs w:val="1"/>
          <w:color w:val="0000ff"/>
          <w:rtl w:val="0"/>
        </w:rPr>
        <w:t xml:space="preserve">[Provide any other design specifications here: data design, system integrations, algorithms, etc.]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…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sectPr>
      <w:headerReference w:type="default" r:id="rId14"/>
      <w:footerReference w:type="default" r:id="rId15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ahoma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b w:val="1"/>
      <w:bCs w:val="1"/>
      <w:color w:val="c00000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b w:val="1"/>
      <w:bCs w:val="1"/>
      <w:i w:val="1"/>
      <w:i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b w:val="1"/>
      <w:bCs w:val="1"/>
      <w:color w:val="2e75b5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80.0" w:type="dxa"/>
        <w:bottom w:w="0.0" w:type="dxa"/>
        <w:right w:w="8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2" Type="http://schemas.openxmlformats.org/officeDocument/2006/relationships/image" Target="media/image3.png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5.png"/><Relationship Id="rId13" Type="http://schemas.openxmlformats.org/officeDocument/2006/relationships/image" Target="media/image7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ZjokTd3Bh7uA9RjBebLFxpdB9A==">CgMxLjAyDmguajY5bXZoZW14NmEwMgxoLjExZXpoaWw5em8yDmguN3pkMW10aW9jdjFwMg5oLm1jaTl3aG0ydG95NDIOaC5udHd0NDkxcmQwMnAyDmgubGtxcnVkM3hxMzdoMg5oLjF3YW1icW45dzNwYTIOaC5nYWlwMmhuMzcxcDkyDmgucjdzaG4zczlsZzBqMg5oLmZ3ODEyMXd1MWRkejIOaC5nMXl4M3dzMDZpZ3gyDmgubmM1Y3JncnUxcHF0Mg5oLnRhYXo0dGtnM2pvNDIOaC42MXFoa3h6NjZ4dGgyDmguOXZpZjhhOWprYmxmMg5oLjFmMzlzY2dhMGZkdjIOaC56Nnpwbnh6ZzE4NWkyDGguMzc2ZTZoOWllMDIOaC5iaWNhcGdpeTBhZTYyDWguNTIxaWV1eHNoOHYyDmguODZqaTJjNW44aDRnMg5oLnRmOWsxN2NqNmFydzIOaC5iN3lueDNuMG85OGwyDWguaG1zdTFuZmR0bGgyDWguYnBtd2RhejR3NWs4AHIhMUNkUXR1cUdfdVhqMXAzOXZrUS0yU0VPR2IxemZjV2V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