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5"/>
      </w:pPr>
      <w:r>
        <w:rPr>
          <w:rFonts w:ascii="Arial" w:hAnsi="Arial" w:cs="Arial"/>
          <w:sz w:val="42"/>
          <w:sz-cs w:val="42"/>
          <w:b/>
          <w:spacing w:val="0"/>
          <w:color w:val="0D121F"/>
        </w:rPr>
        <w:t xml:space="preserve">Manual de Cláusulas Padrão e Redlines Aprovadas pelo Jurídico Sênior</w:t>
      </w:r>
    </w:p>
    <w:p>
      <w:pPr>
        <w:spacing w:after="373"/>
      </w:pPr>
      <w:r>
        <w:rPr>
          <w:rFonts w:ascii="Arial" w:hAnsi="Arial" w:cs="Arial"/>
          <w:sz w:val="29"/>
          <w:sz-cs w:val="29"/>
          <w:b/>
          <w:spacing w:val="0"/>
          <w:color w:val="331DBE"/>
        </w:rPr>
        <w:t xml:space="preserve">--- [Página 1] ---</w:t>
      </w:r>
    </w:p>
    <w:p>
      <w:pPr>
        <w:spacing w:after="287"/>
      </w:pPr>
      <w:r>
        <w:rPr>
          <w:rFonts w:ascii="Arial" w:hAnsi="Arial" w:cs="Arial"/>
          <w:sz w:val="34"/>
          <w:sz-cs w:val="34"/>
          <w:b/>
          <w:spacing w:val="0"/>
          <w:color w:val="17123A"/>
        </w:rPr>
        <w:t xml:space="preserve">[REDLINE-CAP-01] Cláusula Substitutiva de Limitação de Responsabilidade (Liability Cap)</w:t>
      </w:r>
    </w:p>
    <w:p>
      <w:pPr>
        <w:spacing w:after="293"/>
      </w:pPr>
      <w:r>
        <w:rPr>
          <w:rFonts w:ascii="Arial" w:hAnsi="Arial" w:cs="Arial"/>
          <w:sz w:val="29"/>
          <w:sz-cs w:val="29"/>
          <w:spacing w:val="0"/>
          <w:color w:val="171E2D"/>
        </w:rPr>
        <w:t xml:space="preserve">Quando aplicar: Sempre que a minuta do fornecedor contiver indenização unilateral, ausência de teto patrimonial ou inclusão de lucros cessantes contra a Contratante.</w:t>
      </w:r>
    </w:p>
    <w:p>
      <w:pPr>
        <w:spacing w:after="293"/>
      </w:pPr>
      <w:r>
        <w:rPr>
          <w:rFonts w:ascii="Arial" w:hAnsi="Arial" w:cs="Arial"/>
          <w:sz w:val="29"/>
          <w:sz-cs w:val="29"/>
          <w:spacing w:val="0"/>
          <w:color w:val="171E2D"/>
        </w:rPr>
        <w:t xml:space="preserve">Minuta Padrão Aprovada:</w:t>
      </w:r>
    </w:p>
    <w:p>
      <w:pPr>
        <w:spacing w:after="293"/>
      </w:pPr>
      <w:r>
        <w:rPr>
          <w:rFonts w:ascii="Arial" w:hAnsi="Arial" w:cs="Arial"/>
          <w:sz w:val="29"/>
          <w:sz-cs w:val="29"/>
          <w:spacing w:val="0"/>
          <w:color w:val="171E2D"/>
        </w:rPr>
        <w:t xml:space="preserve">&gt; "A responsabilidade total acumulada de qualquer das Partes por quaisquer perdas, danos ou indenizações decorrentes deste Contrato ficará estritamente limitada ao montante efetivamente pago pela CONTRATANTE à CONTRATADA nos 12 (doze) meses imediatamente anteriores ao fato gerador, ficando expressamente excluídos, para ambas as Partes, quaisquer lucros cessantes, danos indiretos, emergentes ou punitivos."</w:t>
      </w:r>
    </w:p>
    <w:p>
      <w:pPr>
        <w:spacing w:after="287"/>
      </w:pPr>
      <w:r>
        <w:rPr>
          <w:rFonts w:ascii="Arial" w:hAnsi="Arial" w:cs="Arial"/>
          <w:sz w:val="34"/>
          <w:sz-cs w:val="34"/>
          <w:b/>
          <w:spacing w:val="0"/>
          <w:color w:val="17123A"/>
        </w:rPr>
        <w:t xml:space="preserve">[REDLINE-FORO-02] Cláusula Substitutiva de Foro e Legislação Aplicável</w:t>
      </w:r>
    </w:p>
    <w:p>
      <w:pPr>
        <w:spacing w:after="293"/>
      </w:pPr>
      <w:r>
        <w:rPr>
          <w:rFonts w:ascii="Arial" w:hAnsi="Arial" w:cs="Arial"/>
          <w:sz w:val="29"/>
          <w:sz-cs w:val="29"/>
          <w:spacing w:val="0"/>
          <w:color w:val="171E2D"/>
        </w:rPr>
        <w:t xml:space="preserve">Quando aplicar: Sempre que houver eleição de foro estrangeiro (ex: Delaware, Nova York, Londres) ou câmara arbitral internacional onerosa em contratos operados no Brasil.</w:t>
      </w:r>
    </w:p>
    <w:p>
      <w:pPr>
        <w:spacing w:after="293"/>
      </w:pPr>
      <w:r>
        <w:rPr>
          <w:rFonts w:ascii="Arial" w:hAnsi="Arial" w:cs="Arial"/>
          <w:sz w:val="29"/>
          <w:sz-cs w:val="29"/>
          <w:spacing w:val="0"/>
          <w:color w:val="171E2D"/>
        </w:rPr>
        <w:t xml:space="preserve">Minuta Padrão Aprovada:</w:t>
      </w:r>
    </w:p>
    <w:p>
      <w:pPr>
        <w:spacing w:after="293"/>
      </w:pPr>
      <w:r>
        <w:rPr>
          <w:rFonts w:ascii="Arial" w:hAnsi="Arial" w:cs="Arial"/>
          <w:sz w:val="29"/>
          <w:sz-cs w:val="29"/>
          <w:spacing w:val="0"/>
          <w:color w:val="171E2D"/>
        </w:rPr>
        <w:t xml:space="preserve">&gt; "O presente Instrumento será regido e interpretado exclusivamente em conformidade com as leis da República Federativa do Brasil. As Partes elegem o Foro Central da Comarca da Capital do Estado de São Paulo/SP como o único competente para dirimir quaisquer dúvidas ou litígios oriundos deste Contrato, com renúncia expressa a qualquer outro, por mais privilegiado que seja."</w:t>
      </w:r>
    </w:p>
    <w:p>
      <w:pPr>
        <w:spacing w:after="373"/>
      </w:pPr>
      <w:r>
        <w:rPr>
          <w:rFonts w:ascii="Arial" w:hAnsi="Arial" w:cs="Arial"/>
          <w:sz w:val="29"/>
          <w:sz-cs w:val="29"/>
          <w:b/>
          <w:spacing w:val="0"/>
          <w:color w:val="331DBE"/>
        </w:rPr>
        <w:t xml:space="preserve">--- [Página 2] ---</w:t>
      </w:r>
    </w:p>
    <w:p>
      <w:pPr>
        <w:spacing w:after="287"/>
      </w:pPr>
      <w:r>
        <w:rPr>
          <w:rFonts w:ascii="Arial" w:hAnsi="Arial" w:cs="Arial"/>
          <w:sz w:val="34"/>
          <w:sz-cs w:val="34"/>
          <w:b/>
          <w:spacing w:val="0"/>
          <w:color w:val="17123A"/>
        </w:rPr>
        <w:t xml:space="preserve">[REDLINE-LGPD-03] Cláusula Substitutiva de Proteção de Dados e Transferência Internacional</w:t>
      </w:r>
    </w:p>
    <w:p>
      <w:pPr>
        <w:spacing w:after="293"/>
      </w:pPr>
      <w:r>
        <w:rPr>
          <w:rFonts w:ascii="Arial" w:hAnsi="Arial" w:cs="Arial"/>
          <w:sz w:val="29"/>
          <w:sz-cs w:val="29"/>
          <w:spacing w:val="0"/>
          <w:color w:val="171E2D"/>
        </w:rPr>
        <w:t xml:space="preserve">Quando aplicar: Quando o fornecedor previr transferência internacional livre ou prazo indefinido ("quando oportuno") para notificação de vazamento de dados.</w:t>
      </w:r>
    </w:p>
    <w:p>
      <w:pPr>
        <w:spacing w:after="293"/>
      </w:pPr>
      <w:r>
        <w:rPr>
          <w:rFonts w:ascii="Arial" w:hAnsi="Arial" w:cs="Arial"/>
          <w:sz w:val="29"/>
          <w:sz-cs w:val="29"/>
          <w:spacing w:val="0"/>
          <w:color w:val="171E2D"/>
        </w:rPr>
        <w:t xml:space="preserve">Minuta Padrão Aprovada:</w:t>
      </w:r>
    </w:p>
    <w:p>
      <w:pPr>
        <w:spacing w:after="293"/>
      </w:pPr>
      <w:r>
        <w:rPr>
          <w:rFonts w:ascii="Arial" w:hAnsi="Arial" w:cs="Arial"/>
          <w:sz w:val="29"/>
          <w:sz-cs w:val="29"/>
          <w:spacing w:val="0"/>
          <w:color w:val="171E2D"/>
        </w:rPr>
        <w:t xml:space="preserve">&gt; "A CONTRATADA obriga-se a tratar os dados pessoais estritamente em servidores localizados em território nacional ou em países com grau de proteção adequado reconhecido pela ANPD, mediante assinatura prévia do Anexo de Proteção de Dados (DPA). Qualquer incidente de segurança deverá ser notificado à CONTRATANTE em até 24 (vinte e quatro) horas corridas, respondendo a CONTRATADA integralmente por sanções administrativas ou danos a titulares causados por sua falha."</w:t>
      </w:r>
    </w:p>
    <w:p>
      <w:pPr>
        <w:spacing w:after="287"/>
      </w:pPr>
      <w:r>
        <w:rPr>
          <w:rFonts w:ascii="Arial" w:hAnsi="Arial" w:cs="Arial"/>
          <w:sz w:val="34"/>
          <w:sz-cs w:val="34"/>
          <w:b/>
          <w:spacing w:val="0"/>
          <w:color w:val="17123A"/>
        </w:rPr>
        <w:t xml:space="preserve">[REDLINE-SLA-04] Cláusula Substitutiva de SLA, Créditos e Multa Rescisória</w:t>
      </w:r>
    </w:p>
    <w:p>
      <w:pPr>
        <w:spacing w:after="293"/>
      </w:pPr>
      <w:r>
        <w:rPr>
          <w:rFonts w:ascii="Arial" w:hAnsi="Arial" w:cs="Arial"/>
          <w:sz w:val="29"/>
          <w:sz-cs w:val="29"/>
          <w:spacing w:val="0"/>
          <w:color w:val="171E2D"/>
        </w:rPr>
        <w:t xml:space="preserve">Quando aplicar: Quando o SLA for inferior a 99,5%, sem créditos de serviço, ou com multa rescisória superior a 10%.</w:t>
      </w:r>
    </w:p>
    <w:p>
      <w:pPr>
        <w:spacing w:after="293"/>
      </w:pPr>
      <w:r>
        <w:rPr>
          <w:rFonts w:ascii="Arial" w:hAnsi="Arial" w:cs="Arial"/>
          <w:sz w:val="29"/>
          <w:sz-cs w:val="29"/>
          <w:spacing w:val="0"/>
          <w:color w:val="171E2D"/>
        </w:rPr>
        <w:t xml:space="preserve">Minuta Padrão Aprovada:</w:t>
      </w:r>
    </w:p>
    <w:p>
      <w:pPr>
        <w:spacing w:after="293"/>
      </w:pPr>
      <w:r>
        <w:rPr>
          <w:rFonts w:ascii="Arial" w:hAnsi="Arial" w:cs="Arial"/>
          <w:sz w:val="29"/>
          <w:sz-cs w:val="29"/>
          <w:spacing w:val="0"/>
          <w:color w:val="171E2D"/>
        </w:rPr>
        <w:t xml:space="preserve">&gt; "A CONTRATADA garante disponibilidade mensal mínima de 99,5% (noventa e nove vírgula cinco por cento), assegurando à CONTRATANTE desconto automático (Service Credit) de 5% sobre a fatura mensal para cada 0,5% de indisponibilidade adicional. A rescisão imotivada por qualquer das Partes mediante aviso prévio de 30 (trinta) dias ensejará multa compensatória máxima limitada a 10% (dez por cento) do saldo contratual remanescente do primeiro ciclo anual."</w:t>
      </w:r>
    </w:p>
    <w:p>
      <w:pPr>
        <w:spacing w:after="373"/>
      </w:pPr>
      <w:r>
        <w:rPr>
          <w:rFonts w:ascii="Arial" w:hAnsi="Arial" w:cs="Arial"/>
          <w:sz w:val="29"/>
          <w:sz-cs w:val="29"/>
          <w:b/>
          <w:spacing w:val="0"/>
          <w:color w:val="331DBE"/>
        </w:rPr>
        <w:t xml:space="preserve">--- [Página 3] ---</w:t>
      </w:r>
    </w:p>
    <w:p>
      <w:pPr>
        <w:spacing w:after="287"/>
      </w:pPr>
      <w:r>
        <w:rPr>
          <w:rFonts w:ascii="Arial" w:hAnsi="Arial" w:cs="Arial"/>
          <w:sz w:val="34"/>
          <w:sz-cs w:val="34"/>
          <w:b/>
          <w:spacing w:val="0"/>
          <w:color w:val="17123A"/>
        </w:rPr>
        <w:t xml:space="preserve">[REDLINE-IA-05] Cláusula Substitutiva de Propriedade Intelectual, Zero-Training e Indenização de IA</w:t>
      </w:r>
    </w:p>
    <w:p>
      <w:pPr>
        <w:spacing w:after="293"/>
      </w:pPr>
      <w:r>
        <w:rPr>
          <w:rFonts w:ascii="Arial" w:hAnsi="Arial" w:cs="Arial"/>
          <w:sz w:val="29"/>
          <w:sz-cs w:val="29"/>
          <w:spacing w:val="0"/>
          <w:color w:val="171E2D"/>
        </w:rPr>
        <w:t xml:space="preserve">Quando aplicar: Em contratos de IA Generativa, LLMs ou GPU Cloud quando o fornecedor reservar direito de usar inputs/outputs para treinar modelos ou eximir-se de violação de direitos autorais.</w:t>
      </w:r>
    </w:p>
    <w:p>
      <w:pPr>
        <w:spacing w:after="293"/>
      </w:pPr>
      <w:r>
        <w:rPr>
          <w:rFonts w:ascii="Arial" w:hAnsi="Arial" w:cs="Arial"/>
          <w:sz w:val="29"/>
          <w:sz-cs w:val="29"/>
          <w:spacing w:val="0"/>
          <w:color w:val="171E2D"/>
        </w:rPr>
        <w:t xml:space="preserve">Minuta Padrão Aprovada:</w:t>
      </w:r>
    </w:p>
    <w:p>
      <w:pPr>
        <w:spacing w:after="293"/>
      </w:pPr>
      <w:r>
        <w:rPr>
          <w:rFonts w:ascii="Arial" w:hAnsi="Arial" w:cs="Arial"/>
          <w:sz w:val="29"/>
          <w:sz-cs w:val="29"/>
          <w:spacing w:val="0"/>
          <w:color w:val="171E2D"/>
        </w:rPr>
        <w:t xml:space="preserve">&gt; "Todos os prompts, bases de conhecimento, documentos, códigos-fonte (Inputs) e resultados gerados (Outputs) constituem propriedade intelectual exclusiva e segredo comercial da CONTRATANTE. Fica expressamente vedado à CONTRATADA reter, inspecionar ou utilizar quaisquer dados da CONTRATANTE para treinamento, fine-tuning ou aperfeiçoamento de modelos fundacionais próprios ou de terceiros (Zero Data Retention). A CONTRATADA defenderá e indenizará a CONTRATANTE contra quaisquer reclamações de terceiros por violação de propriedade intelectual decorrentes dos modelos fornecidos."</w:t>
      </w:r>
    </w:p>
    <w:p>
      <w:pPr>
        <w:spacing w:after="287"/>
      </w:pPr>
      <w:r>
        <w:rPr>
          <w:rFonts w:ascii="Arial" w:hAnsi="Arial" w:cs="Arial"/>
          <w:sz w:val="34"/>
          <w:sz-cs w:val="34"/>
          <w:b/>
          <w:spacing w:val="0"/>
          <w:color w:val="17123A"/>
        </w:rPr>
        <w:t xml:space="preserve">[REDLINE-ERP-06] Cláusula Substitutiva de Portabilidade Gratuita (Anti Lock-In) e Índice de Reajuste IPCA</w:t>
      </w:r>
    </w:p>
    <w:p>
      <w:pPr>
        <w:spacing w:after="293"/>
      </w:pPr>
      <w:r>
        <w:rPr>
          <w:rFonts w:ascii="Arial" w:hAnsi="Arial" w:cs="Arial"/>
          <w:sz w:val="29"/>
          <w:sz-cs w:val="29"/>
          <w:spacing w:val="0"/>
          <w:color w:val="171E2D"/>
        </w:rPr>
        <w:t xml:space="preserve">Quando aplicar: Quando houver cobrança de taxa de extração de banco de dados na saída ou índice de reajuste superior ao IPCA (ex: IGPM + spread).</w:t>
      </w:r>
    </w:p>
    <w:p>
      <w:pPr>
        <w:spacing w:after="293"/>
      </w:pPr>
      <w:r>
        <w:rPr>
          <w:rFonts w:ascii="Arial" w:hAnsi="Arial" w:cs="Arial"/>
          <w:sz w:val="29"/>
          <w:sz-cs w:val="29"/>
          <w:spacing w:val="0"/>
          <w:color w:val="171E2D"/>
        </w:rPr>
        <w:t xml:space="preserve">Minuta Padrão Aprovada:</w:t>
      </w:r>
    </w:p>
    <w:p>
      <w:pPr>
        <w:spacing w:after="293"/>
      </w:pPr>
      <w:r>
        <w:rPr>
          <w:rFonts w:ascii="Arial" w:hAnsi="Arial" w:cs="Arial"/>
          <w:sz w:val="29"/>
          <w:sz-cs w:val="29"/>
          <w:spacing w:val="0"/>
          <w:color w:val="171E2D"/>
        </w:rPr>
        <w:t xml:space="preserve">&gt; "O reajuste anual dos valores contratuais ocorrerá exclusivamente pela variação positiva do IPCA/IBGE acumulada nos 12 meses anteriores, vedada a aplicação de qualquer spread adicional. Ao término ou rescisão deste Contrato por qualquer motivo, a CONTRATADA disponibilizará, sem qualquer custo adicional, a exportação integral e estruturada de todos os bancos de dados fiscais, contábeis e históricos (em formatos SQL, CSV e XML/SPED) em até 15 (quinze) dias corridos, garantindo transição assistida mínima de 30 dias."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CocoaOOXMLWriter/2775.2</generator>
</meta>
</file>