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85"/>
      </w:pPr>
      <w:r>
        <w:rPr>
          <w:rFonts w:ascii="Arial" w:hAnsi="Arial" w:cs="Arial"/>
          <w:sz w:val="42"/>
          <w:sz-cs w:val="42"/>
          <w:b/>
          <w:spacing w:val="0"/>
          <w:color w:val="0D121F"/>
        </w:rPr>
        <w:t xml:space="preserve">Playbook Corporativo de Compliance e Governança Contratual (2026)</w:t>
      </w:r>
    </w:p>
    <w:p>
      <w:pPr>
        <w:spacing w:after="373"/>
      </w:pPr>
      <w:r>
        <w:rPr>
          <w:rFonts w:ascii="Arial" w:hAnsi="Arial" w:cs="Arial"/>
          <w:sz w:val="29"/>
          <w:sz-cs w:val="29"/>
          <w:b/>
          <w:spacing w:val="0"/>
          <w:color w:val="331DBE"/>
        </w:rPr>
        <w:t xml:space="preserve">--- [Página 1] ---</w:t>
      </w:r>
    </w:p>
    <w:p>
      <w:pPr>
        <w:spacing w:after="287"/>
      </w:pPr>
      <w:r>
        <w:rPr>
          <w:rFonts w:ascii="Arial" w:hAnsi="Arial" w:cs="Arial"/>
          <w:sz w:val="34"/>
          <w:sz-cs w:val="34"/>
          <w:b/>
          <w:spacing w:val="0"/>
          <w:color w:val="17123A"/>
        </w:rPr>
        <w:t xml:space="preserve">[POL-LGPD-01] Proteção de Dados Pessoais e Privacidade (LGPD)</w:t>
      </w:r>
    </w:p>
    <w:p>
      <w:pPr>
        <w:spacing w:after="293"/>
      </w:pPr>
      <w:r>
        <w:rPr>
          <w:rFonts w:ascii="Arial" w:hAnsi="Arial" w:cs="Arial"/>
          <w:sz w:val="29"/>
          <w:sz-cs w:val="29"/>
          <w:spacing w:val="0"/>
          <w:color w:val="171E2D"/>
        </w:rPr>
        <w:t xml:space="preserve">- Regra Mandatória: Todo contrato que envolva dados de colaboradores, clientes ou parceiros exige assinatura de Anexo DPA (Data Protection Agreement) compatível com a Lei nº 13.709/2018 (LGPD).</w:t>
      </w:r>
    </w:p>
    <w:p>
      <w:pPr>
        <w:spacing w:after="293"/>
      </w:pPr>
      <w:r>
        <w:rPr>
          <w:rFonts w:ascii="Arial" w:hAnsi="Arial" w:cs="Arial"/>
          <w:sz w:val="29"/>
          <w:sz-cs w:val="29"/>
          <w:spacing w:val="0"/>
          <w:color w:val="171E2D"/>
        </w:rPr>
        <w:t xml:space="preserve">- Transferência Internacional: É terminantemente vedada a transferência, armazenamento ou subcontratação de processamento de dados pessoais fora do território brasileiro sem cláusulas-padrão aprovadas pela ANPD e consentimento prévio e expresso da Contratante.</w:t>
      </w:r>
    </w:p>
    <w:p>
      <w:pPr>
        <w:spacing w:after="293"/>
      </w:pPr>
      <w:r>
        <w:rPr>
          <w:rFonts w:ascii="Arial" w:hAnsi="Arial" w:cs="Arial"/>
          <w:sz w:val="29"/>
          <w:sz-cs w:val="29"/>
          <w:spacing w:val="0"/>
          <w:color w:val="171E2D"/>
        </w:rPr>
        <w:t xml:space="preserve">- Notificação de Incidentes: Qualquer suspeita ou confirmação de incidente de segurança/vazamento deve ser comunicada formalmente ao DPO da Contratante no prazo máximo de 48 horas corridas (idealmente 24h), com responsabilidade solidária da Contratada por multas da ANPD decorrentes de falha técnica.</w:t>
      </w:r>
    </w:p>
    <w:p>
      <w:pPr>
        <w:spacing w:after="287"/>
      </w:pPr>
      <w:r>
        <w:rPr>
          <w:rFonts w:ascii="Arial" w:hAnsi="Arial" w:cs="Arial"/>
          <w:sz w:val="34"/>
          <w:sz-cs w:val="34"/>
          <w:b/>
          <w:spacing w:val="0"/>
          <w:color w:val="17123A"/>
        </w:rPr>
        <w:t xml:space="preserve">[POL-SLA-02] Níveis de Serviço (SLA) e Disponibilidade Cloud/SaaS</w:t>
      </w:r>
    </w:p>
    <w:p>
      <w:pPr>
        <w:spacing w:after="293"/>
      </w:pPr>
      <w:r>
        <w:rPr>
          <w:rFonts w:ascii="Arial" w:hAnsi="Arial" w:cs="Arial"/>
          <w:sz w:val="29"/>
          <w:sz-cs w:val="29"/>
          <w:spacing w:val="0"/>
          <w:color w:val="171E2D"/>
        </w:rPr>
        <w:t xml:space="preserve">- Disponibilidade Mínima: Sistemas críticos de operação (ERP, Logística, Checkout, Infraestrutura) devem garantir uptime mensal mínimo de 99,5%.</w:t>
      </w:r>
    </w:p>
    <w:p>
      <w:pPr>
        <w:spacing w:after="293"/>
      </w:pPr>
      <w:r>
        <w:rPr>
          <w:rFonts w:ascii="Arial" w:hAnsi="Arial" w:cs="Arial"/>
          <w:sz w:val="29"/>
          <w:sz-cs w:val="29"/>
          <w:spacing w:val="0"/>
          <w:color w:val="171E2D"/>
        </w:rPr>
        <w:t xml:space="preserve">- Créditos de Serviço (Service Credits): É obrigatória a previsão de desconto/crédito automático na fatura subsequente (mínimo de 5% por fração de 0,5% de queda no SLA, até 30% da fatura mensal). Cláusulas que isentem créditos sob justificativa de "preço competitivo" são reprovadas.</w:t>
      </w:r>
    </w:p>
    <w:p>
      <w:pPr>
        <w:spacing w:after="293"/>
      </w:pPr>
      <w:r>
        <w:rPr>
          <w:rFonts w:ascii="Arial" w:hAnsi="Arial" w:cs="Arial"/>
          <w:sz w:val="29"/>
          <w:sz-cs w:val="29"/>
          <w:spacing w:val="0"/>
          <w:color w:val="171E2D"/>
        </w:rPr>
        <w:t xml:space="preserve">- Rescisão por Falha de SLA: Caso o SLA fique abaixo de 98,5% por 2 meses consecutivos ou 3 alternados, nasce direito de rescisão imediata por justa causa sem ônus para a Contratante.</w:t>
      </w:r>
    </w:p>
    <w:p>
      <w:pPr>
        <w:spacing w:after="373"/>
      </w:pPr>
      <w:r>
        <w:rPr>
          <w:rFonts w:ascii="Arial" w:hAnsi="Arial" w:cs="Arial"/>
          <w:sz w:val="29"/>
          <w:sz-cs w:val="29"/>
          <w:b/>
          <w:spacing w:val="0"/>
          <w:color w:val="331DBE"/>
        </w:rPr>
        <w:t xml:space="preserve">--- [Página 2] ---</w:t>
      </w:r>
    </w:p>
    <w:p>
      <w:pPr>
        <w:spacing w:after="287"/>
      </w:pPr>
      <w:r>
        <w:rPr>
          <w:rFonts w:ascii="Arial" w:hAnsi="Arial" w:cs="Arial"/>
          <w:sz w:val="34"/>
          <w:sz-cs w:val="34"/>
          <w:b/>
          <w:spacing w:val="0"/>
          <w:color w:val="17123A"/>
        </w:rPr>
        <w:t xml:space="preserve">[POL-FIN-03] Penalidades, Multas e Rescisão Antecipada</w:t>
      </w:r>
    </w:p>
    <w:p>
      <w:pPr>
        <w:spacing w:after="293"/>
      </w:pPr>
      <w:r>
        <w:rPr>
          <w:rFonts w:ascii="Arial" w:hAnsi="Arial" w:cs="Arial"/>
          <w:sz w:val="29"/>
          <w:sz-cs w:val="29"/>
          <w:spacing w:val="0"/>
          <w:color w:val="171E2D"/>
        </w:rPr>
        <w:t xml:space="preserve">- Teto de Multa Rescisória: A multa por denúncia imotivada antecipada não pode ultrapassar 10% (dez por cento) do saldo devedor remanescente (ou 2 mensalidades, o que for menor). Multas de 30% a 50% são consideradas leoninas e reprovadas automaticamente.</w:t>
      </w:r>
    </w:p>
    <w:p>
      <w:pPr>
        <w:spacing w:after="293"/>
      </w:pPr>
      <w:r>
        <w:rPr>
          <w:rFonts w:ascii="Arial" w:hAnsi="Arial" w:cs="Arial"/>
          <w:sz w:val="29"/>
          <w:sz-cs w:val="29"/>
          <w:spacing w:val="0"/>
          <w:color w:val="171E2D"/>
        </w:rPr>
        <w:t xml:space="preserve">- Aviso Prévio e Renovação: Prazo de aviso prévio entre 30 e 60 dias. É vedada renovação tácita automática por períodos de 36 meses sem janela de oposição prévia.</w:t>
      </w:r>
    </w:p>
    <w:p>
      <w:pPr>
        <w:spacing w:after="293"/>
      </w:pPr>
      <w:r>
        <w:rPr>
          <w:rFonts w:ascii="Arial" w:hAnsi="Arial" w:cs="Arial"/>
          <w:sz w:val="29"/>
          <w:sz-cs w:val="29"/>
          <w:spacing w:val="0"/>
          <w:color w:val="171E2D"/>
        </w:rPr>
        <w:t xml:space="preserve">- Multa Moratória: Limitada ao teto de 2% sobre a parcela em atraso e juros de 1% ao mês.</w:t>
      </w:r>
    </w:p>
    <w:p>
      <w:pPr>
        <w:spacing w:after="287"/>
      </w:pPr>
      <w:r>
        <w:rPr>
          <w:rFonts w:ascii="Arial" w:hAnsi="Arial" w:cs="Arial"/>
          <w:sz w:val="34"/>
          <w:sz-cs w:val="34"/>
          <w:b/>
          <w:spacing w:val="0"/>
          <w:color w:val="17123A"/>
        </w:rPr>
        <w:t xml:space="preserve">[POL-JUR-04] Limitação de Responsabilidade (Liability Cap) e Jurisdição</w:t>
      </w:r>
    </w:p>
    <w:p>
      <w:pPr>
        <w:spacing w:after="293"/>
      </w:pPr>
      <w:r>
        <w:rPr>
          <w:rFonts w:ascii="Arial" w:hAnsi="Arial" w:cs="Arial"/>
          <w:sz w:val="29"/>
          <w:sz-cs w:val="29"/>
          <w:spacing w:val="0"/>
          <w:color w:val="171E2D"/>
        </w:rPr>
        <w:t xml:space="preserve">- Vedação de Responsabilidade Ilimitada: Tolerância ZERO para cláusulas em que a Contratante assuma indenização ilimitada (unlimited liability) ou renuncie a teto patrimonial em favor da Contratada.</w:t>
      </w:r>
    </w:p>
    <w:p>
      <w:pPr>
        <w:spacing w:after="293"/>
      </w:pPr>
      <w:r>
        <w:rPr>
          <w:rFonts w:ascii="Arial" w:hAnsi="Arial" w:cs="Arial"/>
          <w:sz w:val="29"/>
          <w:sz-cs w:val="29"/>
          <w:spacing w:val="0"/>
          <w:color w:val="171E2D"/>
        </w:rPr>
        <w:t xml:space="preserve">- Teto Patrimonial Padrão (Cap): A responsabilidade acumulada das partes deve ser limitada ao valor total pago nos últimos 12 (doze) meses anteriores ao evento danoso, excluindo-se expressamente lucros cessantes e danos indiretos para ambas as partes.</w:t>
      </w:r>
    </w:p>
    <w:p>
      <w:pPr>
        <w:spacing w:after="293"/>
      </w:pPr>
      <w:r>
        <w:rPr>
          <w:rFonts w:ascii="Arial" w:hAnsi="Arial" w:cs="Arial"/>
          <w:sz w:val="29"/>
          <w:sz-cs w:val="29"/>
          <w:spacing w:val="0"/>
          <w:color w:val="171E2D"/>
        </w:rPr>
        <w:t xml:space="preserve">- Foro e Legislação: Contratos executados no Brasil devem ser regidos pelas leis brasileiras, com eleição do Foro da Comarca de São Paulo/SP. Arbitragem internacional (ex: AAA em Nova York / Leis de Delaware) é proibida para contratos com valor anual inferior a R$ 5.000.000,00 devido ao custo proibitivo.</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CocoaOOXMLWriter/2775.2</generator>
</meta>
</file>