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5"/>
      </w:pPr>
      <w:r>
        <w:rPr>
          <w:rFonts w:ascii="Arial" w:hAnsi="Arial" w:cs="Arial"/>
          <w:sz w:val="42"/>
          <w:sz-cs w:val="42"/>
          <w:b/>
          <w:spacing w:val="0"/>
          <w:color w:val="0D121F"/>
        </w:rPr>
        <w:t xml:space="preserve">CONTRATO DE LICENCIAMENTO DE PLATAFORMA SAAS DE GESTÃO DE CAPITAL HUMANO (HCM) E FOLHA DE PAGAMENTO EM NUVEM</w:t>
      </w:r>
    </w:p>
    <w:p>
      <w:pPr>
        <w:spacing w:after="373"/>
      </w:pPr>
      <w:r>
        <w:rPr>
          <w:rFonts w:ascii="Arial" w:hAnsi="Arial" w:cs="Arial"/>
          <w:sz w:val="29"/>
          <w:sz-cs w:val="29"/>
          <w:b/>
          <w:spacing w:val="0"/>
          <w:color w:val="331DBE"/>
        </w:rPr>
        <w:t xml:space="preserve">--- [Página 1] ---</w:t>
      </w:r>
    </w:p>
    <w:p>
      <w:pPr>
        <w:spacing w:after="287"/>
      </w:pPr>
      <w:r>
        <w:rPr>
          <w:rFonts w:ascii="Arial" w:hAnsi="Arial" w:cs="Arial"/>
          <w:sz w:val="34"/>
          <w:sz-cs w:val="34"/>
          <w:b/>
          <w:spacing w:val="0"/>
          <w:color w:val="17123A"/>
        </w:rPr>
        <w:t xml:space="preserve">CLÁUSULA 1 - DAS PARTES E DO OBJETO CONTRATUAL</w:t>
      </w:r>
    </w:p>
    <w:p>
      <w:pPr>
        <w:spacing w:after="293"/>
      </w:pPr>
      <w:r>
        <w:rPr>
          <w:rFonts w:ascii="Arial" w:hAnsi="Arial" w:cs="Arial"/>
          <w:sz w:val="29"/>
          <w:sz-cs w:val="29"/>
          <w:spacing w:val="0"/>
          <w:color w:val="171E2D"/>
        </w:rPr>
        <w:t xml:space="preserve">1.1. CONTRATADA: PEOPLEFIRST CLOUD TECNOLOGIA PARA RH LTDA., inscrita no CNPJ sob o nº 21.889.400/0001-09, com sede em São Paulo/SP.</w:t>
      </w:r>
    </w:p>
    <w:p>
      <w:pPr>
        <w:spacing w:after="293"/>
      </w:pPr>
      <w:r>
        <w:rPr>
          <w:rFonts w:ascii="Arial" w:hAnsi="Arial" w:cs="Arial"/>
          <w:sz w:val="29"/>
          <w:sz-cs w:val="29"/>
          <w:spacing w:val="0"/>
          <w:color w:val="171E2D"/>
        </w:rPr>
        <w:t xml:space="preserve">1.2. CONTRATANTE: GLOBAL RETAIL CORP BRASIL LTDA., inscrita no CNPJ sob o nº 98.765.432/0001-10, com sede em São Paulo/SP.</w:t>
      </w:r>
    </w:p>
    <w:p>
      <w:pPr>
        <w:spacing w:after="293"/>
      </w:pPr>
      <w:r>
        <w:rPr>
          <w:rFonts w:ascii="Arial" w:hAnsi="Arial" w:cs="Arial"/>
          <w:sz w:val="29"/>
          <w:sz-cs w:val="29"/>
          <w:spacing w:val="0"/>
          <w:color w:val="171E2D"/>
        </w:rPr>
        <w:t xml:space="preserve">1.3. O presente instrumento regula o fornecimento de assinatura SaaS da plataforma PeopleFirst HCM Enterprise para até 1.000 colaboradores ativos, incluindo processamento de folha de pagamento, eSocial, ponto eletrônico e avaliação de desempenho.</w:t>
      </w:r>
    </w:p>
    <w:p>
      <w:pPr>
        <w:spacing w:after="287"/>
      </w:pPr>
      <w:r>
        <w:rPr>
          <w:rFonts w:ascii="Arial" w:hAnsi="Arial" w:cs="Arial"/>
          <w:sz w:val="34"/>
          <w:sz-cs w:val="34"/>
          <w:b/>
          <w:spacing w:val="0"/>
          <w:color w:val="17123A"/>
        </w:rPr>
        <w:t xml:space="preserve">CLÁUSULA 2 - DO VALOR E DA VIGÊNCIA</w:t>
      </w:r>
    </w:p>
    <w:p>
      <w:pPr>
        <w:spacing w:after="293"/>
      </w:pPr>
      <w:r>
        <w:rPr>
          <w:rFonts w:ascii="Arial" w:hAnsi="Arial" w:cs="Arial"/>
          <w:sz w:val="29"/>
          <w:sz-cs w:val="29"/>
          <w:spacing w:val="0"/>
          <w:color w:val="171E2D"/>
        </w:rPr>
        <w:t xml:space="preserve">2.1. Pela assinatura da plataforma SaaS e suporte especializado, a CONTRATANTE pagará o valor mensal de R$ 12.000,00 (doze mil reais), perfazendo o montante anual de R$ 144.000,00 (cento e quarenta e quatro mil reais).</w:t>
      </w:r>
    </w:p>
    <w:p>
      <w:pPr>
        <w:spacing w:after="293"/>
      </w:pPr>
      <w:r>
        <w:rPr>
          <w:rFonts w:ascii="Arial" w:hAnsi="Arial" w:cs="Arial"/>
          <w:sz w:val="29"/>
          <w:sz-cs w:val="29"/>
          <w:spacing w:val="0"/>
          <w:color w:val="171E2D"/>
        </w:rPr>
        <w:t xml:space="preserve">2.2. O prazo de vigência é de 12 (doze) meses a contar da assinatura, renovável mediante aditivo expresso ou anuência formal com 30 dias de antecedência.</w:t>
      </w:r>
    </w:p>
    <w:p>
      <w:pPr>
        <w:spacing w:after="373"/>
      </w:pPr>
      <w:r>
        <w:rPr>
          <w:rFonts w:ascii="Arial" w:hAnsi="Arial" w:cs="Arial"/>
          <w:sz w:val="29"/>
          <w:sz-cs w:val="29"/>
          <w:b/>
          <w:spacing w:val="0"/>
          <w:color w:val="331DBE"/>
        </w:rPr>
        <w:t xml:space="preserve">--- [Página 2] ---</w:t>
      </w:r>
    </w:p>
    <w:p>
      <w:pPr>
        <w:spacing w:after="287"/>
      </w:pPr>
      <w:r>
        <w:rPr>
          <w:rFonts w:ascii="Arial" w:hAnsi="Arial" w:cs="Arial"/>
          <w:sz w:val="34"/>
          <w:sz-cs w:val="34"/>
          <w:b/>
          <w:spacing w:val="0"/>
          <w:color w:val="17123A"/>
        </w:rPr>
        <w:t xml:space="preserve">CLÁUSULA 3 - ACORDO DE NÍVEL DE SERVIÇO (SLA) E CRÉDITOS COMPENSATÓRIOS</w:t>
      </w:r>
    </w:p>
    <w:p>
      <w:pPr>
        <w:spacing w:after="293"/>
      </w:pPr>
      <w:r>
        <w:rPr>
          <w:rFonts w:ascii="Arial" w:hAnsi="Arial" w:cs="Arial"/>
          <w:sz w:val="29"/>
          <w:sz-cs w:val="29"/>
          <w:spacing w:val="0"/>
          <w:color w:val="171E2D"/>
        </w:rPr>
        <w:t xml:space="preserve">3.1. A CONTRATADA garante disponibilidade mensal mínima de 99,7% (noventa e nove vírgula sete por cento) para todos os módulos de folha de pagamento, ponto e portal do colaborador.</w:t>
      </w:r>
    </w:p>
    <w:p>
      <w:pPr>
        <w:spacing w:after="293"/>
      </w:pPr>
      <w:r>
        <w:rPr>
          <w:rFonts w:ascii="Arial" w:hAnsi="Arial" w:cs="Arial"/>
          <w:sz w:val="29"/>
          <w:sz-cs w:val="29"/>
          <w:spacing w:val="0"/>
          <w:color w:val="171E2D"/>
        </w:rPr>
        <w:t xml:space="preserve">3.2. Caso o uptime mensal fique abaixo de 99,7%, a CONTRATANTE fará jus a desconto automático em fatura (Service Credit) de 5% (cinco por cento) a cada 0,2% de indisponibilidade, até o limite de 30% da fatura mensal, assegurado o direito de rescisão sem ônus caso o SLA fique abaixo de 98,5% em qualquer mês de fechamento de folha.</w:t>
      </w:r>
    </w:p>
    <w:p>
      <w:pPr>
        <w:spacing w:after="287"/>
      </w:pPr>
      <w:r>
        <w:rPr>
          <w:rFonts w:ascii="Arial" w:hAnsi="Arial" w:cs="Arial"/>
          <w:sz w:val="34"/>
          <w:sz-cs w:val="34"/>
          <w:b/>
          <w:spacing w:val="0"/>
          <w:color w:val="17123A"/>
        </w:rPr>
        <w:t xml:space="preserve">CLÁUSULA 4 - PROTEÇÃO DE DADOS PESSOAIS E SENSÍVEIS DE COLABORADORES (LGPD)</w:t>
      </w:r>
    </w:p>
    <w:p>
      <w:pPr>
        <w:spacing w:after="293"/>
      </w:pPr>
      <w:r>
        <w:rPr>
          <w:rFonts w:ascii="Arial" w:hAnsi="Arial" w:cs="Arial"/>
          <w:sz w:val="29"/>
          <w:sz-cs w:val="29"/>
          <w:spacing w:val="0"/>
          <w:color w:val="171E2D"/>
        </w:rPr>
        <w:t xml:space="preserve">4.1. As Partes celebram o Acordo de Processamento de Dados (Anexo I - DPA), obrigando-se a CONTRATADA a processar dados pessoais e dados sensíveis (atestados médicos, dependentes, dados bancários e sindicais) exclusivamente em servidores em nuvem localizados na região São Paulo/Brasil (`southamerica-east1`), com criptografia AES-256 em repouso e TLS 1.3 em trânsito.</w:t>
      </w:r>
    </w:p>
    <w:p>
      <w:pPr>
        <w:spacing w:after="293"/>
      </w:pPr>
      <w:r>
        <w:rPr>
          <w:rFonts w:ascii="Arial" w:hAnsi="Arial" w:cs="Arial"/>
          <w:sz w:val="29"/>
          <w:sz-cs w:val="29"/>
          <w:spacing w:val="0"/>
          <w:color w:val="171E2D"/>
        </w:rPr>
        <w:t xml:space="preserve">4.2. Qualquer suspeita ou confirmação de incidente de segurança será comunicada formalmente ao DPO da CONTRATANTE no prazo máximo de 24 (vinte e quatro) horas corridas, com apoio integral perante a ANPD.</w:t>
      </w:r>
    </w:p>
    <w:p>
      <w:pPr>
        <w:spacing w:after="373"/>
      </w:pPr>
      <w:r>
        <w:rPr>
          <w:rFonts w:ascii="Arial" w:hAnsi="Arial" w:cs="Arial"/>
          <w:sz w:val="29"/>
          <w:sz-cs w:val="29"/>
          <w:b/>
          <w:spacing w:val="0"/>
          <w:color w:val="331DBE"/>
        </w:rPr>
        <w:t xml:space="preserve">--- [Página 3] ---</w:t>
      </w:r>
    </w:p>
    <w:p>
      <w:pPr>
        <w:spacing w:after="287"/>
      </w:pPr>
      <w:r>
        <w:rPr>
          <w:rFonts w:ascii="Arial" w:hAnsi="Arial" w:cs="Arial"/>
          <w:sz w:val="34"/>
          <w:sz-cs w:val="34"/>
          <w:b/>
          <w:spacing w:val="0"/>
          <w:color w:val="17123A"/>
        </w:rPr>
        <w:t xml:space="preserve">CLÁUSULA 5 - PROPRIEDADE DOS DADOS E TRANSIÇÃO ASSISTIDA</w:t>
      </w:r>
    </w:p>
    <w:p>
      <w:pPr>
        <w:spacing w:after="293"/>
      </w:pPr>
      <w:r>
        <w:rPr>
          <w:rFonts w:ascii="Arial" w:hAnsi="Arial" w:cs="Arial"/>
          <w:sz w:val="29"/>
          <w:sz-cs w:val="29"/>
          <w:spacing w:val="0"/>
          <w:color w:val="171E2D"/>
        </w:rPr>
        <w:t xml:space="preserve">5.1. Toda a base histórica de folha de pagamento, holerites, registros de ponto e dados cadastrais pertence exclusivamente à CONTRATANTE.</w:t>
      </w:r>
    </w:p>
    <w:p>
      <w:pPr>
        <w:spacing w:after="293"/>
      </w:pPr>
      <w:r>
        <w:rPr>
          <w:rFonts w:ascii="Arial" w:hAnsi="Arial" w:cs="Arial"/>
          <w:sz w:val="29"/>
          <w:sz-cs w:val="29"/>
          <w:spacing w:val="0"/>
          <w:color w:val="171E2D"/>
        </w:rPr>
        <w:t xml:space="preserve">5.2. Ao término ou rescisão do contrato, a CONTRATADA assegurará 30 (trinta) dias de transição assistida sem custo adicional, exportando integralmente os dados em formatos abertos (JSON, CSV e XML do eSocial).</w:t>
      </w:r>
    </w:p>
    <w:p>
      <w:pPr>
        <w:spacing w:after="287"/>
      </w:pPr>
      <w:r>
        <w:rPr>
          <w:rFonts w:ascii="Arial" w:hAnsi="Arial" w:cs="Arial"/>
          <w:sz w:val="34"/>
          <w:sz-cs w:val="34"/>
          <w:b/>
          <w:spacing w:val="0"/>
          <w:color w:val="17123A"/>
        </w:rPr>
        <w:t xml:space="preserve">CLÁUSULA 6 - DENÚNCIA, RESCISÃO E PENALIDADES</w:t>
      </w:r>
    </w:p>
    <w:p>
      <w:pPr>
        <w:spacing w:after="293"/>
      </w:pPr>
      <w:r>
        <w:rPr>
          <w:rFonts w:ascii="Arial" w:hAnsi="Arial" w:cs="Arial"/>
          <w:sz w:val="29"/>
          <w:sz-cs w:val="29"/>
          <w:spacing w:val="0"/>
          <w:color w:val="171E2D"/>
        </w:rPr>
        <w:t xml:space="preserve">6.1. O contrato poderá ser resilido imotivadamente por qualquer das Partes mediante aviso prévio de 30 (trinta) dias.</w:t>
      </w:r>
    </w:p>
    <w:p>
      <w:pPr>
        <w:spacing w:after="293"/>
      </w:pPr>
      <w:r>
        <w:rPr>
          <w:rFonts w:ascii="Arial" w:hAnsi="Arial" w:cs="Arial"/>
          <w:sz w:val="29"/>
          <w:sz-cs w:val="29"/>
          <w:spacing w:val="0"/>
          <w:color w:val="171E2D"/>
        </w:rPr>
        <w:t xml:space="preserve">6.2. Em caso de rescisão antecipada nos primeiros 6 meses, a multa compensatória será limitada a 10% (dez por cento) do saldo remanescente, sendo totalmente isenta após o 6º mês. A multa moratória por atraso de pagamento fica limitada a 2% (dois por cento).</w:t>
      </w:r>
    </w:p>
    <w:p>
      <w:pPr>
        <w:spacing w:after="373"/>
      </w:pPr>
      <w:r>
        <w:rPr>
          <w:rFonts w:ascii="Arial" w:hAnsi="Arial" w:cs="Arial"/>
          <w:sz w:val="29"/>
          <w:sz-cs w:val="29"/>
          <w:b/>
          <w:spacing w:val="0"/>
          <w:color w:val="331DBE"/>
        </w:rPr>
        <w:t xml:space="preserve">--- [Página 4] ---</w:t>
      </w:r>
    </w:p>
    <w:p>
      <w:pPr>
        <w:spacing w:after="287"/>
      </w:pPr>
      <w:r>
        <w:rPr>
          <w:rFonts w:ascii="Arial" w:hAnsi="Arial" w:cs="Arial"/>
          <w:sz w:val="34"/>
          <w:sz-cs w:val="34"/>
          <w:b/>
          <w:spacing w:val="0"/>
          <w:color w:val="17123A"/>
        </w:rPr>
        <w:t xml:space="preserve">CLÁUSULA 7 - LIMITAÇÃO DE RESPONSABILIDADE E FORO</w:t>
      </w:r>
    </w:p>
    <w:p>
      <w:pPr>
        <w:spacing w:after="293"/>
      </w:pPr>
      <w:r>
        <w:rPr>
          <w:rFonts w:ascii="Arial" w:hAnsi="Arial" w:cs="Arial"/>
          <w:sz w:val="29"/>
          <w:sz-cs w:val="29"/>
          <w:spacing w:val="0"/>
          <w:color w:val="171E2D"/>
        </w:rPr>
        <w:t xml:space="preserve">7.1. A responsabilidade civil total e acumulada de cada Parte por danos diretos oriundos deste Contrato fica limitada ao valor total pago pela CONTRATANTE nos 12 (doze) meses anteriores ao evento danoso (Liability Cap de 12 meses), excluindo-se lucros cessantes e danos indiretos para ambas as Partes.</w:t>
      </w:r>
    </w:p>
    <w:p>
      <w:pPr>
        <w:spacing w:after="293"/>
      </w:pPr>
      <w:r>
        <w:rPr>
          <w:rFonts w:ascii="Arial" w:hAnsi="Arial" w:cs="Arial"/>
          <w:sz w:val="29"/>
          <w:sz-cs w:val="29"/>
          <w:spacing w:val="0"/>
          <w:color w:val="171E2D"/>
        </w:rPr>
        <w:t xml:space="preserve">7.2. Este instrumento é regido pelas leis da República Federativa do Brasil, ficando eleito o Foro Central da Comarca da Capital do Estado de São Paulo/SP para dirimir quaisquer questões dele decorrentes.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CocoaOOXMLWriter/2775.2</generator>
</meta>
</file>