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85"/>
      </w:pPr>
      <w:r>
        <w:rPr>
          <w:rFonts w:ascii="Arial" w:hAnsi="Arial" w:cs="Arial"/>
          <w:sz w:val="42"/>
          <w:sz-cs w:val="42"/>
          <w:b/>
          <w:spacing w:val="0"/>
          <w:color w:val="0D121F"/>
        </w:rPr>
        <w:t xml:space="preserve">CONTRATO DE PRESTAÇÃO DE SERVIÇOS DE CONECTIVIDADE CORPORATIVA SD-WAN E LINKS DEDICADOS</w:t>
      </w:r>
    </w:p>
    <w:p>
      <w:pPr>
        <w:spacing w:after="373"/>
      </w:pPr>
      <w:r>
        <w:rPr>
          <w:rFonts w:ascii="Arial" w:hAnsi="Arial" w:cs="Arial"/>
          <w:sz w:val="29"/>
          <w:sz-cs w:val="29"/>
          <w:b/>
          <w:spacing w:val="0"/>
          <w:color w:val="331DBE"/>
        </w:rPr>
        <w:t xml:space="preserve">--- [Página 1] ---</w:t>
      </w:r>
    </w:p>
    <w:p>
      <w:pPr>
        <w:spacing w:after="287"/>
      </w:pPr>
      <w:r>
        <w:rPr>
          <w:rFonts w:ascii="Arial" w:hAnsi="Arial" w:cs="Arial"/>
          <w:sz w:val="34"/>
          <w:sz-cs w:val="34"/>
          <w:b/>
          <w:spacing w:val="0"/>
          <w:color w:val="17123A"/>
        </w:rPr>
        <w:t xml:space="preserve">IDENTIFICAÇÃO DAS PARTES E CONDIÇÕES COMERCIAIS</w:t>
      </w:r>
    </w:p>
    <w:p>
      <w:pPr>
        <w:spacing w:after="293"/>
      </w:pPr>
      <w:r>
        <w:rPr>
          <w:rFonts w:ascii="Arial" w:hAnsi="Arial" w:cs="Arial"/>
          <w:sz w:val="29"/>
          <w:sz-cs w:val="29"/>
          <w:spacing w:val="0"/>
          <w:color w:val="171E2D"/>
        </w:rPr>
        <w:t xml:space="preserve">CONTRATADA: VeloNet Telecomunicações e Conectividade S.A., inscrita no CNPJ sob o nº 89.012.345/0001-67 ("Operadora").</w:t>
      </w:r>
    </w:p>
    <w:p>
      <w:pPr>
        <w:spacing w:after="293"/>
      </w:pPr>
      <w:r>
        <w:rPr>
          <w:rFonts w:ascii="Arial" w:hAnsi="Arial" w:cs="Arial"/>
          <w:sz w:val="29"/>
          <w:sz-cs w:val="29"/>
          <w:spacing w:val="0"/>
          <w:color w:val="171E2D"/>
        </w:rPr>
        <w:t xml:space="preserve">CONTRATANTE: Global Retail Corp Brasil Ltda., inscrita no CNPJ sob o nº 01.999.888/0001-01 ("Contratante").</w:t>
      </w:r>
    </w:p>
    <w:p>
      <w:pPr>
        <w:spacing w:after="306"/>
      </w:pPr>
      <w:r>
        <w:rPr>
          <w:rFonts w:ascii="Arial" w:hAnsi="Arial" w:cs="Arial"/>
          <w:sz w:val="30"/>
          <w:sz-cs w:val="30"/>
          <w:b/>
          <w:spacing w:val="0"/>
          <w:color w:val="241E6E"/>
        </w:rPr>
        <w:t xml:space="preserve">CLÁUSULA 1 - DO OBJETO</w:t>
      </w:r>
    </w:p>
    <w:p>
      <w:pPr>
        <w:spacing w:after="293"/>
      </w:pPr>
      <w:r>
        <w:rPr>
          <w:rFonts w:ascii="Arial" w:hAnsi="Arial" w:cs="Arial"/>
          <w:sz w:val="29"/>
          <w:sz-cs w:val="29"/>
          <w:spacing w:val="0"/>
          <w:color w:val="171E2D"/>
        </w:rPr>
        <w:t xml:space="preserve">1.1. Fornecimento e gerenciamento 24x7 de malha corporativa SD-WAN Segura com Dupla Abordagem (Fibra Óptica Dedicada + Contingência 5G) interligando a Matriz e 50 filiais/centros de distribuição da CONTRATANTE em território nacional.</w:t>
      </w:r>
    </w:p>
    <w:p>
      <w:pPr>
        <w:spacing w:after="306"/>
      </w:pPr>
      <w:r>
        <w:rPr>
          <w:rFonts w:ascii="Arial" w:hAnsi="Arial" w:cs="Arial"/>
          <w:sz w:val="30"/>
          <w:sz-cs w:val="30"/>
          <w:b/>
          <w:spacing w:val="0"/>
          <w:color w:val="241E6E"/>
        </w:rPr>
        <w:t xml:space="preserve">CLÁUSULA 2 - DO VALOR, REAJUSTE E VIGÊNCIA</w:t>
      </w:r>
    </w:p>
    <w:p>
      <w:pPr>
        <w:spacing w:after="293"/>
      </w:pPr>
      <w:r>
        <w:rPr>
          <w:rFonts w:ascii="Arial" w:hAnsi="Arial" w:cs="Arial"/>
          <w:sz w:val="29"/>
          <w:sz-cs w:val="29"/>
          <w:spacing w:val="0"/>
          <w:color w:val="171E2D"/>
        </w:rPr>
        <w:t xml:space="preserve">2.1. O valor global anual do contrato é de R$ 216.000,00 (duzentos e dezesseis mil reais), correspondente à mensalidade de R$ 18.000,00 (dezoito mil reais) pelo prazo de 24 (vinte e quatro) meses.</w:t>
      </w:r>
    </w:p>
    <w:p>
      <w:pPr>
        <w:spacing w:after="293"/>
      </w:pPr>
      <w:r>
        <w:rPr>
          <w:rFonts w:ascii="Arial" w:hAnsi="Arial" w:cs="Arial"/>
          <w:sz w:val="29"/>
          <w:sz-cs w:val="29"/>
          <w:spacing w:val="0"/>
          <w:color w:val="171E2D"/>
        </w:rPr>
        <w:t xml:space="preserve">2.2. O reajuste anual será calculado estritamente pela variação acumulada do IPCA/IBGE ou IST/Anatel (o que for menor).</w:t>
      </w:r>
    </w:p>
    <w:p>
      <w:pPr>
        <w:spacing w:after="306"/>
      </w:pPr>
      <w:r>
        <w:rPr>
          <w:rFonts w:ascii="Arial" w:hAnsi="Arial" w:cs="Arial"/>
          <w:sz w:val="30"/>
          <w:sz-cs w:val="30"/>
          <w:b/>
          <w:spacing w:val="0"/>
          <w:color w:val="241E6E"/>
        </w:rPr>
        <w:t xml:space="preserve">CLÁUSULA 3 - ACORDO DE NÍVEL DE SERVIÇO (SLA 99,9%) E CRÉDITOS AUTOMÁTICOS</w:t>
      </w:r>
    </w:p>
    <w:p>
      <w:pPr>
        <w:spacing w:after="293"/>
      </w:pPr>
      <w:r>
        <w:rPr>
          <w:rFonts w:ascii="Arial" w:hAnsi="Arial" w:cs="Arial"/>
          <w:sz w:val="29"/>
          <w:sz-cs w:val="29"/>
          <w:spacing w:val="0"/>
          <w:color w:val="171E2D"/>
        </w:rPr>
        <w:t xml:space="preserve">3.1. A CONTRATADA garante disponibilidade mensal mínima de 99,9% (noventa e nove vírgula nove por cento) em cada circuito principal e failover automático em menos de 5 segundos para a rede 5G secundária.</w:t>
      </w:r>
    </w:p>
    <w:p>
      <w:pPr>
        <w:spacing w:after="293"/>
      </w:pPr>
      <w:r>
        <w:rPr>
          <w:rFonts w:ascii="Arial" w:hAnsi="Arial" w:cs="Arial"/>
          <w:sz w:val="29"/>
          <w:sz-cs w:val="29"/>
          <w:spacing w:val="0"/>
          <w:color w:val="171E2D"/>
        </w:rPr>
        <w:t xml:space="preserve">3.2. O tempo máximo de reparo físico (MTTR) é de 4 (quatro) horas, com concessão automática de Service Credits de 10% a 30% na fatura mensal em caso de descumprimento.</w:t>
      </w:r>
    </w:p>
    <w:p>
      <w:pPr>
        <w:spacing w:after="373"/>
      </w:pPr>
      <w:r>
        <w:rPr>
          <w:rFonts w:ascii="Arial" w:hAnsi="Arial" w:cs="Arial"/>
          <w:sz w:val="29"/>
          <w:sz-cs w:val="29"/>
          <w:b/>
          <w:spacing w:val="0"/>
          <w:color w:val="331DBE"/>
        </w:rPr>
        <w:t xml:space="preserve">--- [Página 2] ---</w:t>
      </w:r>
    </w:p>
    <w:p>
      <w:pPr>
        <w:spacing w:after="306"/>
      </w:pPr>
      <w:r>
        <w:rPr>
          <w:rFonts w:ascii="Arial" w:hAnsi="Arial" w:cs="Arial"/>
          <w:sz w:val="30"/>
          <w:sz-cs w:val="30"/>
          <w:b/>
          <w:spacing w:val="0"/>
          <w:color w:val="241E6E"/>
        </w:rPr>
        <w:t xml:space="preserve">CLÁUSULA 4 - PRIVACIDADE DE TRÁFEGO, CRIPTOGRAFIA E LGPD</w:t>
      </w:r>
    </w:p>
    <w:p>
      <w:pPr>
        <w:spacing w:after="293"/>
      </w:pPr>
      <w:r>
        <w:rPr>
          <w:rFonts w:ascii="Arial" w:hAnsi="Arial" w:cs="Arial"/>
          <w:sz w:val="29"/>
          <w:sz-cs w:val="29"/>
          <w:spacing w:val="0"/>
          <w:color w:val="171E2D"/>
        </w:rPr>
        <w:t xml:space="preserve">4.1. Todo o tráfego da malha SD-WAN é criptografado ponta a ponta via túneis IPsec AES-256 gerenciados em território nacional (`southamerica-east1`). A CONTRATADA não realiza inspeção profunda de conteúdo (payload) dos dados trafegados.</w:t>
      </w:r>
    </w:p>
    <w:p>
      <w:pPr>
        <w:spacing w:after="293"/>
      </w:pPr>
      <w:r>
        <w:rPr>
          <w:rFonts w:ascii="Arial" w:hAnsi="Arial" w:cs="Arial"/>
          <w:sz w:val="29"/>
          <w:sz-cs w:val="29"/>
          <w:spacing w:val="0"/>
          <w:color w:val="171E2D"/>
        </w:rPr>
        <w:t xml:space="preserve">4.2. Qualquer incidente de segurança ou anomalia de roteamento BGP será notificado ao SOC da CONTRATANTE em até 24 (vinte e quatro) horas corridas, conforme Anexo DPA assinado entre as partes.</w:t>
      </w:r>
    </w:p>
    <w:p>
      <w:pPr>
        <w:spacing w:after="306"/>
      </w:pPr>
      <w:r>
        <w:rPr>
          <w:rFonts w:ascii="Arial" w:hAnsi="Arial" w:cs="Arial"/>
          <w:sz w:val="30"/>
          <w:sz-cs w:val="30"/>
          <w:b/>
          <w:spacing w:val="0"/>
          <w:color w:val="241E6E"/>
        </w:rPr>
        <w:t xml:space="preserve">CLÁUSULA 5 - RESCISÃO E PENALIDADES PROPORCIONAIS</w:t>
      </w:r>
    </w:p>
    <w:p>
      <w:pPr>
        <w:spacing w:after="293"/>
      </w:pPr>
      <w:r>
        <w:rPr>
          <w:rFonts w:ascii="Arial" w:hAnsi="Arial" w:cs="Arial"/>
          <w:sz w:val="29"/>
          <w:sz-cs w:val="29"/>
          <w:spacing w:val="0"/>
          <w:color w:val="171E2D"/>
        </w:rPr>
        <w:t xml:space="preserve">5.1. Qualquer das Partes poderá rescindir este instrumento mediante aviso prévio de 30 (trinta) dias, incidindo multa rescisória máxima limitada a 10% (dez por cento) do saldo remanescente do primeiro ciclo anual (isenta de multa após o 12º mês de vigência).</w:t>
      </w:r>
    </w:p>
    <w:p>
      <w:pPr>
        <w:spacing w:after="373"/>
      </w:pPr>
      <w:r>
        <w:rPr>
          <w:rFonts w:ascii="Arial" w:hAnsi="Arial" w:cs="Arial"/>
          <w:sz w:val="29"/>
          <w:sz-cs w:val="29"/>
          <w:b/>
          <w:spacing w:val="0"/>
          <w:color w:val="331DBE"/>
        </w:rPr>
        <w:t xml:space="preserve">--- [Página 3] ---</w:t>
      </w:r>
    </w:p>
    <w:p>
      <w:pPr>
        <w:spacing w:after="306"/>
      </w:pPr>
      <w:r>
        <w:rPr>
          <w:rFonts w:ascii="Arial" w:hAnsi="Arial" w:cs="Arial"/>
          <w:sz w:val="30"/>
          <w:sz-cs w:val="30"/>
          <w:b/>
          <w:spacing w:val="0"/>
          <w:color w:val="241E6E"/>
        </w:rPr>
        <w:t xml:space="preserve">CLÁUSULA 6 - LIMITAÇÃO DE RESPONSABILIDADE (LIABILITY CAP)</w:t>
      </w:r>
    </w:p>
    <w:p>
      <w:pPr>
        <w:spacing w:after="293"/>
      </w:pPr>
      <w:r>
        <w:rPr>
          <w:rFonts w:ascii="Arial" w:hAnsi="Arial" w:cs="Arial"/>
          <w:sz w:val="29"/>
          <w:sz-cs w:val="29"/>
          <w:spacing w:val="0"/>
          <w:color w:val="171E2D"/>
        </w:rPr>
        <w:t xml:space="preserve">6.1. A responsabilidade total acumulada de qualquer das Partes por danos diretos oriundos deste Contrato fica limitada ao valor total efetivamente pago pela CONTRATANTE nos 12 (doze) meses anteriores ao evento danoso, excluídos lucros cessantes e danos indiretos.</w:t>
      </w:r>
    </w:p>
    <w:p>
      <w:pPr>
        <w:spacing w:after="306"/>
      </w:pPr>
      <w:r>
        <w:rPr>
          <w:rFonts w:ascii="Arial" w:hAnsi="Arial" w:cs="Arial"/>
          <w:sz w:val="30"/>
          <w:sz-cs w:val="30"/>
          <w:b/>
          <w:spacing w:val="0"/>
          <w:color w:val="241E6E"/>
        </w:rPr>
        <w:t xml:space="preserve">CLÁUSULA 7 - LEGISLAÇÃO E FORO</w:t>
      </w:r>
    </w:p>
    <w:p>
      <w:pPr>
        <w:spacing w:after="293"/>
      </w:pPr>
      <w:r>
        <w:rPr>
          <w:rFonts w:ascii="Arial" w:hAnsi="Arial" w:cs="Arial"/>
          <w:sz w:val="29"/>
          <w:sz-cs w:val="29"/>
          <w:spacing w:val="0"/>
          <w:color w:val="171E2D"/>
        </w:rPr>
        <w:t xml:space="preserve">7.1. Este Contrato é regido pelas leis da República Federativa do Brasil, elegendo-se o Foro Central da Comarca de São Paulo/SP para dirimir quaisquer controvérsias.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CocoaOOXMLWriter/2775.2</generator>
</meta>
</file>