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TRAINING FIXTURE - NOT A REAL STANDARD OR CERTIFICATION RECORD</w:t>
      </w:r>
    </w:p>
    <w:p>
      <w:pPr>
        <w:pStyle w:val="Title"/>
      </w:pPr>
      <w:r>
        <w:t xml:space="preserve">SYN-EMC-LAB-1102 整改闭环教学记录</w:t>
      </w:r>
    </w:p>
    <w:p>
      <w:pPr>
        <w:pStyle w:val="Heading1"/>
      </w:pPr>
      <w:r>
        <w:t xml:space="preserve">syn-docx-05-sec-01</w:t>
      </w:r>
    </w:p>
    <w:p>
      <w:r>
        <w:t xml:space="preserve">整改记录必须写明元件位号和元件值。</w:t>
      </w:r>
    </w:p>
    <w:p>
      <w:pPr>
        <w:pStyle w:val="Heading1"/>
      </w:pPr>
      <w:r>
        <w:t xml:space="preserve">syn-docx-05-sec-02</w:t>
      </w:r>
    </w:p>
    <w:p>
      <w:r>
        <w:t xml:space="preserve">关闭问题前必须确认复测沿用与基线相同的布置标识。</w:t>
      </w:r>
    </w:p>
    <w:p>
      <w:pPr>
        <w:pStyle w:val="Heading1"/>
      </w:pPr>
      <w:r>
        <w:t xml:space="preserve">syn-docx-05-sec-03</w:t>
      </w:r>
    </w:p>
    <w:p>
      <w:r>
        <w:t xml:space="preserve">未采用的整改方案及其拒绝原因也要保留在决策日志中。</w:t>
      </w:r>
    </w:p>
    <w:sectPr>
      <w:pgSz w:w="11906" w:h="16838"/>
    </w:sectPr>
  </w:body>
</w:document>
</file>