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黑体" w:hAnsi="黑体" w:eastAsia="黑体"/>
          <w:b/>
          <w:color w:val="0B2545"/>
          <w:sz w:val="36"/>
        </w:rPr>
        <w:t>编译系统实践报告</w:t>
      </w:r>
    </w:p>
    <w:p>
      <w:pPr>
        <w:pStyle w:val="Heading1"/>
      </w:pPr>
      <w:r>
        <w:t>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57"/>
        <w:gridCol w:w="4657"/>
      </w:tblGrid>
      <w:tr>
        <w:tc>
          <w:tcPr>
            <w:tcW w:type="dxa" w:w="4657"/>
            <w:shd w:fill="D9EAF7"/>
            <w:vAlign w:val="center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项目</w:t>
            </w:r>
          </w:p>
        </w:tc>
        <w:tc>
          <w:tcPr>
            <w:tcW w:type="dxa" w:w="4657"/>
            <w:shd w:fill="D9EAF7"/>
            <w:vAlign w:val="center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内容</w:t>
            </w:r>
          </w:p>
        </w:tc>
      </w:tr>
      <w:tr>
        <w:tc>
          <w:tcPr>
            <w:tcW w:type="dxa" w:w="465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课程</w:t>
            </w:r>
          </w:p>
        </w:tc>
        <w:tc>
          <w:tcPr>
            <w:tcW w:type="dxa" w:w="465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编译系统实践</w:t>
            </w:r>
          </w:p>
        </w:tc>
      </w:tr>
      <w:tr>
        <w:tc>
          <w:tcPr>
            <w:tcW w:type="dxa" w:w="465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题目</w:t>
            </w:r>
          </w:p>
        </w:tc>
        <w:tc>
          <w:tcPr>
            <w:tcW w:type="dxa" w:w="465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ToyC 到 RISC-V32 汇编编译器</w:t>
            </w:r>
          </w:p>
        </w:tc>
      </w:tr>
      <w:tr>
        <w:tc>
          <w:tcPr>
            <w:tcW w:type="dxa" w:w="465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小组成员/学号</w:t>
            </w:r>
          </w:p>
        </w:tc>
        <w:tc>
          <w:tcPr>
            <w:tcW w:type="dxa" w:w="465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【提交前填写四名成员的姓名、学号】</w:t>
            </w:r>
          </w:p>
        </w:tc>
      </w:tr>
      <w:tr>
        <w:tc>
          <w:tcPr>
            <w:tcW w:type="dxa" w:w="465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仓库</w:t>
            </w:r>
          </w:p>
        </w:tc>
        <w:tc>
          <w:tcPr>
            <w:tcW w:type="dxa" w:w="465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https://github.com/arisuntorch/toyc-compiler.git</w:t>
            </w:r>
          </w:p>
        </w:tc>
      </w:tr>
      <w:tr>
        <w:tc>
          <w:tcPr>
            <w:tcW w:type="dxa" w:w="465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实现语言</w:t>
            </w:r>
          </w:p>
        </w:tc>
        <w:tc>
          <w:tcPr>
            <w:tcW w:type="dxa" w:w="465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C++20</w:t>
            </w:r>
          </w:p>
        </w:tc>
      </w:tr>
    </w:tbl>
    <w:p/>
    <w:p>
      <w:pPr>
        <w:pStyle w:val="Heading1"/>
      </w:pPr>
      <w:r>
        <w:t>1. 项目概述</w:t>
      </w:r>
    </w:p>
    <w:p>
      <w:pPr/>
      <w:r>
        <w:t>本项目从零实现了一个 ToyC 到 RISC-V32 汇编的编译器。编译器从标准输入读取 ToyC 源程序，经过词法分析、递归下降语法分析、AST 构造、作用域与语义信息维护、中端优化和后端代码生成，最终向标准输出写出可汇编执行的 RISC-V32 程序。-opt 仅作为评测接口兼容参数；默认模式和优化模式都执行同一条静态分析与代码生成流水线。</w:t>
      </w:r>
    </w:p>
    <w:p>
      <w:pPr/>
      <w:r>
        <w:t>实现没有调用 Clang、LLVM 或外部编译器框架。词法、语法、静态分析、优化和 RISC-V32 后端均由项目代码自行实现，也没有按隐藏测试名称或固定源码文本/指纹进行特判。</w:t>
      </w:r>
    </w:p>
    <w:p>
      <w:pPr>
        <w:pStyle w:val="Heading1"/>
      </w:pPr>
      <w:r>
        <w:t>2. 总体架构</w:t>
      </w:r>
    </w:p>
    <w:p>
      <w:pPr/>
      <w:r>
        <w:t>主要实现集中在 src/main.cpp，构建入口为 Makefile。两个命令模式共享同一条静态编译流水线：</w:t>
      </w:r>
    </w:p>
    <w:p>
      <w:pPr>
        <w:spacing w:before="80" w:after="160"/>
        <w:ind w:left="288" w:right="288"/>
        <w:shd w:fill="F2F4F7"/>
      </w:pPr>
      <w:r>
        <w:rPr>
          <w:rFonts w:ascii="Consolas" w:hAnsi="Consolas" w:eastAsia="Consolas"/>
          <w:sz w:val="18"/>
        </w:rPr>
        <w:t>ToyC -&gt; Lexer -&gt; Parser -&gt; AST</w:t>
        <w:br/>
        <w:t xml:space="preserve">                         |</w:t>
        <w:br/>
        <w:t xml:space="preserve">             SafeOptimizer（局部证明）</w:t>
        <w:br/>
        <w:t xml:space="preserve">                         |</w:t>
        <w:br/>
        <w:t xml:space="preserve">       StaticAnalyzer（作用域/槽位/活跃性）</w:t>
        <w:br/>
        <w:t xml:space="preserve">                         |</w:t>
        <w:br/>
        <w:t xml:space="preserve">       RangeAnalyzer（整数区间证明）</w:t>
        <w:br/>
        <w:t xml:space="preserve">                         |</w:t>
        <w:br/>
        <w:t xml:space="preserve">                 CodeGen -&gt; RISC-V32 汇编</w:t>
      </w:r>
    </w:p>
    <w:p>
      <w:pPr/>
      <w:r>
        <w:t>编译阶段只分析 AST 和表达式的静态性质，不调用 ToyC 的 main()，不解释执行语句或循环，也不生成“只返回预先算出常数”的替代程序。</w:t>
      </w:r>
    </w:p>
    <w:p>
      <w:pPr/>
      <w:r>
        <w:t>核心模块包括：</w:t>
      </w:r>
    </w:p>
    <w:p>
      <w:pPr>
        <w:pStyle w:val="ListBullet"/>
      </w:pPr>
      <w:r>
        <w:t>Lexer：识别关键字、标识符、十进制整数、运算符和分隔符，跳过空白与两类注释。</w:t>
      </w:r>
    </w:p>
    <w:p>
      <w:pPr>
        <w:pStyle w:val="ListBullet"/>
      </w:pPr>
      <w:r>
        <w:t>Parser：按 ToyC 文法进行递归下降分析并构造 AST。</w:t>
      </w:r>
    </w:p>
    <w:p>
      <w:pPr>
        <w:pStyle w:val="ListBullet"/>
      </w:pPr>
      <w:r>
        <w:t>SafeOptimizer：进行常量表达式折叠、常量/拷贝传播、CSE、LICM、DCE 和常量控制流化简；只处理能够由 AST 局部证明的表达式。</w:t>
      </w:r>
    </w:p>
    <w:p>
      <w:pPr>
        <w:pStyle w:val="ListBullet"/>
      </w:pPr>
      <w:r>
        <w:t>StaticAnalyzer：解析词法绑定、分配局部槽位、记录运算符和循环编号，并做保守的向后活跃性分析。</w:t>
      </w:r>
    </w:p>
    <w:p>
      <w:pPr>
        <w:pStyle w:val="ListBullet"/>
      </w:pPr>
      <w:r>
        <w:t>RangeAnalyzer：在分支和循环约束下推导整数区间，为后端安全选择除模指令。</w:t>
      </w:r>
    </w:p>
    <w:p>
      <w:pPr>
        <w:pStyle w:val="ListBullet"/>
      </w:pPr>
      <w:r>
        <w:t>CodeGen：维护符号表、栈帧、寄存器和调用约定，生成 RISC-V32 汇编。</w:t>
      </w:r>
    </w:p>
    <w:p>
      <w:pPr>
        <w:pStyle w:val="Heading1"/>
      </w:pPr>
      <w:r>
        <w:t>3. 词法与语法分析</w:t>
      </w:r>
    </w:p>
    <w:p>
      <w:pPr>
        <w:pStyle w:val="Heading2"/>
      </w:pPr>
      <w:r>
        <w:t>3.1 词法分析</w:t>
      </w:r>
    </w:p>
    <w:p>
      <w:pPr/>
      <w:r>
        <w:t>词法分析器支持 ToyC 定义中的关键字、C 风格标识符、十进制整数、算术/关系/逻辑运算符及各种分隔符。它维护行列位置，在遇到非法字符时输出定位信息。空白、// 单行注释和 /* ... */ 多行注释均被忽略。</w:t>
      </w:r>
    </w:p>
    <w:p>
      <w:pPr>
        <w:pStyle w:val="Heading2"/>
      </w:pPr>
      <w:r>
        <w:t>3.2 递归下降语法分析</w:t>
      </w:r>
    </w:p>
    <w:p>
      <w:pPr/>
      <w:r>
        <w:t>表达式解析按优先级分层：逻辑或、逻辑与、关系/相等、加减、乘除模、一元和基本表达式。每一层通过循环处理左结合运算符，从结构上保证优先级和结合性。语句解析覆盖声明、表达式、赋值、块、if-else、while、break、 continue 和 return；顶层解析覆盖全局声明与函数定义。</w:t>
      </w:r>
    </w:p>
    <w:p>
      <w:pPr>
        <w:pStyle w:val="Heading2"/>
      </w:pPr>
      <w:r>
        <w:t>3.3 AST</w:t>
      </w:r>
    </w:p>
    <w:p>
      <w:pPr/>
      <w:r>
        <w:t>AST 分为 Expr、Stmt、Decl、Function 和 Program。表达式节点记录运算符及左右子树，语句节点记录分支、循环和嵌套块。优化阶段会附加局部 slot、全局标志、死存储标志和循环编号，避免后续阶段重新进行字符串查找。</w:t>
      </w:r>
    </w:p>
    <w:p>
      <w:pPr>
        <w:pStyle w:val="Heading1"/>
      </w:pPr>
      <w:r>
        <w:t>4. 语义与作用域处理</w:t>
      </w:r>
    </w:p>
    <w:p>
      <w:pPr/>
      <w:r>
        <w:t>编译器维护嵌套作用域，正确区分全局变量、局部变量、形参和常量。块作用域支持同名屏蔽；变量声明点之前不可见。全局/局部常量表达式在 AST 上折叠，后续可作为立即数使用。全局可变对象放入 .data 段，局部对象进入寄存器或当前函数栈帧。</w:t>
      </w:r>
    </w:p>
    <w:p>
      <w:pPr/>
      <w:r>
        <w:t>逻辑与和逻辑或严格按短路语义生成控制流。函数实参按项目统一顺序求值一次，前八个参数使用 a0 至 a7，其余参数由调用者放到栈上。返回值使用 a0。算术求值统一按 32 位结果处理，并对除模边界采用与目标指令一致的实现。</w:t>
      </w:r>
    </w:p>
    <w:p>
      <w:pPr>
        <w:pStyle w:val="Heading1"/>
      </w:pPr>
      <w:r>
        <w:t>5. 优化设计</w:t>
      </w:r>
    </w:p>
    <w:p>
      <w:pPr>
        <w:pStyle w:val="Heading2"/>
      </w:pPr>
      <w:r>
        <w:t>5.1 AST 中端优化</w:t>
      </w:r>
    </w:p>
    <w:p>
      <w:pPr/>
      <w:r>
        <w:t>SafeOptimizer 在函数内迭代执行以下优化：</w:t>
      </w:r>
    </w:p>
    <w:p>
      <w:pPr>
        <w:pStyle w:val="ListBullet"/>
      </w:pPr>
      <w:r>
        <w:t>常量传播和常量表达式折叠。</w:t>
      </w:r>
    </w:p>
    <w:p>
      <w:pPr>
        <w:pStyle w:val="ListBullet"/>
      </w:pPr>
      <w:r>
        <w:t>局部变量拷贝传播及代数恒等式化简。</w:t>
      </w:r>
    </w:p>
    <w:p>
      <w:pPr>
        <w:pStyle w:val="ListBullet"/>
      </w:pPr>
      <w:r>
        <w:t>保守的公共子表达式消除（CSE）。</w:t>
      </w:r>
    </w:p>
    <w:p>
      <w:pPr>
        <w:pStyle w:val="ListBullet"/>
      </w:pPr>
      <w:r>
        <w:t>循环不变量外提（LICM），对可能改变异常行为的除法保持保守。</w:t>
      </w:r>
    </w:p>
    <w:p>
      <w:pPr>
        <w:pStyle w:val="ListBullet"/>
      </w:pPr>
      <w:r>
        <w:t>基于向后活跃性的死存储和纯表达式删除。</w:t>
      </w:r>
    </w:p>
    <w:p>
      <w:pPr>
        <w:pStyle w:val="ListBullet"/>
      </w:pPr>
      <w:r>
        <w:t>常量 if、while(0) 与不可达尾部化简。</w:t>
      </w:r>
    </w:p>
    <w:p>
      <w:pPr/>
      <w:r>
        <w:t>DCE 原先以源码名字表示活跃集合，内层同名声明可能错误清除外层 binding 的活跃位。最终实现为该名称式算法增加证明门槛：函数内出现重复局部名或形参屏蔽时跳过该轮 DCE，其余优化继续执行。这样保留了 shadow 语义，也不影响无重名函数生成的汇编。</w:t>
      </w:r>
    </w:p>
    <w:p>
      <w:pPr>
        <w:pStyle w:val="Heading2"/>
      </w:pPr>
      <w:r>
        <w:t>5.2 静态数据流与范围分析</w:t>
      </w:r>
    </w:p>
    <w:p>
      <w:pPr/>
      <w:r>
        <w:t>StaticAnalyzer 为每个形参和局部声明分配稳定 slot，并把每个变量引用解析到具体 binding。向后活跃性分析只删除“后续绝不读取且右值无函数调用”的存储，遇到循环、break、continue 或分支时使用保守合并，证明不足就保留原代码。</w:t>
      </w:r>
    </w:p>
    <w:p>
      <w:pPr/>
      <w:r>
        <w:t>RangeAnalyzer 在 AST 上传播 [min,max] 区间，并用条件约束收窄循环归纳变量。它不运行循环，只为指令选择提供证明：例如只有在除数为已知非零常量、且被除数范围满足前提时，后端才使用移位或 magic-number 除模序列，否则生成普通指令。</w:t>
      </w:r>
    </w:p>
    <w:p>
      <w:pPr>
        <w:pStyle w:val="Heading2"/>
      </w:pPr>
      <w:r>
        <w:t>5.3 后端代码优化</w:t>
      </w:r>
    </w:p>
    <w:p>
      <w:pPr/>
      <w:r>
        <w:t>代码生成阶段根据静态信息选择寄存器和指令：循环深度加权的 slot 优先进入 callee-saved 寄存器；无调用表达式直接在寄存器中组合；关系条件直接转为分支；小函数在满足结构和副作用条件时内联；尾递归自调用改写为参数更新和回跳。这些变换只改变 RISC-V 指令布局，不改变程序的运行时入口或返回语义。</w:t>
      </w:r>
    </w:p>
    <w:p>
      <w:pPr>
        <w:pStyle w:val="Heading2"/>
      </w:pPr>
      <w:r>
        <w:t>5.4 RISC-V32 后端优化</w:t>
      </w:r>
    </w:p>
    <w:p>
      <w:pPr/>
      <w:r>
        <w:t>后端的主要优化包括：</w:t>
      </w:r>
    </w:p>
    <w:p>
      <w:pPr>
        <w:pStyle w:val="ListBullet"/>
      </w:pPr>
      <w:r>
        <w:t>无调用表达式直接在寄存器池中求值，减少临时压栈。</w:t>
      </w:r>
    </w:p>
    <w:p>
      <w:pPr>
        <w:pStyle w:val="ListBullet"/>
      </w:pPr>
      <w:r>
        <w:t>if/while 关系条件直接生成分支，循环采用旋转布局减少无条件回跳。</w:t>
      </w:r>
    </w:p>
    <w:p>
      <w:pPr>
        <w:pStyle w:val="ListBullet"/>
      </w:pPr>
      <w:r>
        <w:t>小立即数使用 addi/slti 等立即数指令。</w:t>
      </w:r>
    </w:p>
    <w:p>
      <w:pPr>
        <w:pStyle w:val="ListBullet"/>
      </w:pPr>
      <w:r>
        <w:t>正的编译期常量除模使用二次幂移位或通用 magic-number 乘高位序列进行强度削弱。</w:t>
      </w:r>
    </w:p>
    <w:p>
      <w:pPr>
        <w:pStyle w:val="ListBullet"/>
      </w:pPr>
      <w:r>
        <w:t>尾递归自调用转换为参数更新和函数体回跳。</w:t>
      </w:r>
    </w:p>
    <w:p>
      <w:pPr>
        <w:pStyle w:val="ListBullet"/>
      </w:pPr>
      <w:r>
        <w:t>小型、无副作用且所有路径返回的分支 helper 在调用点展开。</w:t>
      </w:r>
    </w:p>
    <w:p>
      <w:pPr>
        <w:pStyle w:val="ListBullet"/>
      </w:pPr>
      <w:r>
        <w:t>按循环深度统计局部 slot 和常量的使用热度，联合分配 s1 至 s11；冷变量留在栈上，循环边界和 magic 常量可在函数入口一次装载。</w:t>
      </w:r>
    </w:p>
    <w:p>
      <w:pPr/>
      <w:r>
        <w:t>寄存器分配仍遵守 RISC-V callee-saved 约定：使用到的 s 寄存器在序言保存、尾声恢复。大栈帧和超过 12 位的偏移通过临时寄存器构造地址。</w:t>
      </w:r>
    </w:p>
    <w:p>
      <w:pPr>
        <w:pStyle w:val="Heading1"/>
      </w:pPr>
      <w:r>
        <w:t>6. 代码生成与 ABI</w:t>
      </w:r>
    </w:p>
    <w:p>
      <w:pPr/>
      <w:r>
        <w:t>每个函数建立 16 字节对齐的独立栈帧，保存 ra、旧 s0 及实际使用的 callee-saved 寄存器。s0 作为稳定帧指针。局部变量优先进入已分配寄存器，其余变量使用相对 s0 的独立槽位。全局变量通过标签寻址。</w:t>
      </w:r>
    </w:p>
    <w:p>
      <w:pPr>
        <w:spacing w:before="80" w:after="160"/>
        <w:ind w:left="288" w:right="288"/>
        <w:shd w:fill="F2F4F7"/>
      </w:pPr>
      <w:r>
        <w:rPr>
          <w:rFonts w:ascii="Consolas" w:hAnsi="Consolas" w:eastAsia="Consolas"/>
          <w:sz w:val="18"/>
        </w:rPr>
        <w:t>高地址  +---------------------------+</w:t>
        <w:br/>
        <w:t xml:space="preserve">        | 调用者传入的第 9+ 个参数   |</w:t>
        <w:br/>
        <w:t xml:space="preserve">  s0 -&gt; +---------------------------+</w:t>
        <w:br/>
        <w:t xml:space="preserve">        | ra / 旧 s0 / 保存的 s 寄存器 |</w:t>
        <w:br/>
        <w:t xml:space="preserve">        +---------------------------+</w:t>
        <w:br/>
        <w:t xml:space="preserve">        | 溢出的局部变量与临时槽      |</w:t>
        <w:br/>
        <w:t xml:space="preserve">  sp -&gt; +---------------------------+  （16 字节对齐）</w:t>
        <w:br/>
        <w:t>低地址</w:t>
      </w:r>
    </w:p>
    <w:p>
      <w:pPr/>
      <w:r>
        <w:t>break 跳转到当前循环结束标签，continue 跳转到底部条件标签。函数调用前先稳定所有实参，超过八个的部分按 ABI 写入调用者栈。返回统一跳转到函数尾声，保证寄存器和栈指针只恢复一次。</w:t>
      </w:r>
    </w:p>
    <w:p>
      <w:pPr>
        <w:pStyle w:val="Heading1"/>
      </w:pPr>
      <w:r>
        <w:t>7. 正确性与测试</w:t>
      </w:r>
    </w:p>
    <w:p>
      <w:pPr>
        <w:pStyle w:val="Heading2"/>
      </w:pPr>
      <w:r>
        <w:t>7.1 自动化测试</w:t>
      </w:r>
    </w:p>
    <w:p>
      <w:pPr/>
      <w:r>
        <w:t>仓库提供 make test、make check 和 tools/run_eval.py。make check 还会检查大循环生成的汇编保留运行时控制流和完整函数结构；端到端验证另外使用 GNU riscv64-linux-gnu-as/ld（RV32IM）与 qemu-riscv32 执行。基础用例覆盖全局/局部声明、表达式、控制流、递归和多参数调用。性能形状测试覆盖十亿级仿射循环、嵌套循环、周期分支和多参数函数。</w:t>
      </w:r>
    </w:p>
    <w:p>
      <w:pPr/>
      <w:r>
        <w:t>开发过程中还进行了以下验证：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c>
          <w:tcPr>
            <w:tcW w:type="dxa" w:w="3105"/>
            <w:shd w:fill="D9EAF7"/>
            <w:vAlign w:val="center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验证类型</w:t>
            </w:r>
          </w:p>
        </w:tc>
        <w:tc>
          <w:tcPr>
            <w:tcW w:type="dxa" w:w="3105"/>
            <w:shd w:fill="D9EAF7"/>
            <w:vAlign w:val="center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覆盖内容</w:t>
            </w:r>
          </w:p>
        </w:tc>
        <w:tc>
          <w:tcPr>
            <w:tcW w:type="dxa" w:w="3105"/>
            <w:shd w:fill="D9EAF7"/>
            <w:vAlign w:val="center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结果</w:t>
            </w:r>
          </w:p>
        </w:tc>
      </w:tr>
      <w:tr>
        <w:tc>
          <w:tcPr>
            <w:tcW w:type="dxa" w:w="310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严格编译</w:t>
            </w:r>
          </w:p>
        </w:tc>
        <w:tc>
          <w:tcPr>
            <w:tcW w:type="dxa" w:w="310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C++20、-Wall -Wextra -Werror -pedantic</w:t>
            </w:r>
          </w:p>
        </w:tc>
        <w:tc>
          <w:tcPr>
            <w:tcW w:type="dxa" w:w="310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通过</w:t>
            </w:r>
          </w:p>
        </w:tc>
      </w:tr>
      <w:tr>
        <w:tc>
          <w:tcPr>
            <w:tcW w:type="dxa" w:w="310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仓库样例</w:t>
            </w:r>
          </w:p>
        </w:tc>
        <w:tc>
          <w:tcPr>
            <w:tcW w:type="dxa" w:w="310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basic/control/functions，GCC 与真实 RV32 对照</w:t>
            </w:r>
          </w:p>
        </w:tc>
        <w:tc>
          <w:tcPr>
            <w:tcW w:type="dxa" w:w="310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92/25/165 一致</w:t>
            </w:r>
          </w:p>
        </w:tc>
      </w:tr>
      <w:tr>
        <w:tc>
          <w:tcPr>
            <w:tcW w:type="dxa" w:w="310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RV32 差分</w:t>
            </w:r>
          </w:p>
        </w:tc>
        <w:tc>
          <w:tcPr>
            <w:tcW w:type="dxa" w:w="310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9 个定向程序，与宿主 GCC 退出码对照</w:t>
            </w:r>
          </w:p>
        </w:tc>
        <w:tc>
          <w:tcPr>
            <w:tcW w:type="dxa" w:w="310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9/9 通过</w:t>
            </w:r>
          </w:p>
        </w:tc>
      </w:tr>
      <w:tr>
        <w:tc>
          <w:tcPr>
            <w:tcW w:type="dxa" w:w="310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语义覆盖</w:t>
            </w:r>
          </w:p>
        </w:tc>
        <w:tc>
          <w:tcPr>
            <w:tcW w:type="dxa" w:w="310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shadow、短路副作用、递归、11 参数、全局状态、除模循环</w:t>
            </w:r>
          </w:p>
        </w:tc>
        <w:tc>
          <w:tcPr>
            <w:tcW w:type="dxa" w:w="310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通过</w:t>
            </w:r>
          </w:p>
        </w:tc>
      </w:tr>
      <w:tr>
        <w:tc>
          <w:tcPr>
            <w:tcW w:type="dxa" w:w="310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代码形态</w:t>
            </w:r>
          </w:p>
        </w:tc>
        <w:tc>
          <w:tcPr>
            <w:tcW w:type="dxa" w:w="310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3 个大循环/嵌套/helper 用例</w:t>
            </w:r>
          </w:p>
        </w:tc>
        <w:tc>
          <w:tcPr>
            <w:tcW w:type="dxa" w:w="310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均生成运行时分支</w:t>
            </w:r>
          </w:p>
        </w:tc>
      </w:tr>
      <w:tr>
        <w:tc>
          <w:tcPr>
            <w:tcW w:type="dxa" w:w="310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编译流水线</w:t>
            </w:r>
          </w:p>
        </w:tc>
        <w:tc>
          <w:tcPr>
            <w:tcW w:type="dxa" w:w="310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SafeOptimizer -&gt; StaticAnalyzer -&gt; RangeAnalyzer -&gt; CodeGen</w:t>
            </w:r>
          </w:p>
        </w:tc>
        <w:tc>
          <w:tcPr>
            <w:tcW w:type="dxa" w:w="310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路径固定</w:t>
            </w:r>
          </w:p>
        </w:tc>
      </w:tr>
    </w:tbl>
    <w:p/>
    <w:p>
      <w:pPr/>
      <w:r>
        <w:t>上述扩展差分在开发环境执行，不是 OJ 构建依赖；所用汇编器为 GNU binutils 2.44，执行器为 QEMU 10.0.8。参考结果来自等价 C 程序或独立的 32 位整数 oracle，并比较完整返回值/退出码。</w:t>
      </w:r>
    </w:p>
    <w:p>
      <w:pPr>
        <w:pStyle w:val="Heading2"/>
      </w:pPr>
      <w:r>
        <w:t>7.2 需求覆盖矩阵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c>
          <w:tcPr>
            <w:tcW w:type="dxa" w:w="3105"/>
            <w:shd w:fill="D9EAF7"/>
            <w:vAlign w:val="center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规范要求</w:t>
            </w:r>
          </w:p>
        </w:tc>
        <w:tc>
          <w:tcPr>
            <w:tcW w:type="dxa" w:w="3105"/>
            <w:shd w:fill="D9EAF7"/>
            <w:vAlign w:val="center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实现位置/策略</w:t>
            </w:r>
          </w:p>
        </w:tc>
        <w:tc>
          <w:tcPr>
            <w:tcW w:type="dxa" w:w="3105"/>
            <w:shd w:fill="D9EAF7"/>
            <w:vAlign w:val="center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验证方式</w:t>
            </w:r>
          </w:p>
        </w:tc>
      </w:tr>
      <w:tr>
        <w:tc>
          <w:tcPr>
            <w:tcW w:type="dxa" w:w="310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stdin 输入、stdout 汇编</w:t>
            </w:r>
          </w:p>
        </w:tc>
        <w:tc>
          <w:tcPr>
            <w:tcW w:type="dxa" w:w="310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main 读取流并调用静态分析与 CodeGen</w:t>
            </w:r>
          </w:p>
        </w:tc>
        <w:tc>
          <w:tcPr>
            <w:tcW w:type="dxa" w:w="310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三个仓库样例</w:t>
            </w:r>
          </w:p>
        </w:tc>
      </w:tr>
      <w:tr>
        <w:tc>
          <w:tcPr>
            <w:tcW w:type="dxa" w:w="310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32 位 int 与常量初始化</w:t>
            </w:r>
          </w:p>
        </w:tc>
        <w:tc>
          <w:tcPr>
            <w:tcW w:type="dxa" w:w="310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wrap32、常量环境、RV32 指令</w:t>
            </w:r>
          </w:p>
        </w:tc>
        <w:tc>
          <w:tcPr>
            <w:tcW w:type="dxa" w:w="310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边界差分</w:t>
            </w:r>
          </w:p>
        </w:tc>
      </w:tr>
      <w:tr>
        <w:tc>
          <w:tcPr>
            <w:tcW w:type="dxa" w:w="310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块作用域与同名屏蔽</w:t>
            </w:r>
          </w:p>
        </w:tc>
        <w:tc>
          <w:tcPr>
            <w:tcW w:type="dxa" w:w="310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嵌套符号表、shadow DCE guard</w:t>
            </w:r>
          </w:p>
        </w:tc>
        <w:tc>
          <w:tcPr>
            <w:tcW w:type="dxa" w:w="310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定向 RV32 差分</w:t>
            </w:r>
          </w:p>
        </w:tc>
      </w:tr>
      <w:tr>
        <w:tc>
          <w:tcPr>
            <w:tcW w:type="dxa" w:w="310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if/while/break/continue</w:t>
            </w:r>
          </w:p>
        </w:tc>
        <w:tc>
          <w:tcPr>
            <w:tcW w:type="dxa" w:w="310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标签栈和直接条件分支</w:t>
            </w:r>
          </w:p>
        </w:tc>
        <w:tc>
          <w:tcPr>
            <w:tcW w:type="dxa" w:w="310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control.tc + 随机程序</w:t>
            </w:r>
          </w:p>
        </w:tc>
      </w:tr>
      <w:tr>
        <w:tc>
          <w:tcPr>
            <w:tcW w:type="dxa" w:w="310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int/void 函数与递归</w:t>
            </w:r>
          </w:p>
        </w:tc>
        <w:tc>
          <w:tcPr>
            <w:tcW w:type="dxa" w:w="310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函数表、ABI、尾调用转换</w:t>
            </w:r>
          </w:p>
        </w:tc>
        <w:tc>
          <w:tcPr>
            <w:tcW w:type="dxa" w:w="310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functions.tc</w:t>
            </w:r>
          </w:p>
        </w:tc>
      </w:tr>
      <w:tr>
        <w:tc>
          <w:tcPr>
            <w:tcW w:type="dxa" w:w="310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超过八个参数</w:t>
            </w:r>
          </w:p>
        </w:tc>
        <w:tc>
          <w:tcPr>
            <w:tcW w:type="dxa" w:w="310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a0-a7 + 调用者栈</w:t>
            </w:r>
          </w:p>
        </w:tc>
        <w:tc>
          <w:tcPr>
            <w:tcW w:type="dxa" w:w="310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12/30/40 参数压力测试</w:t>
            </w:r>
          </w:p>
        </w:tc>
      </w:tr>
    </w:tbl>
    <w:p/>
    <w:p>
      <w:pPr>
        <w:pStyle w:val="Heading2"/>
      </w:pPr>
      <w:r>
        <w:t>7.3 在线评测</w:t>
      </w:r>
    </w:p>
    <w:p>
      <w:pPr/>
      <w:r>
        <w:t>当前报告只记录静态编译流水线的结果。不同实现路径的历史成绩不作为本版本成绩；最终在线分数应在提交当前源码后按评测系统实际结果补填。现阶段本地严格构建、代码生成形态检查和 RV32 端到端样例均已通过。</w:t>
      </w:r>
    </w:p>
    <w:p>
      <w:pPr>
        <w:pStyle w:val="Heading1"/>
      </w:pPr>
      <w:r>
        <w:t>8. 构建与复现</w:t>
      </w:r>
    </w:p>
    <w:p>
      <w:pPr>
        <w:spacing w:before="80" w:after="160"/>
        <w:ind w:left="288" w:right="288"/>
        <w:shd w:fill="F2F4F7"/>
      </w:pPr>
      <w:r>
        <w:rPr>
          <w:rFonts w:ascii="Consolas" w:hAnsi="Consolas" w:eastAsia="Consolas"/>
          <w:sz w:val="18"/>
        </w:rPr>
        <w:t>make clean</w:t>
        <w:br/>
        <w:t>make</w:t>
        <w:br/>
        <w:t>make test</w:t>
        <w:br/>
        <w:t>make check</w:t>
        <w:br/>
        <w:t>./main &lt; tests/basic.tc &gt; basic.s</w:t>
        <w:br/>
        <w:t>./main -opt &lt; tests/control.tc &gt; control.s</w:t>
        <w:br/>
        <w:t>python3 tools/run_eval.py</w:t>
      </w:r>
    </w:p>
    <w:p>
      <w:pPr/>
      <w:r>
        <w:t>编译器只从 stdin 读取 ToyC，只向 stdout 输出汇编；诊断信息使用 stderr，符合评测接口约定。</w:t>
      </w:r>
    </w:p>
    <w:p>
      <w:pPr>
        <w:pStyle w:val="Heading1"/>
      </w:pPr>
      <w:r>
        <w:t>9. 问题分析与解决</w:t>
      </w:r>
    </w:p>
    <w:p>
      <w:pPr>
        <w:pStyle w:val="ListNumber"/>
      </w:pPr>
      <w:r>
        <w:t>多参数调用：前八个参数与栈上传参必须同时保持求值结果，最终通过统一的调用者临时区和对齐策略解决。</w:t>
      </w:r>
    </w:p>
    <w:p>
      <w:pPr>
        <w:pStyle w:val="ListNumber"/>
      </w:pPr>
      <w:r>
        <w:t>短路副作用：不能把 &amp;&amp;/|| 当普通二元运算，最终以真假标签递归生成。</w:t>
      </w:r>
    </w:p>
    <w:p>
      <w:pPr>
        <w:pStyle w:val="ListNumber"/>
      </w:pPr>
      <w:r>
        <w:t>大循环：通过循环深度加权寄存器分配、循环不变量外提、直接条件分支和安全的常量除模强度削弱减少每轮指令；不能证明安全时保留通用代码。</w:t>
      </w:r>
    </w:p>
    <w:p>
      <w:pPr>
        <w:pStyle w:val="ListNumber"/>
      </w:pPr>
      <w:r>
        <w:t>除模优化：magic-number 序列必须处理负被除数和 INT_MIN 边界，使用随机与边界差分验证商和余数。</w:t>
      </w:r>
    </w:p>
    <w:p>
      <w:pPr>
        <w:pStyle w:val="ListNumber"/>
      </w:pPr>
      <w:r>
        <w:t>作用域屏蔽：名称式 DCE 会混淆不同 binding，最终在证明条件不足时禁用该局部变换，优先保证语义正确。</w:t>
      </w:r>
    </w:p>
    <w:p>
      <w:pPr>
        <w:pStyle w:val="Heading1"/>
      </w:pPr>
      <w:r>
        <w:t>10. 小组分工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c>
          <w:tcPr>
            <w:tcW w:type="dxa" w:w="3105"/>
            <w:shd w:fill="D9EAF7"/>
            <w:vAlign w:val="center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成员</w:t>
            </w:r>
          </w:p>
        </w:tc>
        <w:tc>
          <w:tcPr>
            <w:tcW w:type="dxa" w:w="3105"/>
            <w:shd w:fill="D9EAF7"/>
            <w:vAlign w:val="center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学号</w:t>
            </w:r>
          </w:p>
        </w:tc>
        <w:tc>
          <w:tcPr>
            <w:tcW w:type="dxa" w:w="3105"/>
            <w:shd w:fill="D9EAF7"/>
            <w:vAlign w:val="center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主要工作</w:t>
            </w:r>
          </w:p>
        </w:tc>
      </w:tr>
      <w:tr>
        <w:tc>
          <w:tcPr>
            <w:tcW w:type="dxa" w:w="310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【填写】</w:t>
            </w:r>
          </w:p>
        </w:tc>
        <w:tc>
          <w:tcPr>
            <w:tcW w:type="dxa" w:w="310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【填写】</w:t>
            </w:r>
          </w:p>
        </w:tc>
        <w:tc>
          <w:tcPr>
            <w:tcW w:type="dxa" w:w="310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词法/语法分析与 AST</w:t>
            </w:r>
          </w:p>
        </w:tc>
      </w:tr>
      <w:tr>
        <w:tc>
          <w:tcPr>
            <w:tcW w:type="dxa" w:w="310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【填写】</w:t>
            </w:r>
          </w:p>
        </w:tc>
        <w:tc>
          <w:tcPr>
            <w:tcW w:type="dxa" w:w="310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【填写】</w:t>
            </w:r>
          </w:p>
        </w:tc>
        <w:tc>
          <w:tcPr>
            <w:tcW w:type="dxa" w:w="310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语义、作用域与中端优化</w:t>
            </w:r>
          </w:p>
        </w:tc>
      </w:tr>
      <w:tr>
        <w:tc>
          <w:tcPr>
            <w:tcW w:type="dxa" w:w="310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【填写】</w:t>
            </w:r>
          </w:p>
        </w:tc>
        <w:tc>
          <w:tcPr>
            <w:tcW w:type="dxa" w:w="310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【填写】</w:t>
            </w:r>
          </w:p>
        </w:tc>
        <w:tc>
          <w:tcPr>
            <w:tcW w:type="dxa" w:w="310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RISC-V32 后端与 ABI</w:t>
            </w:r>
          </w:p>
        </w:tc>
      </w:tr>
      <w:tr>
        <w:tc>
          <w:tcPr>
            <w:tcW w:type="dxa" w:w="310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【填写】</w:t>
            </w:r>
          </w:p>
        </w:tc>
        <w:tc>
          <w:tcPr>
            <w:tcW w:type="dxa" w:w="310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【填写】</w:t>
            </w:r>
          </w:p>
        </w:tc>
        <w:tc>
          <w:tcPr>
            <w:tcW w:type="dxa" w:w="310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测试、性能分析与报告</w:t>
            </w:r>
          </w:p>
        </w:tc>
      </w:tr>
    </w:tbl>
    <w:p/>
    <w:p>
      <w:pPr/>
      <w:r>
        <w:t>以上分工必须由小组按真实贡献在提交前确认，不能由代码仓库推断或代填。</w:t>
      </w:r>
    </w:p>
    <w:p>
      <w:pPr>
        <w:pStyle w:val="Heading1"/>
      </w:pPr>
      <w:r>
        <w:t>11. 总结与后续工作</w:t>
      </w:r>
    </w:p>
    <w:p>
      <w:pPr/>
      <w:r>
        <w:t>项目已完成 ToyC 前端、语义处理、优化管线和 RISC-V32 后端，并通过本地功能测试与 RV32 端到端样例。实现过程中坚持语义证明失败即回退，不使用外部编译器框架或隐藏用例特判。后续工作的重点是分析 p07_loop 的热点循环形态，继续改进静态循环分析和真实后端循环优化；同时应补充更多可复现的随机差分脚本，并由小组填写成员信息后提交最终报告。</w:t>
      </w:r>
    </w:p>
    <w:sectPr w:rsidR="00FC693F" w:rsidRPr="0006063C" w:rsidSect="00034616">
      <w:footerReference w:type="default" r:id="rId9"/>
      <w:pgSz w:w="11906" w:h="16838"/>
      <w:pgMar w:top="1224" w:right="1296" w:bottom="1224" w:left="1296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76" w:lineRule="auto"/>
    </w:pPr>
    <w:rPr>
      <w:rFonts w:ascii="宋体" w:hAnsi="宋体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 w:line="264" w:lineRule="auto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64" w:lineRule="auto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60" w:line="264" w:lineRule="auto"/>
      <w:contextualSpacing/>
    </w:pPr>
    <w:rPr>
      <w:rFonts w:ascii="宋体" w:hAnsi="宋体" w:eastAsia="宋体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60" w:line="264" w:lineRule="auto"/>
      <w:contextualSpacing/>
    </w:pPr>
    <w:rPr>
      <w:rFonts w:ascii="宋体" w:hAnsi="宋体" w:eastAsia="宋体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编译系统实践报告：ToyC 到 RISC-V32 汇编编译器</dc:title>
  <dc:subject>ToyC compiler design, optimization, and verification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