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Calibri" w:hAnsi="Calibri" w:eastAsia="Calibri"/>
          <w:b/>
          <w:color w:val="0B2545"/>
          <w:sz w:val="36"/>
        </w:rPr>
        <w:t>编译系统实践报告</w:t>
      </w:r>
    </w:p>
    <w:p>
      <w:pPr>
        <w:spacing w:after="360"/>
        <w:jc w:val="center"/>
      </w:pPr>
      <w:r>
        <w:rPr>
          <w:rFonts w:ascii="Calibri" w:hAnsi="Calibri" w:eastAsia="Calibri"/>
          <w:color w:val="555555"/>
          <w:sz w:val="24"/>
        </w:rPr>
        <w:t>ToyC 到 RISC-V32 汇编编译器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vAlign w:val="center"/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/>
                <w:sz w:val="21"/>
              </w:rPr>
              <w:t>课程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21"/>
              </w:rPr>
              <w:t>编译系统实践</w:t>
            </w:r>
          </w:p>
        </w:tc>
      </w:tr>
      <w:tr>
        <w:tc>
          <w:tcPr>
            <w:tcW w:type="dxa" w:w="2160"/>
            <w:vAlign w:val="center"/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/>
                <w:sz w:val="21"/>
              </w:rPr>
              <w:t>题目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21"/>
              </w:rPr>
              <w:t>ToyC 到 RISC-V32 汇编编译器</w:t>
            </w:r>
          </w:p>
        </w:tc>
      </w:tr>
      <w:tr>
        <w:tc>
          <w:tcPr>
            <w:tcW w:type="dxa" w:w="2160"/>
            <w:vAlign w:val="center"/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/>
                <w:sz w:val="21"/>
              </w:rPr>
              <w:t>姓名/学号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21"/>
              </w:rPr>
              <w:t>【请填写】</w:t>
            </w:r>
          </w:p>
        </w:tc>
      </w:tr>
      <w:tr>
        <w:tc>
          <w:tcPr>
            <w:tcW w:type="dxa" w:w="2160"/>
            <w:vAlign w:val="center"/>
            <w:shd w:fill="F2F4F7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/>
                <w:sz w:val="21"/>
              </w:rPr>
              <w:t>提交仓库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21"/>
              </w:rPr>
              <w:t>https://github.com/arisuntorch/toyc-compiler.git</w:t>
            </w:r>
          </w:p>
        </w:tc>
      </w:tr>
    </w:tbl>
    <w:p/>
    <w:p>
      <w:pPr>
        <w:pStyle w:val="Heading1"/>
      </w:pPr>
      <w:r>
        <w:t>1. 项目概述</w:t>
      </w:r>
    </w:p>
    <w:p>
      <w:pPr/>
      <w:r>
        <w:t>本项目实现了一个 ToyC 到 RISC-V32 汇编的编译器。编译器从标准输入读取 ToyC 源程序，经过词法分析、语法分析、语义环境维护和代码生成，最终向标准输出写出 RISC-V32 汇编程序。</w:t>
      </w:r>
    </w:p>
    <w:p>
      <w:pPr>
        <w:pStyle w:val="Heading1"/>
      </w:pPr>
      <w:r>
        <w:t>2. 总体架构</w:t>
      </w:r>
    </w:p>
    <w:p>
      <w:pPr/>
      <w:r>
        <w:t>编译器采用 C++20 实现，主要模块集中在 src/main.cpp：</w:t>
      </w:r>
    </w:p>
    <w:p>
      <w:pPr>
        <w:pStyle w:val="ListBullet"/>
      </w:pPr>
      <w:r>
        <w:rPr>
          <w:rFonts w:ascii="Calibri" w:hAnsi="Calibri" w:eastAsia="Calibri"/>
          <w:sz w:val="21"/>
        </w:rPr>
        <w:t>Lexer：识别关键字、标识符、整数、运算符、分隔符，并跳过空白和注释。</w:t>
      </w:r>
    </w:p>
    <w:p>
      <w:pPr>
        <w:pStyle w:val="ListBullet"/>
      </w:pPr>
      <w:r>
        <w:rPr>
          <w:rFonts w:ascii="Calibri" w:hAnsi="Calibri" w:eastAsia="Calibri"/>
          <w:sz w:val="21"/>
        </w:rPr>
        <w:t>Parser：使用递归下降分析 ToyC 文法，构造抽象语法树。</w:t>
      </w:r>
    </w:p>
    <w:p>
      <w:pPr>
        <w:pStyle w:val="ListBullet"/>
      </w:pPr>
      <w:r>
        <w:rPr>
          <w:rFonts w:ascii="Calibri" w:hAnsi="Calibri" w:eastAsia="Calibri"/>
          <w:sz w:val="21"/>
        </w:rPr>
        <w:t>AST：表示声明、函数、语句和表达式。</w:t>
      </w:r>
    </w:p>
    <w:p>
      <w:pPr>
        <w:pStyle w:val="ListBullet"/>
      </w:pPr>
      <w:r>
        <w:rPr>
          <w:rFonts w:ascii="Calibri" w:hAnsi="Calibri" w:eastAsia="Calibri"/>
          <w:sz w:val="21"/>
        </w:rPr>
        <w:t>CodeGen：维护符号表、作用域、常量值、栈帧布局，并生成 RISC-V32 汇编。</w:t>
      </w:r>
    </w:p>
    <w:p>
      <w:pPr>
        <w:pStyle w:val="Heading1"/>
      </w:pPr>
      <w:r>
        <w:t>3. 词法分析</w:t>
      </w:r>
    </w:p>
    <w:p>
      <w:pPr/>
      <w:r>
        <w:t>词法分析器支持 ToyC 语言中的关键字、标识符、十进制整数、算术运算符、关系运算符、逻辑运算符、括号、花括号、分号和逗号。空白字符、单行注释和多行注释会被忽略。</w:t>
      </w:r>
    </w:p>
    <w:p>
      <w:pPr>
        <w:pStyle w:val="Heading1"/>
      </w:pPr>
      <w:r>
        <w:t>4. 语法分析</w:t>
      </w:r>
    </w:p>
    <w:p>
      <w:pPr/>
      <w:r>
        <w:t>语法分析器采用递归下降方法。表达式部分按照优先级分层处理：</w:t>
      </w:r>
    </w:p>
    <w:p>
      <w:pPr>
        <w:pStyle w:val="ListNumber"/>
      </w:pPr>
      <w:r>
        <w:rPr>
          <w:rFonts w:ascii="Calibri" w:hAnsi="Calibri" w:eastAsia="Calibri"/>
          <w:sz w:val="21"/>
        </w:rPr>
        <w:t>逻辑或表达式。</w:t>
      </w:r>
    </w:p>
    <w:p>
      <w:pPr>
        <w:pStyle w:val="ListNumber"/>
      </w:pPr>
      <w:r>
        <w:rPr>
          <w:rFonts w:ascii="Calibri" w:hAnsi="Calibri" w:eastAsia="Calibri"/>
          <w:sz w:val="21"/>
        </w:rPr>
        <w:t>逻辑与表达式。</w:t>
      </w:r>
    </w:p>
    <w:p>
      <w:pPr>
        <w:pStyle w:val="ListNumber"/>
      </w:pPr>
      <w:r>
        <w:rPr>
          <w:rFonts w:ascii="Calibri" w:hAnsi="Calibri" w:eastAsia="Calibri"/>
          <w:sz w:val="21"/>
        </w:rPr>
        <w:t>关系和相等性表达式。</w:t>
      </w:r>
    </w:p>
    <w:p>
      <w:pPr>
        <w:pStyle w:val="ListNumber"/>
      </w:pPr>
      <w:r>
        <w:rPr>
          <w:rFonts w:ascii="Calibri" w:hAnsi="Calibri" w:eastAsia="Calibri"/>
          <w:sz w:val="21"/>
        </w:rPr>
        <w:t>加减表达式。</w:t>
      </w:r>
    </w:p>
    <w:p>
      <w:pPr>
        <w:pStyle w:val="ListNumber"/>
      </w:pPr>
      <w:r>
        <w:rPr>
          <w:rFonts w:ascii="Calibri" w:hAnsi="Calibri" w:eastAsia="Calibri"/>
          <w:sz w:val="21"/>
        </w:rPr>
        <w:t>乘除模表达式。</w:t>
      </w:r>
    </w:p>
    <w:p>
      <w:pPr>
        <w:pStyle w:val="ListNumber"/>
      </w:pPr>
      <w:r>
        <w:rPr>
          <w:rFonts w:ascii="Calibri" w:hAnsi="Calibri" w:eastAsia="Calibri"/>
          <w:sz w:val="21"/>
        </w:rPr>
        <w:t>一元表达式。</w:t>
      </w:r>
    </w:p>
    <w:p>
      <w:pPr>
        <w:pStyle w:val="ListNumber"/>
      </w:pPr>
      <w:r>
        <w:rPr>
          <w:rFonts w:ascii="Calibri" w:hAnsi="Calibri" w:eastAsia="Calibri"/>
          <w:sz w:val="21"/>
        </w:rPr>
        <w:t>基本表达式。</w:t>
      </w:r>
    </w:p>
    <w:p>
      <w:pPr/>
      <w:r>
        <w:t>这种结构直接对应 ToyC 文法，便于处理运算符优先级和左结合性。</w:t>
      </w:r>
    </w:p>
    <w:p>
      <w:pPr>
        <w:pStyle w:val="Heading1"/>
      </w:pPr>
      <w:r>
        <w:t>5. 语义处理</w:t>
      </w:r>
    </w:p>
    <w:p>
      <w:pPr/>
      <w:r>
        <w:t>编译器维护嵌套作用域符号表，用于区分局部变量、全局变量和常量。常量声明会在编译期求值，后续引用直接替换成立即数。局部变量和函数形参分配在函数栈帧中，全局变量分配在 .data 段。</w:t>
      </w:r>
    </w:p>
    <w:p>
      <w:pPr>
        <w:pStyle w:val="Heading1"/>
      </w:pPr>
      <w:r>
        <w:t>6. 代码生成</w:t>
      </w:r>
    </w:p>
    <w:p>
      <w:pPr/>
      <w:r>
        <w:t>代码生成目标为 RISC-V32 汇编。每个函数建立独立栈帧：</w:t>
      </w:r>
    </w:p>
    <w:p>
      <w:pPr>
        <w:pStyle w:val="ListBullet"/>
      </w:pPr>
      <w:r>
        <w:rPr>
          <w:rFonts w:ascii="Calibri" w:hAnsi="Calibri" w:eastAsia="Calibri"/>
          <w:sz w:val="21"/>
        </w:rPr>
        <w:t>ra 和旧 s0 保存在栈帧顶部。</w:t>
      </w:r>
    </w:p>
    <w:p>
      <w:pPr>
        <w:pStyle w:val="ListBullet"/>
      </w:pPr>
      <w:r>
        <w:rPr>
          <w:rFonts w:ascii="Calibri" w:hAnsi="Calibri" w:eastAsia="Calibri"/>
          <w:sz w:val="21"/>
        </w:rPr>
        <w:t>s0 作为帧指针。</w:t>
      </w:r>
    </w:p>
    <w:p>
      <w:pPr>
        <w:pStyle w:val="ListBullet"/>
      </w:pPr>
      <w:r>
        <w:rPr>
          <w:rFonts w:ascii="Calibri" w:hAnsi="Calibri" w:eastAsia="Calibri"/>
          <w:sz w:val="21"/>
        </w:rPr>
        <w:t>参数和局部变量使用相对 s0 的偏移访问。</w:t>
      </w:r>
    </w:p>
    <w:p>
      <w:pPr>
        <w:pStyle w:val="ListBullet"/>
      </w:pPr>
      <w:r>
        <w:rPr>
          <w:rFonts w:ascii="Calibri" w:hAnsi="Calibri" w:eastAsia="Calibri"/>
          <w:sz w:val="21"/>
        </w:rPr>
        <w:t>表达式结果统一放入 a0。</w:t>
      </w:r>
    </w:p>
    <w:p>
      <w:pPr/>
      <w:r>
        <w:t>函数调用按照 RISC-V 调用习惯处理，前八个参数放入 a0 到 a7，更多参数放到调用者栈上。</w:t>
      </w:r>
    </w:p>
    <w:p>
      <w:pPr>
        <w:pStyle w:val="Heading1"/>
      </w:pPr>
      <w:r>
        <w:t>7. 控制流</w:t>
      </w:r>
    </w:p>
    <w:p>
      <w:pPr/>
      <w:r>
        <w:t>if-else 和 while 使用自动生成的局部标签和条件跳转实现。break 跳转到当前循环结束标签，continue 跳转到当前循环条件判断标签。逻辑与和逻辑或使用短路求值生成，不会无条件计算右侧表达式。</w:t>
      </w:r>
    </w:p>
    <w:p>
      <w:pPr>
        <w:pStyle w:val="Heading1"/>
      </w:pPr>
      <w:r>
        <w:t>8. 优化实现</w:t>
      </w:r>
    </w:p>
    <w:p>
      <w:pPr/>
      <w:r>
        <w:t>当前实现以功能正确性为优先目标，同时实现了常量表达式折叠和部分立即数加减法优化。常量表达式在编译阶段求值，可以减少运行时指令数量；常见的变量加减小立即数会生成 addi 指令，避免不必要的压栈和二元运算序列。</w:t>
      </w:r>
    </w:p>
    <w:p>
      <w:pPr>
        <w:pStyle w:val="Heading1"/>
      </w:pPr>
      <w:r>
        <w:t>9. 测试</w:t>
      </w:r>
    </w:p>
    <w:p>
      <w:pPr/>
      <w:r>
        <w:t>项目包含三个基础测试：</w:t>
      </w:r>
    </w:p>
    <w:p>
      <w:pPr>
        <w:pStyle w:val="ListBullet"/>
      </w:pPr>
      <w:r>
        <w:rPr>
          <w:rFonts w:ascii="Calibri" w:hAnsi="Calibri" w:eastAsia="Calibri"/>
          <w:sz w:val="21"/>
        </w:rPr>
        <w:t>tests/basic.tc：测试全局变量、常量、算术表达式。</w:t>
      </w:r>
    </w:p>
    <w:p>
      <w:pPr>
        <w:pStyle w:val="ListBullet"/>
      </w:pPr>
      <w:r>
        <w:rPr>
          <w:rFonts w:ascii="Calibri" w:hAnsi="Calibri" w:eastAsia="Calibri"/>
          <w:sz w:val="21"/>
        </w:rPr>
        <w:t>tests/control.tc：测试循环、分支、break、continue 和逻辑表达式。</w:t>
      </w:r>
    </w:p>
    <w:p>
      <w:pPr>
        <w:pStyle w:val="ListBullet"/>
      </w:pPr>
      <w:r>
        <w:rPr>
          <w:rFonts w:ascii="Calibri" w:hAnsi="Calibri" w:eastAsia="Calibri"/>
          <w:sz w:val="21"/>
        </w:rPr>
        <w:t>tests/functions.tc：测试递归函数和超过八个参数的函数调用。</w:t>
      </w:r>
    </w:p>
    <w:p>
      <w:pPr/>
      <w:r>
        <w:t>本地使用 make clean &amp;&amp; make &amp;&amp; make test 完成构建和样例汇编生成验证。</w:t>
      </w:r>
    </w:p>
    <w:p>
      <w:pPr>
        <w:pStyle w:val="Heading1"/>
      </w:pPr>
      <w:r>
        <w:t>10. 后续优化方向</w:t>
      </w:r>
    </w:p>
    <w:p>
      <w:pPr>
        <w:pStyle w:val="ListBullet"/>
      </w:pPr>
      <w:r>
        <w:rPr>
          <w:rFonts w:ascii="Calibri" w:hAnsi="Calibri" w:eastAsia="Calibri"/>
          <w:sz w:val="21"/>
        </w:rPr>
        <w:t>更完整的常量传播。</w:t>
      </w:r>
    </w:p>
    <w:p>
      <w:pPr>
        <w:pStyle w:val="ListBullet"/>
      </w:pPr>
      <w:r>
        <w:rPr>
          <w:rFonts w:ascii="Calibri" w:hAnsi="Calibri" w:eastAsia="Calibri"/>
          <w:sz w:val="21"/>
        </w:rPr>
        <w:t>死代码删除。</w:t>
      </w:r>
    </w:p>
    <w:p>
      <w:pPr>
        <w:pStyle w:val="ListBullet"/>
      </w:pPr>
      <w:r>
        <w:rPr>
          <w:rFonts w:ascii="Calibri" w:hAnsi="Calibri" w:eastAsia="Calibri"/>
          <w:sz w:val="21"/>
        </w:rPr>
        <w:t>公共子表达式消除。</w:t>
      </w:r>
    </w:p>
    <w:p>
      <w:pPr>
        <w:pStyle w:val="ListBullet"/>
      </w:pPr>
      <w:r>
        <w:rPr>
          <w:rFonts w:ascii="Calibri" w:hAnsi="Calibri" w:eastAsia="Calibri"/>
          <w:sz w:val="21"/>
        </w:rPr>
        <w:t>更好的寄存器分配。</w:t>
      </w:r>
    </w:p>
    <w:p>
      <w:pPr>
        <w:pStyle w:val="Heading1"/>
      </w:pPr>
      <w:r>
        <w:t>11. 总结</w:t>
      </w:r>
    </w:p>
    <w:p>
      <w:pPr/>
      <w:r>
        <w:t>本项目完成了 ToyC 编译器的基本前端和后端，实现了从源程序到 RISC-V32 汇编的完整编译流程。整体实现以正确性和可维护性为优先目标，为后续性能优化预留了空间。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120" w:line="280" w:lineRule="auto"/>
      <w:contextualSpacing/>
    </w:pPr>
    <w:rPr>
      <w:rFonts w:ascii="Calibri" w:hAnsi="Calibri" w:eastAsia="Calibri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120" w:line="280" w:lineRule="auto"/>
      <w:contextualSpacing/>
    </w:pPr>
    <w:rPr>
      <w:rFonts w:ascii="Calibri" w:hAnsi="Calibri" w:eastAsia="Calibri"/>
      <w:color w:val="000000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