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6.png" ContentType="image/png"/>
  <Override PartName="/word/media/rId4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</w:t>
      </w:r>
      <w:r>
        <w:t xml:space="preserve"> </w:t>
      </w:r>
      <w:r>
        <w:t xml:space="preserve">the</w:t>
      </w:r>
      <w:r>
        <w:t xml:space="preserve"> </w:t>
      </w:r>
      <w:r>
        <w:t xml:space="preserve">system</w:t>
      </w:r>
      <w:r>
        <w:t xml:space="preserve"> </w:t>
      </w:r>
      <w:r>
        <w:t xml:space="preserve">behaves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</w:p>
    <w:p>
      <w:pPr>
        <w:pStyle w:val="FirstParagraph"/>
      </w:pPr>
      <w:r>
        <w:t xml:space="preserve">The system builds a database from documents with an LLM. Before queries arrive, it reads every document once for the</w:t>
      </w:r>
      <w:r>
        <w:t xml:space="preserve"> </w:t>
      </w:r>
      <w:r>
        <w:t xml:space="preserve">columns its known workload uses (the</w:t>
      </w:r>
      <w:r>
        <w:t xml:space="preserve"> </w:t>
      </w:r>
      <w:r>
        <w:rPr>
          <w:iCs/>
          <w:i/>
        </w:rPr>
        <w:t xml:space="preserve">build</w:t>
      </w:r>
      <w:r>
        <w:t xml:space="preserve">). When a later query needs a column the build skipped, it extracts that</w:t>
      </w:r>
      <w:r>
        <w:t xml:space="preserve"> </w:t>
      </w:r>
      <w:r>
        <w:t xml:space="preserve">column</w:t>
      </w:r>
      <w:r>
        <w:t xml:space="preserve"> </w:t>
      </w:r>
      <w:r>
        <w:rPr>
          <w:iCs/>
          <w:i/>
        </w:rPr>
        <w:t xml:space="preserve">on demand</w:t>
      </w:r>
      <w:r>
        <w:t xml:space="preserve">, only for the documents the query can select, and keeps the result for later queries.</w:t>
      </w:r>
      <w:r>
        <w:t xml:space="preserve"> </w:t>
      </w:r>
      <w:r>
        <w:rPr>
          <w:iCs/>
          <w:i/>
        </w:rPr>
        <w:t xml:space="preserve">Workload</w:t>
      </w:r>
      <w:r>
        <w:rPr>
          <w:iCs/>
          <w:i/>
        </w:rPr>
        <w:t xml:space="preserve"> </w:t>
      </w:r>
      <w:r>
        <w:rPr>
          <w:iCs/>
          <w:i/>
        </w:rPr>
        <w:t xml:space="preserve">drift</w:t>
      </w:r>
      <w:r>
        <w:t xml:space="preserve"> </w:t>
      </w:r>
      <w:r>
        <w:t xml:space="preserve">of p% means that p% of the columns needed by the test queries were left out of the build. We use five corpora</w:t>
      </w:r>
      <w:r>
        <w:t xml:space="preserve"> </w:t>
      </w:r>
      <w:r>
        <w:t xml:space="preserve">(research papers, basketball players, artists, medical documents and court judgments), Qwen 2.5 7B as the main model,</w:t>
      </w:r>
      <w:r>
        <w:t xml:space="preserve"> </w:t>
      </w:r>
      <w:r>
        <w:t xml:space="preserve">and Qwen 2.5 32B for some comparisons. A query’s score is the product of structure F2 and cell F1, averaged over</w:t>
      </w:r>
      <w:r>
        <w:t xml:space="preserve"> </w:t>
      </w:r>
      <w:r>
        <w:t xml:space="preserve">queries.</w:t>
      </w:r>
    </w:p>
    <w:p>
      <w:pPr>
        <w:pStyle w:val="BodyText"/>
      </w:pPr>
      <w:r>
        <w:t xml:space="preserve">The sections below take the main observations from the experiments and ask why each one holds, starting with the</w:t>
      </w:r>
      <w:r>
        <w:t xml:space="preserve"> </w:t>
      </w:r>
      <w:r>
        <w:t xml:space="preserve">ones that matter most.</w:t>
      </w:r>
    </w:p>
    <w:bookmarkStart w:id="23" w:name="X0ff75b70ab3ad4306ac0f9420f926c1b1fe798a"/>
    <w:p>
      <w:pPr>
        <w:pStyle w:val="Heading1"/>
      </w:pPr>
      <w:r>
        <w:t xml:space="preserve">Why does on-demand extraction match the accuracy of extracting everything up front?</w:t>
      </w:r>
    </w:p>
    <w:p>
      <w:pPr>
        <w:pStyle w:val="FirstParagraph"/>
      </w:pPr>
      <w:r>
        <w:rPr>
          <w:bCs/>
          <w:b/>
        </w:rPr>
        <w:t xml:space="preserve">Extraction timing turns out to be irrelevant; what matters is the prompt.</w:t>
      </w:r>
      <w:r>
        <w:t xml:space="preserve"> </w:t>
      </w:r>
      <w:r>
        <w:t xml:space="preserve">Drift only changes which prompt reads a</w:t>
      </w:r>
      <w:r>
        <w:t xml:space="preserve"> </w:t>
      </w:r>
      <w:r>
        <w:t xml:space="preserve">column: the build asks for all of a table’s new columns at once, while an on-demand extraction asks for one to three.</w:t>
      </w:r>
      <w:r>
        <w:t xml:space="preserve"> </w:t>
      </w:r>
      <w:r>
        <w:t xml:space="preserve">To test this we re-ran the fully drifted workloads with every on-demand extraction given exactly the build’s prompt.</w:t>
      </w:r>
      <w:r>
        <w:t xml:space="preserve"> </w:t>
      </w:r>
      <w:r>
        <w:rPr>
          <w:bCs/>
          <w:b/>
        </w:rPr>
        <w:t xml:space="preserve">396 of the 397 queries then scored the same as when everything was extracted up front.</w:t>
      </w:r>
      <w:r>
        <w:t xml:space="preserve"> </w:t>
      </w:r>
      <w:r>
        <w:t xml:space="preserve">The remaining query differs</w:t>
      </w:r>
      <w:r>
        <w:t xml:space="preserve"> </w:t>
      </w:r>
      <w:r>
        <w:t xml:space="preserve">because of how values are mapped to the workload’s vocabulary when results are served, not because of extraction.</w:t>
      </w:r>
    </w:p>
    <w:p>
      <w:pPr>
        <w:pStyle w:val="BodyText"/>
      </w:pPr>
      <w:r>
        <w:t xml:space="preserve">The small gaps we saw earlier between up-front and on-demand scores are therefore prompt effects. With the 7B model</w:t>
      </w:r>
      <w:r>
        <w:t xml:space="preserve"> </w:t>
      </w:r>
      <w:r>
        <w:t xml:space="preserve">they are too small to be significant. With the 32B model they are not: on research papers the on-demand score is 0.062</w:t>
      </w:r>
      <w:r>
        <w:t xml:space="preserve"> </w:t>
      </w:r>
      <w:r>
        <w:t xml:space="preserve">higher, and almost all of it comes from one column, whether a method uses single-hop or multi-hop reasoning. Asked</w:t>
      </w:r>
      <w:r>
        <w:t xml:space="preserve"> </w:t>
      </w:r>
      <w:r>
        <w:t xml:space="preserve">together with six other columns, the model leaves it empty for 64% of papers; asked alone, it fills it for 98%.</w:t>
      </w:r>
    </w:p>
    <w:p>
      <w:pPr>
        <w:pStyle w:val="CaptionedFigure"/>
      </w:pPr>
      <w:r>
        <w:drawing>
          <wp:inline>
            <wp:extent cx="5334000" cy="2240280"/>
            <wp:effectExtent b="0" l="0" r="0" t="0"/>
            <wp:docPr descr="Figure 1. Scores with everything extracted up front, with on-demand extraction, and with on-demand extraction using the build’s prompt." title="" id="21" name="Picture"/>
            <a:graphic>
              <a:graphicData uri="http://schemas.openxmlformats.org/drawingml/2006/picture">
                <pic:pic>
                  <pic:nvPicPr>
                    <pic:cNvPr descr="figures/w1_when_vs_h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Scores with everything extracted up front, with on-demand extraction, and with on-demand extraction using</w:t>
      </w:r>
      <w:r>
        <w:t xml:space="preserve"> </w:t>
      </w:r>
      <w:r>
        <w:t xml:space="preserve">the build’s prompt.</w:t>
      </w:r>
    </w:p>
    <w:p>
      <w:pPr>
        <w:pStyle w:val="BodyText"/>
      </w:pPr>
      <w:r>
        <w:t xml:space="preserve">This holds on three corpora with the 7B model and on two with the 32B model. The same test on the medical and legal</w:t>
      </w:r>
      <w:r>
        <w:t xml:space="preserve"> </w:t>
      </w:r>
      <w:r>
        <w:t xml:space="preserve">corpora is still running. In practice, a system can defer extraction without losing accuracy, and the thing to</w:t>
      </w:r>
      <w:r>
        <w:t xml:space="preserve"> </w:t>
      </w:r>
      <w:r>
        <w:t xml:space="preserve">control is prompt design.</w:t>
      </w:r>
    </w:p>
    <w:bookmarkEnd w:id="23"/>
    <w:bookmarkStart w:id="27" w:name="X97ef73342c3aa52f2965853d00535c9d087abef"/>
    <w:p>
      <w:pPr>
        <w:pStyle w:val="Heading1"/>
      </w:pPr>
      <w:r>
        <w:t xml:space="preserve">Why is reading a column up front so much cheaper than extracting it later?</w:t>
      </w:r>
    </w:p>
    <w:p>
      <w:pPr>
        <w:pStyle w:val="FirstParagraph"/>
      </w:pPr>
      <w:r>
        <w:t xml:space="preserve">Anticipating a column costs 2.7 to 5.9 times less than extracting it on demand, and the</w:t>
      </w:r>
      <w:r>
        <w:t xml:space="preserve"> </w:t>
      </w:r>
      <w:r>
        <w:rPr>
          <w:iCs/>
          <w:i/>
        </w:rPr>
        <w:t xml:space="preserve">break-even probability</w:t>
      </w:r>
      <w:r>
        <w:t xml:space="preserve"> </w:t>
      </w:r>
      <w:r>
        <w:t xml:space="preserve">(the</w:t>
      </w:r>
      <w:r>
        <w:t xml:space="preserve"> </w:t>
      </w:r>
      <w:r>
        <w:t xml:space="preserve">chance a future query needs a column above which it is worth reading up front) ranges from 1.3% to 13%.</w:t>
      </w:r>
      <w:r>
        <w:t xml:space="preserve"> </w:t>
      </w:r>
      <w:r>
        <w:rPr>
          <w:bCs/>
          <w:b/>
        </w:rPr>
        <w:t xml:space="preserve">Both follow</w:t>
      </w:r>
      <w:r>
        <w:rPr>
          <w:bCs/>
          <w:b/>
        </w:rPr>
        <w:t xml:space="preserve"> </w:t>
      </w:r>
      <w:r>
        <w:rPr>
          <w:bCs/>
          <w:b/>
        </w:rPr>
        <w:t xml:space="preserve">from where the tokens go: every extraction prompt contains the whole document.</w:t>
      </w:r>
      <w:r>
        <w:t xml:space="preserve"> </w:t>
      </w:r>
      <w:r>
        <w:t xml:space="preserve">Adding one column to a build prompt</w:t>
      </w:r>
      <w:r>
        <w:t xml:space="preserve"> </w:t>
      </w:r>
      <w:r>
        <w:t xml:space="preserve">that is sent anyway costs only the column’s description and its answer, 84 tokens at the median. Extracting the</w:t>
      </w:r>
      <w:r>
        <w:t xml:space="preserve"> </w:t>
      </w:r>
      <w:r>
        <w:t xml:space="preserve">column later pays for the document again, a median of 745 to 9,537 tokens depending on the corpus, plus 66 tokens of</w:t>
      </w:r>
      <w:r>
        <w:t xml:space="preserve"> </w:t>
      </w:r>
      <w:r>
        <w:t xml:space="preserve">instructions. The break-even probability should then be close to the ratio of description tokens to document tokens.</w:t>
      </w:r>
    </w:p>
    <w:p>
      <w:pPr>
        <w:pStyle w:val="BodyText"/>
      </w:pPr>
      <w:r>
        <w:rPr>
          <w:bCs/>
          <w:b/>
        </w:rPr>
        <w:t xml:space="preserve">A model built only from these token counts predicts the measured break-even within about 30% on every corpus</w:t>
      </w:r>
      <w:r>
        <w:t xml:space="preserve"> </w:t>
      </w:r>
      <w:r>
        <w:t xml:space="preserve">and</w:t>
      </w:r>
      <w:r>
        <w:t xml:space="preserve"> </w:t>
      </w:r>
      <w:r>
        <w:t xml:space="preserve">puts the corpora in the right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document (tokens)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Basketball players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Court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</w:tbl>
    <w:p>
      <w:pPr>
        <w:pStyle w:val="BodyText"/>
      </w:pPr>
      <w:r>
        <w:t xml:space="preserve">On papers and artists the measured value is higher than predicted because on-demand extractions there read only the</w:t>
      </w:r>
      <w:r>
        <w:t xml:space="preserve"> </w:t>
      </w:r>
      <w:r>
        <w:t xml:space="preserve">documents a query’s filters select, which the model ignores.</w:t>
      </w:r>
    </w:p>
    <w:p>
      <w:pPr>
        <w:pStyle w:val="CaptionedFigure"/>
      </w:pPr>
      <w:r>
        <w:drawing>
          <wp:inline>
            <wp:extent cx="5334000" cy="2085109"/>
            <wp:effectExtent b="0" l="0" r="0" t="0"/>
            <wp:docPr descr="Figure 2. Left: composition of one extraction prompt at each corpus’s median document length. Right: predicted and measured break-even probability." title="" id="25" name="Picture"/>
            <a:graphic>
              <a:graphicData uri="http://schemas.openxmlformats.org/drawingml/2006/picture">
                <pic:pic>
                  <pic:nvPicPr>
                    <pic:cNvPr descr="figures/w2_cost_mechanis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Left: composition of one extraction prompt at each corpus’s median document length. Right: predicted and</w:t>
      </w:r>
      <w:r>
        <w:t xml:space="preserve"> </w:t>
      </w:r>
      <w:r>
        <w:t xml:space="preserve">measured break-even probability.</w:t>
      </w:r>
    </w:p>
    <w:p>
      <w:pPr>
        <w:pStyle w:val="BodyText"/>
      </w:pPr>
      <w:r>
        <w:t xml:space="preserve">For corpora with long documents this means almost any plausibly useful column is worth extracting up front, since the</w:t>
      </w:r>
      <w:r>
        <w:t xml:space="preserve"> </w:t>
      </w:r>
      <w:r>
        <w:t xml:space="preserve">threshold is around 2%. For short documents it is closer to 10%, and that is where knowing the workload saves the</w:t>
      </w:r>
      <w:r>
        <w:t xml:space="preserve"> </w:t>
      </w:r>
      <w:r>
        <w:t xml:space="preserve">most.</w:t>
      </w:r>
    </w:p>
    <w:bookmarkEnd w:id="27"/>
    <w:bookmarkStart w:id="31" w:name="X8d33c7e4010610f0e71f57229664c1d470db2b4"/>
    <w:p>
      <w:pPr>
        <w:pStyle w:val="Heading1"/>
      </w:pPr>
      <w:r>
        <w:t xml:space="preserve">Why can’t a budget policy beat extracting whatever fits, first come, first served?</w:t>
      </w:r>
    </w:p>
    <w:p>
      <w:pPr>
        <w:pStyle w:val="FirstParagraph"/>
      </w:pPr>
      <w:r>
        <w:t xml:space="preserve">We tried pacing the budget, capping any single extraction, skipping extractions that bought nothing in hindsight, and</w:t>
      </w:r>
      <w:r>
        <w:t xml:space="preserve"> </w:t>
      </w:r>
      <w:r>
        <w:t xml:space="preserve">an offline plan that knew the whole workload in advance. None was reliably better than first come, first served.</w:t>
      </w:r>
      <w:r>
        <w:t xml:space="preserve"> </w:t>
      </w:r>
      <w:r>
        <w:rPr>
          <w:bCs/>
          <w:b/>
        </w:rPr>
        <w:t xml:space="preserve">The main reason is that an extraction’s value mostly arrives later.</w:t>
      </w:r>
      <w:r>
        <w:t xml:space="preserve"> </w:t>
      </w:r>
      <w:r>
        <w:t xml:space="preserve">Across the five corpora, 54% to 97% of the</w:t>
      </w:r>
      <w:r>
        <w:t xml:space="preserve"> </w:t>
      </w:r>
      <w:r>
        <w:t xml:space="preserve">score gain from an extraction goes to later queries that reuse the column, rather than to the query that triggered it</w:t>
      </w:r>
      <w:r>
        <w:t xml:space="preserve"> </w:t>
      </w:r>
      <w:r>
        <w:t xml:space="preserve">(97% on research papers, 54% on court judgments). Several extractions do nothing for their own query and a lot for</w:t>
      </w:r>
      <w:r>
        <w:t xml:space="preserve"> </w:t>
      </w:r>
      <w:r>
        <w:t xml:space="preserve">later ones. A policy deciding when a query arrives cannot see this.</w:t>
      </w:r>
    </w:p>
    <w:p>
      <w:pPr>
        <w:pStyle w:val="CaptionedFigure"/>
      </w:pPr>
      <w:r>
        <w:drawing>
          <wp:inline>
            <wp:extent cx="5334000" cy="2021305"/>
            <wp:effectExtent b="0" l="0" r="0" t="0"/>
            <wp:docPr descr="Figure 3. Share of each extraction’s score gain that goes to its own query and to later queries." title="" id="29" name="Picture"/>
            <a:graphic>
              <a:graphicData uri="http://schemas.openxmlformats.org/drawingml/2006/picture">
                <pic:pic>
                  <pic:nvPicPr>
                    <pic:cNvPr descr="figures/w3_value_tim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Share of each extraction’s score gain that goes to its own query and to later</w:t>
      </w:r>
      <w:r>
        <w:t xml:space="preserve"> </w:t>
      </w:r>
      <w:r>
        <w:t xml:space="preserve">queries.</w:t>
      </w:r>
    </w:p>
    <w:p>
      <w:pPr>
        <w:pStyle w:val="BodyText"/>
      </w:pPr>
      <w:r>
        <w:t xml:space="preserve">The offline plan fails for an additional reason: an extraction’s cost depends on what was extracted before it. Earlier</w:t>
      </w:r>
      <w:r>
        <w:t xml:space="preserve"> </w:t>
      </w:r>
      <w:r>
        <w:t xml:space="preserve">extractions make filter columns available, which narrows the documents later extractions read. Under first come, first</w:t>
      </w:r>
      <w:r>
        <w:t xml:space="preserve"> </w:t>
      </w:r>
      <w:r>
        <w:t xml:space="preserve">served the same query almost always costs the same as without a budget (94% to 100% of cases), but once the plan</w:t>
      </w:r>
      <w:r>
        <w:t xml:space="preserve"> </w:t>
      </w:r>
      <w:r>
        <w:t xml:space="preserve">removes an extraction’s predecessors its cost can jump. In one case it went from 1 document to 29 and no longer fit.</w:t>
      </w:r>
    </w:p>
    <w:p>
      <w:pPr>
        <w:pStyle w:val="BodyText"/>
      </w:pPr>
      <w:r>
        <w:t xml:space="preserve">So budgeted extraction is a sequential problem in which value is deferred and shared between queries. A useful policy</w:t>
      </w:r>
      <w:r>
        <w:t xml:space="preserve"> </w:t>
      </w:r>
      <w:r>
        <w:t xml:space="preserve">would need to forecast which columns future queries will use; estimating each extraction’s value on its own is not</w:t>
      </w:r>
      <w:r>
        <w:t xml:space="preserve"> </w:t>
      </w:r>
      <w:r>
        <w:t xml:space="preserve">enough. The policy comparison covers three corpora so far, with medical and legal still running, and we do not yet</w:t>
      </w:r>
      <w:r>
        <w:t xml:space="preserve"> </w:t>
      </w:r>
      <w:r>
        <w:t xml:space="preserve">have a true upper bound for budget policies.</w:t>
      </w:r>
    </w:p>
    <w:bookmarkEnd w:id="31"/>
    <w:bookmarkStart w:id="35" w:name="X88548670784a613c2590b69f6231fd2908a553f"/>
    <w:p>
      <w:pPr>
        <w:pStyle w:val="Heading1"/>
      </w:pPr>
      <w:r>
        <w:t xml:space="preserve">Why do field descriptions matter more than anything else we changed?</w:t>
      </w:r>
    </w:p>
    <w:p>
      <w:pPr>
        <w:pStyle w:val="FirstParagraph"/>
      </w:pPr>
      <w:r>
        <w:rPr>
          <w:bCs/>
          <w:b/>
        </w:rPr>
        <w:t xml:space="preserve">Most extraction errors come from the specification rather than from reading.</w:t>
      </w:r>
      <w:r>
        <w:t xml:space="preserve"> </w:t>
      </w:r>
      <w:r>
        <w:t xml:space="preserve">Given only a column name, the model</w:t>
      </w:r>
      <w:r>
        <w:t xml:space="preserve"> </w:t>
      </w:r>
      <w:r>
        <w:t xml:space="preserve">often does not know what to write, whether that is a count, a list of years, or a date in a particular format. It</w:t>
      </w:r>
      <w:r>
        <w:t xml:space="preserve"> </w:t>
      </w:r>
      <w:r>
        <w:t xml:space="preserve">leaves the cell empty or writes the value in another form. Without descriptions in the on-demand prompts, a count of</w:t>
      </w:r>
      <w:r>
        <w:t xml:space="preserve"> </w:t>
      </w:r>
      <w:r>
        <w:t xml:space="preserve">FIBA World Cup appearances falls from 0.86 to 0.01 correct because the model leaves it empty. An artist’s award count</w:t>
      </w:r>
      <w:r>
        <w:t xml:space="preserve"> </w:t>
      </w:r>
      <w:r>
        <w:t xml:space="preserve">falls from 0.74 to 0.06, and birth dates from 0.38 to 0.00 because they come back in a different format.</w:t>
      </w:r>
      <w:r>
        <w:t xml:space="preserve"> </w:t>
      </w:r>
      <w:r>
        <w:rPr>
          <w:bCs/>
          <w:b/>
        </w:rPr>
        <w:t xml:space="preserve">Adding the</w:t>
      </w:r>
      <w:r>
        <w:rPr>
          <w:bCs/>
          <w:b/>
        </w:rPr>
        <w:t xml:space="preserve"> </w:t>
      </w:r>
      <w:r>
        <w:rPr>
          <w:bCs/>
          <w:b/>
        </w:rPr>
        <w:t xml:space="preserve">benchmark’s descriptions to a single extraction pass raised its score from 0.234 to 0.560, the largest effect in the</w:t>
      </w:r>
      <w:r>
        <w:rPr>
          <w:bCs/>
          <w:b/>
        </w:rPr>
        <w:t xml:space="preserve"> </w:t>
      </w:r>
      <w:r>
        <w:rPr>
          <w:bCs/>
          <w:b/>
        </w:rPr>
        <w:t xml:space="preserve">whole study.</w:t>
      </w:r>
    </w:p>
    <w:p>
      <w:pPr>
        <w:pStyle w:val="CaptionedFigure"/>
      </w:pPr>
      <w:r>
        <w:drawing>
          <wp:inline>
            <wp:extent cx="5334000" cy="2189747"/>
            <wp:effectExtent b="0" l="0" r="0" t="0"/>
            <wp:docPr descr="Figure 4. Share of cells correct with and without field descriptions." title="" id="33" name="Picture"/>
            <a:graphic>
              <a:graphicData uri="http://schemas.openxmlformats.org/drawingml/2006/picture">
                <pic:pic>
                  <pic:nvPicPr>
                    <pic:cNvPr descr="figures/w6_specific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Share of cells correct with and without field descriptions.</w:t>
      </w:r>
    </w:p>
    <w:p>
      <w:pPr>
        <w:pStyle w:val="BodyText"/>
      </w:pPr>
      <w:r>
        <w:t xml:space="preserve">The same problem shows up in values that are right in substance but wrong in form. On one artist column, values agree</w:t>
      </w:r>
      <w:r>
        <w:t xml:space="preserve"> </w:t>
      </w:r>
      <w:r>
        <w:t xml:space="preserve">with the gold data 92% of the time if we ignore case, punctuation and list order, but only 13% of the time exactly,</w:t>
      </w:r>
      <w:r>
        <w:t xml:space="preserve"> </w:t>
      </w:r>
      <w:r>
        <w:t xml:space="preserve">and a GROUP BY needs the exact form. The evidence here comes from cell-level comparisons. We have not yet run the</w:t>
      </w:r>
      <w:r>
        <w:t xml:space="preserve"> </w:t>
      </w:r>
      <w:r>
        <w:t xml:space="preserve">causal test of rewriting ambiguous descriptions and measuring the gain.</w:t>
      </w:r>
    </w:p>
    <w:bookmarkEnd w:id="35"/>
    <w:bookmarkStart w:id="39" w:name="X732acf2ae867a4468d7656a751557829cb16487"/>
    <w:p>
      <w:pPr>
        <w:pStyle w:val="Heading1"/>
      </w:pPr>
      <w:r>
        <w:t xml:space="preserve">Why are some columns, and some corpora, so sensitive to the prompt?</w:t>
      </w:r>
    </w:p>
    <w:p>
      <w:pPr>
        <w:pStyle w:val="FirstParagraph"/>
      </w:pPr>
      <w:r>
        <w:t xml:space="preserve">When a document states a value plainly, as with a number or a yes/no answer, any reasonable prompt returns it.</w:t>
      </w:r>
      <w:r>
        <w:t xml:space="preserve"> </w:t>
      </w:r>
      <w:r>
        <w:rPr>
          <w:bCs/>
          <w:b/>
        </w:rPr>
        <w:t xml:space="preserve">When</w:t>
      </w:r>
      <w:r>
        <w:rPr>
          <w:bCs/>
          <w:b/>
        </w:rPr>
        <w:t xml:space="preserve"> </w:t>
      </w:r>
      <w:r>
        <w:rPr>
          <w:bCs/>
          <w:b/>
        </w:rPr>
        <w:t xml:space="preserve">the document does not settle the answer, the prompt decides.</w:t>
      </w:r>
      <w:r>
        <w:t xml:space="preserve"> </w:t>
      </w:r>
      <w:r>
        <w:t xml:space="preserve">Examples are a disease’s causes, a party’s status, or a</w:t>
      </w:r>
      <w:r>
        <w:t xml:space="preserve"> </w:t>
      </w:r>
      <w:r>
        <w:t xml:space="preserve">value the document never mentions. The prompt decides through how readily the model leaves a cell empty and through</w:t>
      </w:r>
      <w:r>
        <w:t xml:space="preserve"> </w:t>
      </w:r>
      <w:r>
        <w:t xml:space="preserve">the example values it shows.</w:t>
      </w:r>
    </w:p>
    <w:p>
      <w:pPr>
        <w:pStyle w:val="BodyText"/>
      </w:pPr>
      <w:r>
        <w:t xml:space="preserve">We measured, for each column the test queries need, how often the build’s prompt and the on-demand prompt give</w:t>
      </w:r>
      <w:r>
        <w:t xml:space="preserve"> </w:t>
      </w:r>
      <w:r>
        <w:t xml:space="preserve">different values for the same document.</w:t>
      </w:r>
      <w:r>
        <w:t xml:space="preserve"> </w:t>
      </w:r>
      <w:r>
        <w:rPr>
          <w:bCs/>
          <w:b/>
        </w:rPr>
        <w:t xml:space="preserve">Across 41 columns this disagreement is a strong predictor of error</w:t>
      </w:r>
      <w:r>
        <w:rPr>
          <w:bCs/>
          <w:b/>
        </w:rPr>
        <w:t xml:space="preserve"> </w:t>
      </w:r>
      <w:r>
        <w:rPr>
          <w:bCs/>
          <w:b/>
        </w:rPr>
        <w:t xml:space="preserve">(Spearman −0.76).</w:t>
      </w:r>
      <w:r>
        <w:t xml:space="preserve"> </w:t>
      </w:r>
      <w:r>
        <w:t xml:space="preserve">Numbers disagree on 9% of cells, yes/no columns on 24%, free text on 47% and categories on 60%. No</w:t>
      </w:r>
      <w:r>
        <w:t xml:space="preserve"> </w:t>
      </w:r>
      <w:r>
        <w:t xml:space="preserve">column with more than about 55% disagreement is right more than 60% of the time. The reverse does not hold: some</w:t>
      </w:r>
      <w:r>
        <w:t xml:space="preserve"> </w:t>
      </w:r>
      <w:r>
        <w:t xml:space="preserve">columns are consistent and still wrong because both prompts make the same formatting error.</w:t>
      </w:r>
    </w:p>
    <w:p>
      <w:pPr>
        <w:pStyle w:val="CaptionedFigure"/>
      </w:pPr>
      <w:r>
        <w:drawing>
          <wp:inline>
            <wp:extent cx="5334000" cy="2582778"/>
            <wp:effectExtent b="0" l="0" r="0" t="0"/>
            <wp:docPr descr="Figure 5. Disagreement between two prompts against accuracy, one point per column." title="" id="37" name="Picture"/>
            <a:graphic>
              <a:graphicData uri="http://schemas.openxmlformats.org/drawingml/2006/picture">
                <pic:pic>
                  <pic:nvPicPr>
                    <pic:cNvPr descr="figures/w4_determinac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Disagreement between two prompts against accuracy, one point per column.</w:t>
      </w:r>
    </w:p>
    <w:p>
      <w:pPr>
        <w:pStyle w:val="BodyText"/>
      </w:pPr>
      <w:r>
        <w:t xml:space="preserve">The medical corpus, whose columns are mostly descriptive judgments, stands out. Its two prompts disagree on 75% of</w:t>
      </w:r>
      <w:r>
        <w:t xml:space="preserve"> </w:t>
      </w:r>
      <w:r>
        <w:t xml:space="preserve">cells, against 28% to 34% for papers, artists and court judgments and 10% for basketball players. Document length</w:t>
      </w:r>
      <w:r>
        <w:t xml:space="preserve"> </w:t>
      </w:r>
      <w:r>
        <w:t xml:space="preserve">does not explain this; on the earlier version of the medical and legal queries, prompts disagreed about as often on</w:t>
      </w:r>
      <w:r>
        <w:t xml:space="preserve"> </w:t>
      </w:r>
      <w:r>
        <w:t xml:space="preserve">short documents as on long ones. With five corpora we cannot separate three properties that occur together in the</w:t>
      </w:r>
      <w:r>
        <w:t xml:space="preserve"> </w:t>
      </w:r>
      <w:r>
        <w:t xml:space="preserve">medical corpus: descriptive columns, gold values that are often empty, and list-valued columns. One practical use of</w:t>
      </w:r>
      <w:r>
        <w:t xml:space="preserve"> </w:t>
      </w:r>
      <w:r>
        <w:t xml:space="preserve">this result is that disagreement between two cheap prompts can flag columns that need a better description or a human</w:t>
      </w:r>
      <w:r>
        <w:t xml:space="preserve"> </w:t>
      </w:r>
      <w:r>
        <w:t xml:space="preserve">look, before any gold data exists.</w:t>
      </w:r>
    </w:p>
    <w:bookmarkEnd w:id="39"/>
    <w:bookmarkStart w:id="40" w:name="Xbd5cb092345892faad08ce8e3e52d3f9d449dcf"/>
    <w:p>
      <w:pPr>
        <w:pStyle w:val="Heading1"/>
      </w:pPr>
      <w:r>
        <w:t xml:space="preserve">Why does extracting a column for more documents sometimes make answers worse?</w:t>
      </w:r>
    </w:p>
    <w:p>
      <w:pPr>
        <w:pStyle w:val="FirstParagraph"/>
      </w:pPr>
      <w:r>
        <w:rPr>
          <w:bCs/>
          <w:b/>
        </w:rPr>
        <w:t xml:space="preserve">When a column does not apply to a document, the model rarely leaves it empty</w:t>
      </w:r>
      <w:r>
        <w:t xml:space="preserve">, especially when the schema says the</w:t>
      </w:r>
      <w:r>
        <w:t xml:space="preserve"> </w:t>
      </w:r>
      <w:r>
        <w:t xml:space="preserve">column is never null. Extracting</w:t>
      </w:r>
      <w:r>
        <w:t xml:space="preserve"> </w:t>
      </w:r>
      <w:r>
        <w:t xml:space="preserve">“</w:t>
      </w:r>
      <w:r>
        <w:t xml:space="preserve">agent framework</w:t>
      </w:r>
      <w:r>
        <w:t xml:space="preserve">”</w:t>
      </w:r>
      <w:r>
        <w:t xml:space="preserve"> </w:t>
      </w:r>
      <w:r>
        <w:t xml:space="preserve">for every paper assigned one to 82 papers that have none. The</w:t>
      </w:r>
      <w:r>
        <w:t xml:space="preserve"> </w:t>
      </w:r>
      <w:r>
        <w:t xml:space="preserve">budgeted run extracted it only for the papers earlier queries had selected, and was more accurate. More generally, a</w:t>
      </w:r>
      <w:r>
        <w:t xml:space="preserve"> </w:t>
      </w:r>
      <w:r>
        <w:t xml:space="preserve">budgeted run beats the unlimited one on 8 to 31 queries per corpus, and nearly all of those queries were answered</w:t>
      </w:r>
      <w:r>
        <w:t xml:space="preserve"> </w:t>
      </w:r>
      <w:r>
        <w:t xml:space="preserve">without an extraction of their own.</w:t>
      </w:r>
    </w:p>
    <w:p>
      <w:pPr>
        <w:pStyle w:val="BodyText"/>
      </w:pPr>
      <w:r>
        <w:t xml:space="preserve">The benchmark makes this worse. It marks 19 of the 59 columns on three corpora as never null, although its own gold</w:t>
      </w:r>
      <w:r>
        <w:t xml:space="preserve"> </w:t>
      </w:r>
      <w:r>
        <w:t xml:space="preserve">data often leaves them empty. Emptying exactly those cells would raise the research-papers score from 0.153 to 0.193.</w:t>
      </w:r>
      <w:r>
        <w:t xml:space="preserve"> </w:t>
      </w:r>
      <w:r>
        <w:t xml:space="preserve">Limiting extraction to documents where a column applies is therefore a matter of correctness as well as cost. This</w:t>
      </w:r>
      <w:r>
        <w:t xml:space="preserve"> </w:t>
      </w:r>
      <w:r>
        <w:t xml:space="preserve">rests on case evidence and an oracle measurement; we have not yet counted invented values against applicability in a</w:t>
      </w:r>
      <w:r>
        <w:t xml:space="preserve"> </w:t>
      </w:r>
      <w:r>
        <w:t xml:space="preserve">controlled way.</w:t>
      </w:r>
    </w:p>
    <w:bookmarkEnd w:id="40"/>
    <w:bookmarkStart w:id="41" w:name="Xb0dd392892fe856ae8cc77ef541b39e465bb519"/>
    <w:p>
      <w:pPr>
        <w:pStyle w:val="Heading1"/>
      </w:pPr>
      <w:r>
        <w:t xml:space="preserve">Why does a cost-based extraction planner fall short of one shared extraction pass?</w:t>
      </w:r>
    </w:p>
    <w:p>
      <w:pPr>
        <w:pStyle w:val="FirstParagraph"/>
      </w:pPr>
      <w:r>
        <w:rPr>
          <w:bCs/>
          <w:b/>
        </w:rPr>
        <w:t xml:space="preserve">The planner estimates its loss as disagreement with each query’s own extraction, which means it treats its own</w:t>
      </w:r>
      <w:r>
        <w:rPr>
          <w:bCs/>
          <w:b/>
        </w:rPr>
        <w:t xml:space="preserve"> </w:t>
      </w:r>
      <w:r>
        <w:rPr>
          <w:bCs/>
          <w:b/>
        </w:rPr>
        <w:t xml:space="preserve">extractions as correct.</w:t>
      </w:r>
      <w:r>
        <w:t xml:space="preserve"> </w:t>
      </w:r>
      <w:r>
        <w:t xml:space="preserve">It cannot tell that a shared extraction is more accurate, and once its extractions agree with</w:t>
      </w:r>
      <w:r>
        <w:t xml:space="preserve"> </w:t>
      </w:r>
      <w:r>
        <w:t xml:space="preserve">each other it sees nothing left to gain. It also values columns one at a time, while a missing join key makes the</w:t>
      </w:r>
      <w:r>
        <w:t xml:space="preserve"> </w:t>
      </w:r>
      <w:r>
        <w:t xml:space="preserve">whole query fail. On basketball players its best configuration reaches 0.42, against 0.56 for one shared pass with</w:t>
      </w:r>
      <w:r>
        <w:t xml:space="preserve"> </w:t>
      </w:r>
      <w:r>
        <w:t xml:space="preserve">descriptions. At the full budget it plans only 4.9M of the 10.6M available tokens because its estimated loss is</w:t>
      </w:r>
      <w:r>
        <w:t xml:space="preserve"> </w:t>
      </w:r>
      <w:r>
        <w:t xml:space="preserve">already 0.027 per query.</w:t>
      </w:r>
    </w:p>
    <w:p>
      <w:pPr>
        <w:pStyle w:val="BodyText"/>
      </w:pPr>
      <w:r>
        <w:t xml:space="preserve">We know the cause but have not built a planner with a different objective. Such a planner would need some estimate of</w:t>
      </w:r>
      <w:r>
        <w:t xml:space="preserve"> </w:t>
      </w:r>
      <w:r>
        <w:t xml:space="preserve">accuracy, for instance from a small labelled sample or from the disagreement between prompts described above.</w:t>
      </w:r>
    </w:p>
    <w:bookmarkEnd w:id="41"/>
    <w:bookmarkStart w:id="45" w:name="X93e79f25c615c32ee4b9e256d95d1fb3cf30497"/>
    <w:p>
      <w:pPr>
        <w:pStyle w:val="Heading1"/>
      </w:pPr>
      <w:r>
        <w:t xml:space="preserve">Why does DocETL fail on queries that join tables?</w:t>
      </w:r>
    </w:p>
    <w:p>
      <w:pPr>
        <w:pStyle w:val="FirstParagraph"/>
      </w:pPr>
      <w:r>
        <w:t xml:space="preserve">DocETL extracts each table separately for each query. On basketball players its scores drop from 0.125 for queries</w:t>
      </w:r>
      <w:r>
        <w:t xml:space="preserve"> </w:t>
      </w:r>
      <w:r>
        <w:t xml:space="preserve">without joins to 0.034 with one join and 0.008 with two or more.</w:t>
      </w:r>
      <w:r>
        <w:t xml:space="preserve"> </w:t>
      </w:r>
      <w:r>
        <w:rPr>
          <w:bCs/>
          <w:b/>
        </w:rPr>
        <w:t xml:space="preserve">A join only matches rows whose keys agree, and keys</w:t>
      </w:r>
      <w:r>
        <w:rPr>
          <w:bCs/>
          <w:b/>
        </w:rPr>
        <w:t xml:space="preserve"> </w:t>
      </w:r>
      <w:r>
        <w:rPr>
          <w:bCs/>
          <w:b/>
        </w:rPr>
        <w:t xml:space="preserve">extracted independently mostly do not.</w:t>
      </w:r>
      <w:r>
        <w:t xml:space="preserve"> </w:t>
      </w:r>
      <w:r>
        <w:t xml:space="preserve">In DocETL’s per-query tables, 18% of player rows find their team and 19% of</w:t>
      </w:r>
      <w:r>
        <w:t xml:space="preserve"> </w:t>
      </w:r>
      <w:r>
        <w:t xml:space="preserve">team rows find their city. In our build the figures are 75% and 97%, and in the gold data 63% and 93% (the gold data</w:t>
      </w:r>
      <w:r>
        <w:t xml:space="preserve"> </w:t>
      </w:r>
      <w:r>
        <w:t xml:space="preserve">contains players whose team has no row of its own). Our build extracts each table’s keys once with the same field</w:t>
      </w:r>
      <w:r>
        <w:t xml:space="preserve"> </w:t>
      </w:r>
      <w:r>
        <w:t xml:space="preserve">definitions, and later queries reuse them.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Figure 6. Share of rows whose join key finds a partner in the joined table." title="" id="43" name="Picture"/>
            <a:graphic>
              <a:graphicData uri="http://schemas.openxmlformats.org/drawingml/2006/picture">
                <pic:pic>
                  <pic:nvPicPr>
                    <pic:cNvPr descr="figures/w5_join_key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Share of rows whose join key finds a partner in the joined table.</w:t>
      </w:r>
    </w:p>
    <w:p>
      <w:pPr>
        <w:pStyle w:val="BodyText"/>
      </w:pPr>
      <w:r>
        <w:t xml:space="preserve">Basketball players is the only corpus with joins, so this rests on one corpus.</w:t>
      </w:r>
    </w:p>
    <w:bookmarkEnd w:id="45"/>
    <w:bookmarkStart w:id="46" w:name="open-questions"/>
    <w:p>
      <w:pPr>
        <w:pStyle w:val="Heading1"/>
      </w:pPr>
      <w:r>
        <w:t xml:space="preserve">Open questions</w:t>
      </w:r>
    </w:p>
    <w:p>
      <w:pPr>
        <w:pStyle w:val="FirstParagraph"/>
      </w:pPr>
      <w:r>
        <w:t xml:space="preserve">Several things remain unexplained. With the 7B model, asking for fewer columns helps on papers and players and hurts</w:t>
      </w:r>
      <w:r>
        <w:t xml:space="preserve"> </w:t>
      </w:r>
      <w:r>
        <w:t xml:space="preserve">on artists, and we do not know why the direction depends on the corpus. Grouping columns matters for the 32B model</w:t>
      </w:r>
      <w:r>
        <w:t xml:space="preserve"> </w:t>
      </w:r>
      <w:r>
        <w:t xml:space="preserve">but barely for the 7B model. We cannot yet say how much of the medical corpus’s prompt sensitivity comes from each of</w:t>
      </w:r>
      <w:r>
        <w:t xml:space="preserve"> </w:t>
      </w:r>
      <w:r>
        <w:t xml:space="preserve">the three properties listed above, or what the best achievable budget policy is. The findings also have not been</w:t>
      </w:r>
      <w:r>
        <w:t xml:space="preserve"> </w:t>
      </w:r>
      <w:r>
        <w:t xml:space="preserve">tested beyond five corpora and three models, or on a different split of the workload into known and later queries.</w:t>
      </w:r>
    </w:p>
    <w:bookmarkEnd w:id="46"/>
    <w:bookmarkStart w:id="4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All analyses in this document reuse existing runs and needed no new model calls. The timing test re-ran the drifted</w:t>
      </w:r>
      <w:r>
        <w:t xml:space="preserve"> </w:t>
      </w:r>
      <w:r>
        <w:t xml:space="preserve">workloads from logged model responses, with on-demand extractions given the build’s prompt. The cost model counts the</w:t>
      </w:r>
      <w:r>
        <w:t xml:space="preserve"> </w:t>
      </w:r>
      <w:r>
        <w:t xml:space="preserve">tokens of each new column’s description and answer, of the instructions, and of up to 60 documents per table (split</w:t>
      </w:r>
      <w:r>
        <w:t xml:space="preserve"> </w:t>
      </w:r>
      <w:r>
        <w:t xml:space="preserve">into chunks as the system splits long documents); it compares the tokens added to build prompts with the tokens of a</w:t>
      </w:r>
      <w:r>
        <w:t xml:space="preserve"> </w:t>
      </w:r>
      <w:r>
        <w:t xml:space="preserve">one-column on-demand prompt. Value timing uses, for every on-demand extraction in the unlimited runs, the score change</w:t>
      </w:r>
      <w:r>
        <w:t xml:space="preserve"> </w:t>
      </w:r>
      <w:r>
        <w:t xml:space="preserve">of its own query and of later queries that use its columns. The specification and determinacy results compare cell</w:t>
      </w:r>
      <w:r>
        <w:t xml:space="preserve"> </w:t>
      </w:r>
      <w:r>
        <w:t xml:space="preserve">values with the gold data per column; determinacy uses the 41 columns with at least ten documents. The join analysis</w:t>
      </w:r>
      <w:r>
        <w:t xml:space="preserve"> </w:t>
      </w:r>
      <w:r>
        <w:t xml:space="preserve">checks, for each basketball-player query with a join, how many rows’ keys appear in the joined table.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the system behaves the way it does</dc:title>
  <dc:creator/>
  <cp:keywords/>
  <dcterms:created xsi:type="dcterms:W3CDTF">2026-10-08T18:31:14Z</dcterms:created>
  <dcterms:modified xsi:type="dcterms:W3CDTF">2026-10-08T18:31:14Z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