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37.png" ContentType="image/png"/>
  <Override PartName="/word/media/rId40.png" ContentType="image/png"/>
  <Override PartName="/word/media/rId33.png" ContentType="image/png"/>
  <Override PartName="/word/media/rId70.png" ContentType="image/png"/>
  <Override PartName="/word/media/rId61.png" ContentType="image/png"/>
  <Override PartName="/word/media/rId20.png" ContentType="image/png"/>
  <Override PartName="/word/media/rId54.png" ContentType="image/png"/>
  <Override PartName="/word/media/rId58.png" ContentType="image/png"/>
  <Override PartName="/word/media/rId27.png" ContentType="image/png"/>
  <Override PartName="/word/media/rId67.png" ContentType="image/png"/>
  <Override PartName="/word/media/rId74.png" ContentType="image/png"/>
  <Override PartName="/word/media/rId30.png" ContentType="image/png"/>
  <Override PartName="/word/media/rId5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Cs/>
          <w:i/>
        </w:rPr>
        <w:t xml:space="preserve">build</w:t>
      </w:r>
      <w:r>
        <w:t xml:space="preserve">). When a later query needs a column the build skipped, it extracts that</w:t>
      </w:r>
      <w:r>
        <w:t xml:space="preserve"> </w:t>
      </w:r>
      <w:r>
        <w:t xml:space="preserve">column</w:t>
      </w:r>
      <w:r>
        <w:t xml:space="preserve"> </w:t>
      </w:r>
      <w:r>
        <w:rPr>
          <w:iCs/>
          <w:i/>
        </w:rPr>
        <w:t xml:space="preserve">on demand</w:t>
      </w:r>
      <w:r>
        <w:t xml:space="preserve">, only for the documents the query can select, and keeps the result for later queries.</w:t>
      </w:r>
      <w:r>
        <w:t xml:space="preserve"> </w:t>
      </w:r>
      <w:r>
        <w:rPr>
          <w:iCs/>
          <w:i/>
        </w:rPr>
        <w:t xml:space="preserve">Workload</w:t>
      </w:r>
      <w:r>
        <w:rPr>
          <w:iCs/>
          <w:i/>
        </w:rPr>
        <w:t xml:space="preserve"> </w:t>
      </w:r>
      <w:r>
        <w:rPr>
          <w:iCs/>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bookmarkStart w:id="26" w:name="Xe19f0d41bf1e45df9ecf4e2098db67899aa14c0"/>
    <w:p>
      <w:pPr>
        <w:pStyle w:val="Heading1"/>
      </w:pPr>
      <w:r>
        <w:t xml:space="preserve">Why does an extracted value depend on how the question is asked, but not on when?</w:t>
      </w:r>
    </w:p>
    <w:p>
      <w:pPr>
        <w:pStyle w:val="FirstParagraph"/>
      </w:pPr>
      <w:r>
        <w:rPr>
          <w:bCs/>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Cs/>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Cs/>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21" name="Picture"/>
            <a:graphic>
              <a:graphicData uri="http://schemas.openxmlformats.org/drawingml/2006/picture">
                <pic:pic>
                  <pic:nvPicPr>
                    <pic:cNvPr descr="figures/w1_when_vs_how.png" id="22" name="Picture"/>
                    <pic:cNvPicPr>
                      <a:picLocks noChangeArrowheads="1" noChangeAspect="1"/>
                    </pic:cNvPicPr>
                  </pic:nvPicPr>
                  <pic:blipFill>
                    <a:blip r:embed="rId20"/>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w:t>
      </w:r>
    </w:p>
    <w:p>
      <w:pPr>
        <w:pStyle w:val="BodyText"/>
      </w:pPr>
      <w:r>
        <w:t xml:space="preserve">We then intervened directly. For every column the drifted workload needs and the build lacks, the same thirty sampled</w:t>
      </w:r>
      <w:r>
        <w:t xml:space="preserve"> </w:t>
      </w:r>
      <w:r>
        <w:t xml:space="preserve">documents were read in five contexts: the column alone, with two random columns of its table, with six, in the build’s</w:t>
      </w:r>
      <w:r>
        <w:t xml:space="preserve"> </w:t>
      </w:r>
      <w:r>
        <w:t xml:space="preserve">natural group, and alone with a paraphrased description (39 columns, 5,005 prompts).</w:t>
      </w:r>
      <w:r>
        <w:t xml:space="preserve"> </w:t>
      </w:r>
      <w:r>
        <w:rPr>
          <w:bCs/>
          <w:b/>
        </w:rPr>
        <w:t xml:space="preserve">On average the context does not</w:t>
      </w:r>
      <w:r>
        <w:rPr>
          <w:bCs/>
          <w:b/>
        </w:rPr>
        <w:t xml:space="preserve"> </w:t>
      </w:r>
      <w:r>
        <w:rPr>
          <w:bCs/>
          <w:b/>
        </w:rPr>
        <w:t xml:space="preserve">move accuracy at all, 0.37 to 0.41 in every context, and the direction of its effect is the column’s own:</w:t>
      </w:r>
      <w:r>
        <w:t xml:space="preserve"> </w:t>
      </w:r>
      <w:r>
        <w:t xml:space="preserve">18 columns</w:t>
      </w:r>
      <w:r>
        <w:t xml:space="preserve"> </w:t>
      </w:r>
      <w:r>
        <w:t xml:space="preserve">are more accurate alone than in the group by 0.05 or more and 9 are less. How much a column’s value changes between</w:t>
      </w:r>
      <w:r>
        <w:t xml:space="preserve"> </w:t>
      </w:r>
      <w:r>
        <w:t xml:space="preserve">contexts is one property of the column: its sensitivity to adding two random columns, to adding six, to the natural</w:t>
      </w:r>
      <w:r>
        <w:t xml:space="preserve"> </w:t>
      </w:r>
      <w:r>
        <w:t xml:space="preserve">group and to a paraphrase rank the columns the same way (Spearman 0.82 to 0.93 between every pair), and so do the</w:t>
      </w:r>
      <w:r>
        <w:t xml:space="preserve"> </w:t>
      </w:r>
      <w:r>
        <w:t xml:space="preserve">changes we had already logged, removing the description, removing the workload-use phrase, regrouping, or cutting long</w:t>
      </w:r>
      <w:r>
        <w:t xml:space="preserve"> </w:t>
      </w:r>
      <w:r>
        <w:t xml:space="preserve">documents at the window (0.60 to 0.84 between kinds).</w:t>
      </w:r>
      <w:r>
        <w:t xml:space="preserve"> </w:t>
      </w:r>
      <w:r>
        <w:t xml:space="preserve">“</w:t>
      </w:r>
      <w:r>
        <w:t xml:space="preserve">Ask for fewer columns at once</w:t>
      </w:r>
      <w:r>
        <w:t xml:space="preserve">”</w:t>
      </w:r>
      <w:r>
        <w:t xml:space="preserve"> </w:t>
      </w:r>
      <w:r>
        <w:t xml:space="preserve">is therefore not a knob with a</w:t>
      </w:r>
      <w:r>
        <w:t xml:space="preserve"> </w:t>
      </w:r>
      <w:r>
        <w:t xml:space="preserve">direction; it is a per-column effect, and in Section 2 we show it is also the measure of how far the document</w:t>
      </w:r>
      <w:r>
        <w:t xml:space="preserve"> </w:t>
      </w:r>
      <w:r>
        <w:t xml:space="preserve">determines the value.</w:t>
      </w:r>
    </w:p>
    <w:p>
      <w:pPr>
        <w:pStyle w:val="BodyText"/>
      </w:pPr>
      <w:r>
        <w:t xml:space="preserve">The order of the field lines is part of the context too, and it is as strong as the set. For the 24 columns the</w:t>
      </w:r>
      <w:r>
        <w:t xml:space="preserve"> </w:t>
      </w:r>
      <w:r>
        <w:t xml:space="preserve">natural groups contain, the same fields were asked in the build’s order, shuffled, and reversed.</w:t>
      </w:r>
      <w:r>
        <w:t xml:space="preserve"> </w:t>
      </w:r>
      <w:r>
        <w:rPr>
          <w:bCs/>
          <w:b/>
        </w:rPr>
        <w:t xml:space="preserve">Shuffling changes</w:t>
      </w:r>
      <w:r>
        <w:rPr>
          <w:bCs/>
          <w:b/>
        </w:rPr>
        <w:t xml:space="preserve"> </w:t>
      </w:r>
      <w:r>
        <w:rPr>
          <w:bCs/>
          <w:b/>
        </w:rPr>
        <w:t xml:space="preserve">40% of the cells’ values and reversing them 44%, as much as adding six random columns (44%), against 5% to 6% when the</w:t>
      </w:r>
      <w:r>
        <w:rPr>
          <w:bCs/>
          <w:b/>
        </w:rPr>
        <w:t xml:space="preserve"> </w:t>
      </w:r>
      <w:r>
        <w:rPr>
          <w:bCs/>
          <w:b/>
        </w:rPr>
        <w:t xml:space="preserve">same prompt is simply run twice.</w:t>
      </w:r>
      <w:r>
        <w:t xml:space="preserve"> </w:t>
      </w:r>
      <w:r>
        <w:t xml:space="preserve">The columns that move are the same ones (Spearman 0.83 between a column’s order</w:t>
      </w:r>
      <w:r>
        <w:t xml:space="preserve"> </w:t>
      </w:r>
      <w:r>
        <w:t xml:space="preserve">change and its set sensitivity; lists 0.56 and categories 0.52, numbers 0.15 and yes/no 0.10), and the mean accuracy</w:t>
      </w:r>
      <w:r>
        <w:t xml:space="preserve"> </w:t>
      </w:r>
      <w:r>
        <w:t xml:space="preserve">again does not move (0.388 against 0.381) while single columns do: a paper’s agent framework, whose gold is empty for</w:t>
      </w:r>
      <w:r>
        <w:t xml:space="preserve"> </w:t>
      </w:r>
      <w:r>
        <w:t xml:space="preserve">25 of 30 papers, is answered</w:t>
      </w:r>
      <w:r>
        <w:t xml:space="preserve"> </w:t>
      </w:r>
      <w:r>
        <w:t xml:space="preserve">‘</w:t>
      </w:r>
      <w:r>
        <w:t xml:space="preserve">Other</w:t>
      </w:r>
      <w:r>
        <w:t xml:space="preserve">’</w:t>
      </w:r>
      <w:r>
        <w:t xml:space="preserve"> </w:t>
      </w:r>
      <w:r>
        <w:t xml:space="preserve">on 28 papers when it is the first field line and left empty on 25 when it is the</w:t>
      </w:r>
      <w:r>
        <w:t xml:space="preserve"> </w:t>
      </w:r>
      <w:r>
        <w:t xml:space="preserve">eleventh or the last (accuracy 0.20 against 0.77). So</w:t>
      </w:r>
      <w:r>
        <w:t xml:space="preserve"> </w:t>
      </w:r>
      <w:r>
        <w:t xml:space="preserve">“</w:t>
      </w:r>
      <w:r>
        <w:t xml:space="preserve">context</w:t>
      </w:r>
      <w:r>
        <w:t xml:space="preserve">”</w:t>
      </w:r>
      <w:r>
        <w:t xml:space="preserve"> </w:t>
      </w:r>
      <w:r>
        <w:t xml:space="preserve">is not a semantic interaction among fields but the</w:t>
      </w:r>
      <w:r>
        <w:t xml:space="preserve"> </w:t>
      </w:r>
      <w:r>
        <w:t xml:space="preserve">prompt’s arrangement. A canonical prompt has to be fixed as a byte string, order included, and a serving optimization</w:t>
      </w:r>
      <w:r>
        <w:t xml:space="preserve"> </w:t>
      </w:r>
      <w:r>
        <w:t xml:space="preserve">that reorders fields for cache hits changes the answers. Position itself is a free knob: the same column asked last</w:t>
      </w:r>
      <w:r>
        <w:t xml:space="preserve"> </w:t>
      </w:r>
      <w:r>
        <w:t xml:space="preserve">among the same fields is right 0.43 of the time against 0.39 when asked first, with fewer empties, and the effect is</w:t>
      </w:r>
      <w:r>
        <w:t xml:space="preserve"> </w:t>
      </w:r>
      <w:r>
        <w:t xml:space="preserve">per column and up to 0.6 (a</w:t>
      </w:r>
      <w:r>
        <w:t xml:space="preserve"> </w:t>
      </w:r>
      <w:r>
        <w:t xml:space="preserve">“</w:t>
      </w:r>
      <w:r>
        <w:t xml:space="preserve">never null</w:t>
      </w:r>
      <w:r>
        <w:t xml:space="preserve">”</w:t>
      </w:r>
      <w:r>
        <w:t xml:space="preserve"> </w:t>
      </w:r>
      <w:r>
        <w:t xml:space="preserve">count is left empty on 87% of documents when it heads the list and on 47%</w:t>
      </w:r>
      <w:r>
        <w:t xml:space="preserve"> </w:t>
      </w:r>
      <w:r>
        <w:t xml:space="preserve">when it closes it; a category whose gold is mostly empty is filled with</w:t>
      </w:r>
      <w:r>
        <w:t xml:space="preserve"> </w:t>
      </w:r>
      <w:r>
        <w:t xml:space="preserve">‘</w:t>
      </w:r>
      <w:r>
        <w:t xml:space="preserve">Other</w:t>
      </w:r>
      <w:r>
        <w:t xml:space="preserve">’</w:t>
      </w:r>
      <w:r>
        <w:t xml:space="preserve"> </w:t>
      </w:r>
      <w:r>
        <w:t xml:space="preserve">first and left empty last). The</w:t>
      </w:r>
      <w:r>
        <w:t xml:space="preserve"> </w:t>
      </w:r>
      <w:r>
        <w:t xml:space="preserve">share of empty gold does not predict the direction, so there is no layout rule to state, only a per-column choice</w:t>
      </w:r>
      <w:r>
        <w:t xml:space="preserve"> </w:t>
      </w:r>
      <w:r>
        <w:t xml:space="preserve">the thirty-document test can make.</w:t>
      </w:r>
    </w:p>
    <w:p>
      <w:pPr>
        <w:pStyle w:val="CaptionedFigure"/>
      </w:pPr>
      <w:r>
        <w:drawing>
          <wp:inline>
            <wp:extent cx="5334000" cy="2032000"/>
            <wp:effectExtent b="0" l="0" r="0" t="0"/>
            <wp:docPr descr="Figure 2. The context intervention on fixed documents. (a) Mean accuracy and empty-answer rate in five contexts. (b) Each column’s accuracy alone against its accuracy in the build’s group." title="" id="24" name="Picture"/>
            <a:graphic>
              <a:graphicData uri="http://schemas.openxmlformats.org/drawingml/2006/picture">
                <pic:pic>
                  <pic:nvPicPr>
                    <pic:cNvPr descr="figures/w9_context_intervention.png" id="25" name="Picture"/>
                    <pic:cNvPicPr>
                      <a:picLocks noChangeArrowheads="1" noChangeAspect="1"/>
                    </pic:cNvPicPr>
                  </pic:nvPicPr>
                  <pic:blipFill>
                    <a:blip r:embed="rId2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2. The context intervention on fixed documents. (a) Mean accuracy and empty-answer rate in five contexts. (b)</w:t>
      </w:r>
      <w:r>
        <w:t xml:space="preserve"> </w:t>
      </w:r>
      <w:r>
        <w:t xml:space="preserve">Each column’s accuracy alone against its accuracy in the build’s group.</w:t>
      </w:r>
    </w:p>
    <w:p>
      <w:pPr>
        <w:pStyle w:val="BodyText"/>
      </w:pPr>
      <w:r>
        <w:t xml:space="preserve">We then used the per-column effect as a rule for the build itself: every new column read alone, or only the columns</w:t>
      </w:r>
      <w:r>
        <w:t xml:space="preserve"> </w:t>
      </w:r>
      <w:r>
        <w:t xml:space="preserve">the thirty-document test had found more accurate alone, the rest grouped as before (ten builds, scored on the</w:t>
      </w:r>
      <w:r>
        <w:t xml:space="preserve"> </w:t>
      </w:r>
      <w:r>
        <w:t xml:space="preserve">undrifted stream).</w:t>
      </w:r>
      <w:r>
        <w:t xml:space="preserve"> </w:t>
      </w:r>
      <w:r>
        <w:rPr>
          <w:bCs/>
          <w:b/>
        </w:rPr>
        <w:t xml:space="preserve">The per-column prediction transfers: the columns flagged as better alone gain 0.14 in cell</w:t>
      </w:r>
      <w:r>
        <w:rPr>
          <w:bCs/>
          <w:b/>
        </w:rPr>
        <w:t xml:space="preserve"> </w:t>
      </w:r>
      <w:r>
        <w:rPr>
          <w:bCs/>
          <w:b/>
        </w:rPr>
        <w:t xml:space="preserve">accuracy in the full build, four of five up and none down, while columns flagged as better in the group gain nothing</w:t>
      </w:r>
      <w:r>
        <w:rPr>
          <w:bCs/>
          <w:b/>
        </w:rPr>
        <w:t xml:space="preserve"> </w:t>
      </w:r>
      <w:r>
        <w:rPr>
          <w:bCs/>
          <w:b/>
        </w:rPr>
        <w:t xml:space="preserve">when read alone.</w:t>
      </w:r>
      <w:r>
        <w:t xml:space="preserve"> </w:t>
      </w:r>
      <w:r>
        <w:t xml:space="preserve">The query score does not follow (−0.01 to +0.01 on every corpus but one, against a run-to-run</w:t>
      </w:r>
      <w:r>
        <w:t xml:space="preserve"> </w:t>
      </w:r>
      <w:r>
        <w:t xml:space="preserve">floor of 0.006; medical loses 0.028 when everything is read alone). Query by query the reasons are visible. The gains</w:t>
      </w:r>
      <w:r>
        <w:t xml:space="preserve"> </w:t>
      </w:r>
      <w:r>
        <w:t xml:space="preserve">are largely changes of form: a court judge’s name goes from 3% to 45% correct because the lone prompt writes</w:t>
      </w:r>
      <w:r>
        <w:t xml:space="preserve"> </w:t>
      </w:r>
      <w:r>
        <w:t xml:space="preserve">‘</w:t>
      </w:r>
      <w:r>
        <w:t xml:space="preserve">Flick</w:t>
      </w:r>
      <w:r>
        <w:t xml:space="preserve">’</w:t>
      </w:r>
      <w:r>
        <w:t xml:space="preserve"> </w:t>
      </w:r>
      <w:r>
        <w:t xml:space="preserve">where the group prompt wrote</w:t>
      </w:r>
      <w:r>
        <w:t xml:space="preserve"> </w:t>
      </w:r>
      <w:r>
        <w:t xml:space="preserve">‘</w:t>
      </w:r>
      <w:r>
        <w:t xml:space="preserve">Justice Flick</w:t>
      </w:r>
      <w:r>
        <w:t xml:space="preserve">’</w:t>
      </w:r>
      <w:r>
        <w:t xml:space="preserve">, and the query that groups by judge moves 0.03. The losses are changes of</w:t>
      </w:r>
      <w:r>
        <w:t xml:space="preserve"> </w:t>
      </w:r>
      <w:r>
        <w:t xml:space="preserve">emptiness and of a few numeric cells: the lone prompt leaves a party’s status empty in 214 documents against 85, so</w:t>
      </w:r>
      <w:r>
        <w:t xml:space="preserve"> </w:t>
      </w:r>
      <w:r>
        <w:t xml:space="preserve">filters select other rows, and an artist’s award count read alone loses 0.07 in accuracy while the average of awards</w:t>
      </w:r>
      <w:r>
        <w:t xml:space="preserve"> </w:t>
      </w:r>
      <w:r>
        <w:t xml:space="preserve">by continent loses 0.45. And reading a column alone costs a document, so the all-alone build spends 2.8 to 6.4 times</w:t>
      </w:r>
      <w:r>
        <w:t xml:space="preserve"> </w:t>
      </w:r>
      <w:r>
        <w:t xml:space="preserve">the supplement tokens and the selective one 1.5 to 4.7. The context effect is real, per column and predictable from</w:t>
      </w:r>
      <w:r>
        <w:t xml:space="preserve"> </w:t>
      </w:r>
      <w:r>
        <w:t xml:space="preserve">thirty documents; at the cell level it is mostly form and emptiness, which a view rule can often fix for nothing and</w:t>
      </w:r>
      <w:r>
        <w:t xml:space="preserve"> </w:t>
      </w:r>
      <w:r>
        <w:t xml:space="preserve">which aggregates and filters do not reward consistently.</w:t>
      </w:r>
    </w:p>
    <w:p>
      <w:pPr>
        <w:pStyle w:val="BodyText"/>
      </w:pPr>
      <w:r>
        <w:rPr>
          <w:iCs/>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Choose the grouping for</w:t>
      </w:r>
      <w:r>
        <w:t xml:space="preserve"> </w:t>
      </w:r>
      <w:r>
        <w:t xml:space="preserve">cost and consistency; harvest a column’s form gain through normalization rather than a separate read; read a column</w:t>
      </w:r>
      <w:r>
        <w:t xml:space="preserve"> </w:t>
      </w:r>
      <w:r>
        <w:t xml:space="preserve">alone only when its emptiness or selection matters to a query and the document is short. The budget section below</w:t>
      </w:r>
      <w:r>
        <w:t xml:space="preserve"> </w:t>
      </w:r>
      <w:r>
        <w:t xml:space="preserve">shows what happens when the prompt is not controlled: delaying an extraction moves it into a different prompt and</w:t>
      </w:r>
      <w:r>
        <w:t xml:space="preserve"> </w:t>
      </w:r>
      <w:r>
        <w:t xml:space="preserve">changes the answers.</w:t>
      </w:r>
    </w:p>
    <w:bookmarkEnd w:id="26"/>
    <w:bookmarkStart w:id="36" w:name="Xcd9ef142658e17c03921f37a5d5460a46636688"/>
    <w:p>
      <w:pPr>
        <w:pStyle w:val="Heading1"/>
      </w:pPr>
      <w:r>
        <w:t xml:space="preserve">Why can a column’s accuracy be predicted without any gold data?</w:t>
      </w:r>
    </w:p>
    <w:p>
      <w:pPr>
        <w:pStyle w:val="FirstParagraph"/>
      </w:pPr>
      <w:r>
        <w:t xml:space="preserve">When a document states a value plainly, as with a number or a yes/no answer, any reasonable prompt returns it.</w:t>
      </w:r>
      <w:r>
        <w:t xml:space="preserve"> </w:t>
      </w:r>
      <w:r>
        <w:rPr>
          <w:bCs/>
          <w:b/>
        </w:rPr>
        <w:t xml:space="preserve">When</w:t>
      </w:r>
      <w:r>
        <w:rPr>
          <w:bCs/>
          <w:b/>
        </w:rPr>
        <w:t xml:space="preserve"> </w:t>
      </w:r>
      <w:r>
        <w:rPr>
          <w:bCs/>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Cs/>
          <w:b/>
        </w:rPr>
        <w:t xml:space="preserve">Across 41 columns this disagreement is a strong predictor of error</w:t>
      </w:r>
      <w:r>
        <w:rPr>
          <w:bCs/>
          <w:b/>
        </w:rPr>
        <w:t xml:space="preserve"> </w:t>
      </w:r>
      <w:r>
        <w:rPr>
          <w:bCs/>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3. Disagreement between two prompts against accuracy, one point per column." title="" id="28" name="Picture"/>
            <a:graphic>
              <a:graphicData uri="http://schemas.openxmlformats.org/drawingml/2006/picture">
                <pic:pic>
                  <pic:nvPicPr>
                    <pic:cNvPr descr="figures/w4_determinacy.png" id="29" name="Picture"/>
                    <pic:cNvPicPr>
                      <a:picLocks noChangeArrowheads="1" noChangeAspect="1"/>
                    </pic:cNvPicPr>
                  </pic:nvPicPr>
                  <pic:blipFill>
                    <a:blip r:embed="rId27"/>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3. Disagreement between two prompts against accuracy, one point per column.</w:t>
      </w:r>
    </w:p>
    <w:p>
      <w:pPr>
        <w:pStyle w:val="BodyText"/>
      </w:pPr>
      <w:r>
        <w:t xml:space="preserve">The signal is cheap: estimated from ten sampled documents per column it ranks the columns almost as well as the full</w:t>
      </w:r>
      <w:r>
        <w:t xml:space="preserve"> </w:t>
      </w:r>
      <w:r>
        <w:t xml:space="preserve">corpus does (Spearman −0.66 against −0.72; five documents give −0.62). The signal also works cell by cell. Where the two</w:t>
      </w:r>
      <w:r>
        <w:t xml:space="preserve"> </w:t>
      </w:r>
      <w:r>
        <w:t xml:space="preserve">prompts disagree, the served value is wrong 79% of the time; where 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Cs/>
          <w:b/>
        </w:rPr>
        <w:t xml:space="preserve">The signal fails in one place, and the failure is</w:t>
      </w:r>
      <w:r>
        <w:rPr>
          <w:bCs/>
          <w:b/>
        </w:rPr>
        <w:t xml:space="preserve"> </w:t>
      </w:r>
      <w:r>
        <w:rPr>
          <w:bCs/>
          <w:b/>
        </w:rPr>
        <w:t xml:space="preserve">informative: on category columns, cells where the prompts agree are wrong more often (57%) than cells where they</w:t>
      </w:r>
      <w:r>
        <w:rPr>
          <w:bCs/>
          <w:b/>
        </w:rPr>
        <w:t xml:space="preserve"> </w:t>
      </w:r>
      <w:r>
        <w:rPr>
          <w:bCs/>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Cs/>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4. (a) Share of wrong cells where our two prompts agree or disagree, by kind of column. (b) Our two-prompt disagreement on a column against DocETL’s accuracy on the same column." title="" id="31" name="Picture"/>
            <a:graphic>
              <a:graphicData uri="http://schemas.openxmlformats.org/drawingml/2006/picture">
                <pic:pic>
                  <pic:nvPicPr>
                    <pic:cNvPr descr="figures/w7_transfer.png" id="32" name="Picture"/>
                    <pic:cNvPicPr>
                      <a:picLocks noChangeArrowheads="1" noChangeAspect="1"/>
                    </pic:cNvPicPr>
                  </pic:nvPicPr>
                  <pic:blipFill>
                    <a:blip r:embed="rId30"/>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4.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bCs/>
          <w:b/>
        </w:rPr>
        <w:t xml:space="preserve">A sensitive cell is one the document under-determines, and a stronger reader cannot determine it either.</w:t>
      </w:r>
      <w:r>
        <w:t xml:space="preserve"> </w:t>
      </w:r>
      <w:r>
        <w:t xml:space="preserve">We gave</w:t>
      </w:r>
      <w:r>
        <w:t xml:space="preserve"> </w:t>
      </w:r>
      <w:r>
        <w:t xml:space="preserve">a 32B model a second look at 1,719 cells the 7B had served, the column asked alone, and allocated a budget of 600 looks</w:t>
      </w:r>
      <w:r>
        <w:t xml:space="preserve"> </w:t>
      </w:r>
      <w:r>
        <w:t xml:space="preserve">three ways. Spending them on the most sensitive columns first fixed a net 110 errors per thousand looks; spreading them</w:t>
      </w:r>
      <w:r>
        <w:t xml:space="preserve"> </w:t>
      </w:r>
      <w:r>
        <w:t xml:space="preserve">evenly, 48; at random, 148. Sensitivity does not tell where a second look pays, in either direction (the 600 least</w:t>
      </w:r>
      <w:r>
        <w:t xml:space="preserve"> </w:t>
      </w:r>
      <w:r>
        <w:t xml:space="preserve">sensitive cells, chosen with hindsight, give 132). What it predicts is the 32B’s own accuracy on the column (−0.67,</w:t>
      </w:r>
      <w:r>
        <w:t xml:space="preserve"> </w:t>
      </w:r>
      <w:r>
        <w:t xml:space="preserve">as it predicts the 7B’s, Llama’s and DocETL’s): in the most sensitive band the 7B is right on 14% of cells and the 32B</w:t>
      </w:r>
      <w:r>
        <w:t xml:space="preserve"> </w:t>
      </w:r>
      <w:r>
        <w:t xml:space="preserve">on 24%; in the least sensitive band 59% and 80%. The cells a stronger reader repairs are determined ones the weaker</w:t>
      </w:r>
      <w:r>
        <w:t xml:space="preserve"> </w:t>
      </w:r>
      <w:r>
        <w:t xml:space="preserve">reader misread, which sit in low-sensitivity columns with poor accuracy, such as dates written in another format</w:t>
      </w:r>
      <w:r>
        <w:t xml:space="preserve"> </w:t>
      </w:r>
      <w:r>
        <w:t xml:space="preserve">(an artist’s death date: sensitivity 0.06, 84% of the 7B’s errors fixed; birth date 0.12 and 73%). So there are two</w:t>
      </w:r>
      <w:r>
        <w:t xml:space="preserve"> </w:t>
      </w:r>
      <w:r>
        <w:t xml:space="preserve">kinds of error.</w:t>
      </w:r>
      <w:r>
        <w:t xml:space="preserve"> </w:t>
      </w:r>
      <w:r>
        <w:rPr>
          <w:iCs/>
          <w:i/>
        </w:rPr>
        <w:t xml:space="preserve">Under-determination</w:t>
      </w:r>
      <w:r>
        <w:t xml:space="preserve"> </w:t>
      </w:r>
      <w:r>
        <w:t xml:space="preserve">shows as disagreement and is not repaired by asking again, whatever the model;</w:t>
      </w:r>
      <w:r>
        <w:t xml:space="preserve"> </w:t>
      </w:r>
      <w:r>
        <w:rPr>
          <w:iCs/>
          <w:i/>
        </w:rPr>
        <w:t xml:space="preserve">misreading</w:t>
      </w:r>
      <w:r>
        <w:t xml:space="preserve"> </w:t>
      </w:r>
      <w:r>
        <w:t xml:space="preserve">shows as agreement on a wrong value and is repaired by a different reader when the bias was the reader’s.</w:t>
      </w:r>
      <w:r>
        <w:t xml:space="preserve"> </w:t>
      </w:r>
      <w:r>
        <w:t xml:space="preserve">The category exception above is the same distinction: a shared label vocabulary is a bias no reader repairs. (On the</w:t>
      </w:r>
      <w:r>
        <w:t xml:space="preserve"> </w:t>
      </w:r>
      <w:r>
        <w:t xml:space="preserve">intervention’s own sample, which has only two choice-list columns, disagreement did predict error on categories too,</w:t>
      </w:r>
      <w:r>
        <w:t xml:space="preserve"> </w:t>
      </w:r>
      <w:r>
        <w:t xml:space="preserve">52% right when agreeing against 14% when not; the exception rests on the 41 logged columns.)</w:t>
      </w:r>
    </w:p>
    <w:p>
      <w:pPr>
        <w:pStyle w:val="CaptionedFigure"/>
      </w:pPr>
      <w:r>
        <w:drawing>
          <wp:inline>
            <wp:extent cx="5334000" cy="1981200"/>
            <wp:effectExtent b="0" l="0" r="0" t="0"/>
            <wp:docPr descr="Figure 5. Second looks by the 32B. (a) Accuracy of the served 7B value and of the 32B’s answer, by the column’s sensitivity. (b) Net errors fixed per thousand second looks under four allocations." title="" id="34" name="Picture"/>
            <a:graphic>
              <a:graphicData uri="http://schemas.openxmlformats.org/drawingml/2006/picture">
                <pic:pic>
                  <pic:nvPicPr>
                    <pic:cNvPr descr="figures/w10_second_look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5. Second looks by the 32B. (a) Accuracy of the served 7B value and of the 32B’s answer, by the column’s</w:t>
      </w:r>
      <w:r>
        <w:t xml:space="preserve"> </w:t>
      </w:r>
      <w:r>
        <w:t xml:space="preserve">sensitivity. (b) Net errors fixed per thousand second looks under four allocations.</w:t>
      </w:r>
    </w:p>
    <w:p>
      <w:pPr>
        <w:pStyle w:val="BodyText"/>
      </w:pPr>
      <w:r>
        <w:rPr>
          <w:bCs/>
          <w:b/>
        </w:rPr>
        <w:t xml:space="preserve">Under-determination is not the absence of the fact from the text.</w:t>
      </w:r>
      <w:r>
        <w:t xml:space="preserve"> </w:t>
      </w:r>
      <w:r>
        <w:t xml:space="preserve">Checking every cell of the recorded run against</w:t>
      </w:r>
      <w:r>
        <w:t xml:space="preserve"> </w:t>
      </w:r>
      <w:r>
        <w:t xml:space="preserve">its document (36,801 cells, 23,716 with a non-trivial value), whether the gold value is stated verbatim makes no</w:t>
      </w:r>
      <w:r>
        <w:t xml:space="preserve"> </w:t>
      </w:r>
      <w:r>
        <w:t xml:space="preserve">difference to whether the two prompts disagree, 48.6% when it is and 48.8% when it is not, though stated values are</w:t>
      </w:r>
      <w:r>
        <w:t xml:space="preserve"> </w:t>
      </w:r>
      <w:r>
        <w:t xml:space="preserve">extracted right more often (0.43 against 0.32). What the prompts disagree about is which of the mentioned items belong</w:t>
      </w:r>
      <w:r>
        <w:t xml:space="preserve"> </w:t>
      </w:r>
      <w:r>
        <w:t xml:space="preserve">in a list, which label a passage maps to, and whether to leave the cell empty, not what the document says. Whether the</w:t>
      </w:r>
      <w:r>
        <w:t xml:space="preserve"> </w:t>
      </w:r>
      <w:r>
        <w:rPr>
          <w:iCs/>
          <w:i/>
        </w:rPr>
        <w:t xml:space="preserve">extracted</w:t>
      </w:r>
      <w:r>
        <w:t xml:space="preserve"> </w:t>
      </w:r>
      <w:r>
        <w:t xml:space="preserve">value is stated in the document, a string check that needs no model and no labels, does carry information,</w:t>
      </w:r>
      <w:r>
        <w:t xml:space="preserve"> </w:t>
      </w:r>
      <w:r>
        <w:t xml:space="preserve">but by kind: numbers found verbatim are right 95% of the time against 73% when not, free text 64% against 39%,</w:t>
      </w:r>
      <w:r>
        <w:t xml:space="preserve"> </w:t>
      </w:r>
      <w:r>
        <w:t xml:space="preserve">categories 69% against 61% (labels are rarely in the text), and lists 28% against 14%, where the decisive check is</w:t>
      </w:r>
      <w:r>
        <w:t xml:space="preserve"> </w:t>
      </w:r>
      <w:r>
        <w:t xml:space="preserve">whether every item is stated (36% right when all are, 0% when any item is invented). Put together, grounding,</w:t>
      </w:r>
      <w:r>
        <w:t xml:space="preserve"> </w:t>
      </w:r>
      <w:r>
        <w:t xml:space="preserve">disagreement, emptiness, value length, the column’s sensitivity from ten documents and its kind make a label-free</w:t>
      </w:r>
      <w:r>
        <w:t xml:space="preserve"> </w:t>
      </w:r>
      <w:r>
        <w:t xml:space="preserve">verifier: a logistic regression on them predicts whether a cell is wrong with AUROC 0.85 when cross-validated by</w:t>
      </w:r>
      <w:r>
        <w:t xml:space="preserve"> </w:t>
      </w:r>
      <w:r>
        <w:t xml:space="preserve">column, and 0.75 to 0.89 when trained on four corpora and tested on the fifth. Grounding alone is useless (0.44),</w:t>
      </w:r>
      <w:r>
        <w:t xml:space="preserve"> </w:t>
      </w:r>
      <w:r>
        <w:t xml:space="preserve">disagreement alone gives 0.70; the largest weights are an empty cell, a sensitive column and an invented list item.</w:t>
      </w:r>
      <w:r>
        <w:t xml:space="preserve"> </w:t>
      </w:r>
      <w:r>
        <w:rPr>
          <w:bCs/>
          <w:b/>
        </w:rPr>
        <w:t xml:space="preserve">Priced rather than counted, the second looks tell a different story from Figure 5b:</w:t>
      </w:r>
      <w:r>
        <w:t xml:space="preserve"> </w:t>
      </w:r>
      <w:r>
        <w:t xml:space="preserve">the most sensitive columns sit</w:t>
      </w:r>
      <w:r>
        <w:t xml:space="preserve"> </w:t>
      </w:r>
      <w:r>
        <w:t xml:space="preserve">in short documents, so most-sensitive-first gives 152 net fixes per dollar at the 32B’s price against 93 for random and</w:t>
      </w:r>
      <w:r>
        <w:t xml:space="preserve"> </w:t>
      </w:r>
      <w:r>
        <w:t xml:space="preserve">111 for the verifier’s ranking, and the document’s length, not the rule, sets the price of a fix. A cascade over</w:t>
      </w:r>
      <w:r>
        <w:t xml:space="preserve"> </w:t>
      </w:r>
      <w:r>
        <w:t xml:space="preserve">documents has to be budgeted in tokens, and a router should weigh the expected fix by the length of what it must read.</w:t>
      </w:r>
    </w:p>
    <w:p>
      <w:pPr>
        <w:pStyle w:val="BodyText"/>
      </w:pPr>
      <w:r>
        <w:t xml:space="preserve">We then let the verifier choose: 600 second looks by the 32B routed by its score, against 600 at random and 600</w:t>
      </w:r>
      <w:r>
        <w:t xml:space="preserve"> </w:t>
      </w:r>
      <w:r>
        <w:t xml:space="preserve">most-sensitive-first (1,280 new reads). The verifier’s 600 are wrong 99% of the time, random’s 60%; but the 32B</w:t>
      </w:r>
      <w:r>
        <w:t xml:space="preserve"> </w:t>
      </w:r>
      <w:r>
        <w:t xml:space="preserve">repairs 13% of the verifier’s and 32% of random’s, so the verifier nets 72 fixes for $0.52 against random’s 89 for</w:t>
      </w:r>
      <w:r>
        <w:t xml:space="preserve"> </w:t>
      </w:r>
      <w:r>
        <w:t xml:space="preserve">$0.55. On all 2,999 cells that now have a second look, the same label-free features predict</w:t>
      </w:r>
      <w:r>
        <w:t xml:space="preserve"> </w:t>
      </w:r>
      <w:r>
        <w:t xml:space="preserve">“</w:t>
      </w:r>
      <w:r>
        <w:t xml:space="preserve">wrong</w:t>
      </w:r>
      <w:r>
        <w:t xml:space="preserve">”</w:t>
      </w:r>
      <w:r>
        <w:t xml:space="preserve"> </w:t>
      </w:r>
      <w:r>
        <w:t xml:space="preserve">with AUROC 0.84</w:t>
      </w:r>
      <w:r>
        <w:t xml:space="preserve"> </w:t>
      </w:r>
      <w:r>
        <w:t xml:space="preserve">and</w:t>
      </w:r>
      <w:r>
        <w:t xml:space="preserve"> </w:t>
      </w:r>
      <w:r>
        <w:t xml:space="preserve">“</w:t>
      </w:r>
      <w:r>
        <w:t xml:space="preserve">wrong and repaired by the stronger reader</w:t>
      </w:r>
      <w:r>
        <w:t xml:space="preserve">”</w:t>
      </w:r>
      <w:r>
        <w:t xml:space="preserve"> </w:t>
      </w:r>
      <w:r>
        <w:t xml:space="preserve">with 0.53, which is chance.</w:t>
      </w:r>
      <w:r>
        <w:t xml:space="preserve"> </w:t>
      </w:r>
      <w:r>
        <w:rPr>
          <w:bCs/>
          <w:b/>
        </w:rPr>
        <w:t xml:space="preserve">The verifier detects</w:t>
      </w:r>
      <w:r>
        <w:rPr>
          <w:bCs/>
          <w:b/>
        </w:rPr>
        <w:t xml:space="preserve"> </w:t>
      </w:r>
      <w:r>
        <w:rPr>
          <w:bCs/>
          <w:b/>
        </w:rPr>
        <w:t xml:space="preserve">under-determination, which no reader repairs; it cannot see repairability, and nothing label-free in these features</w:t>
      </w:r>
      <w:r>
        <w:rPr>
          <w:bCs/>
          <w:b/>
        </w:rPr>
        <w:t xml:space="preserve"> </w:t>
      </w:r>
      <w:r>
        <w:rPr>
          <w:bCs/>
          <w:b/>
        </w:rPr>
        <w:t xml:space="preserve">can.</w:t>
      </w:r>
      <w:r>
        <w:t xml:space="preserve"> </w:t>
      </w:r>
      <w:r>
        <w:t xml:space="preserve">Repair rates are flat across kinds (14% to 23% of wrong cells), so a second look repairs about a fifth of</w:t>
      </w:r>
      <w:r>
        <w:t xml:space="preserve"> </w:t>
      </w:r>
      <w:r>
        <w:t xml:space="preserve">wrong cells whoever chooses them. The verifier’s use is the one it is good at: saying which cells not to trust.</w:t>
      </w:r>
      <w:r>
        <w:t xml:space="preserve"> </w:t>
      </w:r>
      <w:r>
        <w:rPr>
          <w:bCs/>
          <w:b/>
        </w:rPr>
        <w:t xml:space="preserve">Repairability is a column property, and ten labelled cells find it.</w:t>
      </w:r>
      <w:r>
        <w:t xml:space="preserve"> </w:t>
      </w:r>
      <w:r>
        <w:t xml:space="preserve">Over the 25 columns with twenty or more</w:t>
      </w:r>
      <w:r>
        <w:t xml:space="preserve"> </w:t>
      </w:r>
      <w:r>
        <w:t xml:space="preserve">second looks, the net repair rate ranges from −0.67 to +0.56 per look (an artist’s death date +0.56, birth city</w:t>
      </w:r>
      <w:r>
        <w:t xml:space="preserve"> </w:t>
      </w:r>
      <w:r>
        <w:t xml:space="preserve">+0.54; columns where the stronger reader breaks more than it fixes at the other end). Estimating each column’s rate</w:t>
      </w:r>
      <w:r>
        <w:t xml:space="preserve"> </w:t>
      </w:r>
      <w:r>
        <w:t xml:space="preserve">from ten labelled second looks and routing 600 looks by it nets 189 fixes against 59 for random and 68 for</w:t>
      </w:r>
      <w:r>
        <w:t xml:space="preserve"> </w:t>
      </w:r>
      <w:r>
        <w:t xml:space="preserve">most-sensitive-first, 402 fixes per dollar with price in the denominator against 123, and close to the 206 of the</w:t>
      </w:r>
      <w:r>
        <w:t xml:space="preserve"> </w:t>
      </w:r>
      <w:r>
        <w:t xml:space="preserve">hindsight order. A stronger reader repairs misreadings of determined columns, and which columns those are is learnt</w:t>
      </w:r>
      <w:r>
        <w:t xml:space="preserve"> </w:t>
      </w:r>
      <w:r>
        <w:t xml:space="preserve">from a handful of labels, not from label-free features. The cascade router is a per-column table of repair rates.</w:t>
      </w:r>
    </w:p>
    <w:p>
      <w:pPr>
        <w:pStyle w:val="BodyText"/>
      </w:pPr>
      <w:r>
        <w:rPr>
          <w:iCs/>
          <w:i/>
        </w:rPr>
        <w:t xml:space="preserve">What this lets you decide.</w:t>
      </w:r>
      <w:r>
        <w:t xml:space="preserve"> </w:t>
      </w:r>
      <w:r>
        <w:t xml:space="preserve">Before any gold data exists, asking a column twice with two cheap prompts on ten or so</w:t>
      </w:r>
      <w:r>
        <w:t xml:space="preserve"> </w:t>
      </w:r>
      <w:r>
        <w:t xml:space="preserve">documents tells you which columns the documents determine. Where they do not, re-asking is wasted, whatever the</w:t>
      </w:r>
      <w:r>
        <w:t xml:space="preserve"> </w:t>
      </w:r>
      <w:r>
        <w:t xml:space="preserve">model: change the specification, narrow the vocabulary, or ask a person. Where they do and the column is still wrong,</w:t>
      </w:r>
      <w:r>
        <w:t xml:space="preserve"> </w:t>
      </w:r>
      <w:r>
        <w:t xml:space="preserve">a different reader is the repair. For categories, agreement is not evidence of correctness, and the category</w:t>
      </w:r>
      <w:r>
        <w:t xml:space="preserve"> </w:t>
      </w:r>
      <w:r>
        <w:t xml:space="preserve">definitions themselves need checking. A verifier built from grounding, disagreement and sensitivity, which needs</w:t>
      </w:r>
      <w:r>
        <w:t xml:space="preserve"> </w:t>
      </w:r>
      <w:r>
        <w:t xml:space="preserve">neither labels nor a model, tells which cells not to trust; it does not tell which a stronger reader will repair.</w:t>
      </w:r>
      <w:r>
        <w:t xml:space="preserve"> </w:t>
      </w:r>
      <w:r>
        <w:t xml:space="preserve">Label ten second looks per column, route by the column’s repair rate over its price, and expect three times the</w:t>
      </w:r>
      <w:r>
        <w:t xml:space="preserve"> </w:t>
      </w:r>
      <w:r>
        <w:t xml:space="preserve">repairs of a random allocation.</w:t>
      </w:r>
    </w:p>
    <w:bookmarkEnd w:id="36"/>
    <w:bookmarkStart w:id="49" w:name="X18984107c3adb65f1412ca1d0a0006afa236e9f"/>
    <w:p>
      <w:pPr>
        <w:pStyle w:val="Heading1"/>
      </w:pPr>
      <w:r>
        <w:t xml:space="preserve">Why do aggregate queries over extracted values lose their groups?</w:t>
      </w:r>
    </w:p>
    <w:p>
      <w:pPr>
        <w:pStyle w:val="FirstParagraph"/>
      </w:pPr>
      <w:r>
        <w:t xml:space="preserve">Looking at individual queries rather than averages,</w:t>
      </w:r>
      <w:r>
        <w:t xml:space="preserve"> </w:t>
      </w:r>
      <w:r>
        <w:rPr>
          <w:bCs/>
          <w:b/>
        </w:rPr>
        <w:t xml:space="preserve">most failures are the wrong set of groups, and almost always too</w:t>
      </w:r>
      <w:r>
        <w:rPr>
          <w:bCs/>
          <w:b/>
        </w:rPr>
        <w:t xml:space="preserve"> </w:t>
      </w:r>
      <w:r>
        <w:rPr>
          <w:bCs/>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Cs/>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6. (a) Distinct values in the extracted GROUP BY column relative to gold. (b) Share of queries returning too few groups, by the number of groups in the gold answer." title="" id="38" name="Picture"/>
            <a:graphic>
              <a:graphicData uri="http://schemas.openxmlformats.org/drawingml/2006/picture">
                <pic:pic>
                  <pic:nvPicPr>
                    <pic:cNvPr descr="figures/b7_label_collapse.png" id="39" name="Picture"/>
                    <pic:cNvPicPr>
                      <a:picLocks noChangeArrowheads="1" noChangeAspect="1"/>
                    </pic:cNvPicPr>
                  </pic:nvPicPr>
                  <pic:blipFill>
                    <a:blip r:embed="rId37"/>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6.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49% get the exact gold label. 19% get a label of their own that is spelled differently, so the group survives under</w:t>
      </w:r>
      <w:r>
        <w:t xml:space="preserve"> </w:t>
      </w:r>
      <w:r>
        <w:t xml:space="preserve">another name.</w:t>
      </w:r>
      <w:r>
        <w:t xml:space="preserve"> </w:t>
      </w:r>
      <w:r>
        <w:rPr>
          <w:bCs/>
          <w:b/>
        </w:rPr>
        <w:t xml:space="preserve">23% are merged into a label that mostly belongs to a different gold group, and only 9% are left</w:t>
      </w:r>
      <w:r>
        <w:rPr>
          <w:bCs/>
          <w:b/>
        </w:rPr>
        <w:t xml:space="preserve"> </w:t>
      </w:r>
      <w:r>
        <w:rPr>
          <w:bCs/>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Cs/>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18%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7. Where each gold row of a GROUP BY column ends up in the extracted table, by kind of column (a) and by corpus (b), at 100% drift." title="" id="41" name="Picture"/>
            <a:graphic>
              <a:graphicData uri="http://schemas.openxmlformats.org/drawingml/2006/picture">
                <pic:pic>
                  <pic:nvPicPr>
                    <pic:cNvPr descr="figures/b8_label_fate.png" id="42" name="Picture"/>
                    <pic:cNvPicPr>
                      <a:picLocks noChangeArrowheads="1" noChangeAspect="1"/>
                    </pic:cNvPicPr>
                  </pic:nvPicPr>
                  <pic:blipFill>
                    <a:blip r:embed="rId40"/>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7.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8. Mean score by aggregate across drift levels, with on-demand extraction (a) and the static build (b)." title="" id="44" name="Picture"/>
            <a:graphic>
              <a:graphicData uri="http://schemas.openxmlformats.org/drawingml/2006/picture">
                <pic:pic>
                  <pic:nvPicPr>
                    <pic:cNvPr descr="figures/b1_aggregate_drift.png" id="45" name="Picture"/>
                    <pic:cNvPicPr>
                      <a:picLocks noChangeArrowheads="1" noChangeAspect="1"/>
                    </pic:cNvPicPr>
                  </pic:nvPicPr>
                  <pic:blipFill>
                    <a:blip r:embed="rId43"/>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8.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9. Aggregate values in matched groups at 100% drift: too low, within 20% of gold, or too high." title="" id="47" name="Picture"/>
            <a:graphic>
              <a:graphicData uri="http://schemas.openxmlformats.org/drawingml/2006/picture">
                <pic:pic>
                  <pic:nvPicPr>
                    <pic:cNvPr descr="figures/b6_aggregate_direction.png" id="48" name="Picture"/>
                    <pic:cNvPicPr>
                      <a:picLocks noChangeArrowheads="1" noChangeAspect="1"/>
                    </pic:cNvPicPr>
                  </pic:nvPicPr>
                  <pic:blipFill>
                    <a:blip r:embed="rId46"/>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9.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Cs/>
          <w:b/>
        </w:rPr>
        <w:t xml:space="preserve">Part of that ordering is a property of the aggregate and part is a property of which</w:t>
      </w:r>
      <w:r>
        <w:rPr>
          <w:bCs/>
          <w:b/>
        </w:rPr>
        <w:t xml:space="preserve"> </w:t>
      </w:r>
      <w:r>
        <w:rPr>
          <w:bCs/>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Cs/>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bookmarkEnd w:id="49"/>
    <w:bookmarkStart w:id="53" w:name="X6ecc12248d1b3b38a7c6a82bb5429965b7549d2"/>
    <w:p>
      <w:pPr>
        <w:pStyle w:val="Heading1"/>
      </w:pPr>
      <w:r>
        <w:t xml:space="preserve">Do these explanations predict where another system fails?</w:t>
      </w:r>
    </w:p>
    <w:p>
      <w:pPr>
        <w:pStyle w:val="FirstParagraph"/>
      </w:pPr>
      <w:r>
        <w:t xml:space="preserve">An explanation that is about columns, values and aggregates, rather than about our system, should predict the</w:t>
      </w:r>
      <w:r>
        <w:t xml:space="preserve"> </w:t>
      </w:r>
      <w:r>
        <w:t xml:space="preserve">failures of any system that extracts the same columns with an LLM. We checked this on DocETL’s outputs for the same</w:t>
      </w:r>
      <w:r>
        <w:t xml:space="preserve"> </w:t>
      </w:r>
      <w:r>
        <w:t xml:space="preserve">corpora and queries, without changing DocETL. This tests the explanations as predictions; it does not yet test whether</w:t>
      </w:r>
      <w:r>
        <w:t xml:space="preserve"> </w:t>
      </w:r>
      <w:r>
        <w:t xml:space="preserve">applying them improves DocETL, which needs new runs.</w:t>
      </w:r>
    </w:p>
    <w:p>
      <w:pPr>
        <w:pStyle w:val="BodyText"/>
      </w:pPr>
      <w:r>
        <w:rPr>
          <w:bCs/>
          <w:b/>
        </w:rPr>
        <w:t xml:space="preserve">Most predictions hold.</w:t>
      </w:r>
      <w:r>
        <w:t xml:space="preserve"> </w:t>
      </w:r>
      <w:r>
        <w:t xml:space="preserve">Where our two prompts disagree on a cell, DocETL’s value for that cell is wrong 78% of the</w:t>
      </w:r>
      <w:r>
        <w:t xml:space="preserve"> </w:t>
      </w:r>
      <w:r>
        <w:t xml:space="preserve">time; where they agree, 38%. The signal is strong for numbers (57% against 28%), lists (84% against 43%) and free text</w:t>
      </w:r>
      <w:r>
        <w:t xml:space="preserve"> </w:t>
      </w:r>
      <w:r>
        <w:t xml:space="preserve">(80% against 49%). List columns lose the most group labels in DocETL as well (37% of non-empty rows keep the exact</w:t>
      </w:r>
      <w:r>
        <w:t xml:space="preserve"> </w:t>
      </w:r>
      <w:r>
        <w:t xml:space="preserve">label, against 65% to 74% for the other kinds), and DocETL merges category and yes/no labels at rates close to ours</w:t>
      </w:r>
      <w:r>
        <w:t xml:space="preserve"> </w:t>
      </w:r>
      <w:r>
        <w:t xml:space="preserve">(19% and 21% of non-empty rows, against our 25% and 18%). MIN is almost never too low in DocETL either (3% of matched groups, ours 2%).</w:t>
      </w:r>
      <w:r>
        <w:t xml:space="preserve"> </w:t>
      </w:r>
      <w:r>
        <w:t xml:space="preserve">Within each corpus, DocETL’s MAX queries are below the corpus mean on four of five corpora, its COUNT queries are above</w:t>
      </w:r>
      <w:r>
        <w:t xml:space="preserve"> </w:t>
      </w:r>
      <w:r>
        <w:t xml:space="preserve">it on all five, as in our system, and grouping by a list column is below the mean on all three corpora that have one.</w:t>
      </w:r>
    </w:p>
    <w:p>
      <w:pPr>
        <w:pStyle w:val="CaptionedFigure"/>
      </w:pPr>
      <w:r>
        <w:drawing>
          <wp:inline>
            <wp:extent cx="5334000" cy="1981200"/>
            <wp:effectExtent b="0" l="0" r="0" t="0"/>
            <wp:docPr descr="Figure 10. (a) Share of DocETL’s values that are wrong, split by whether our two prompts agree on the cell. (b) Share of GROUP BY rows that keep the exact gold label, by kind of column, in our system and in DocETL (non-empty rows, numbers compared as numbers)." title="" id="51" name="Picture"/>
            <a:graphic>
              <a:graphicData uri="http://schemas.openxmlformats.org/drawingml/2006/picture">
                <pic:pic>
                  <pic:nvPicPr>
                    <pic:cNvPr descr="figures/w8_docetl_predict.png" id="52" name="Picture"/>
                    <pic:cNvPicPr>
                      <a:picLocks noChangeArrowheads="1" noChangeAspect="1"/>
                    </pic:cNvPicPr>
                  </pic:nvPicPr>
                  <pic:blipFill>
                    <a:blip r:embed="rId50"/>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10. (a) Share of DocETL’s values that are wrong, split by whether our two prompts agree on the cell. (b) Share</w:t>
      </w:r>
      <w:r>
        <w:t xml:space="preserve"> </w:t>
      </w:r>
      <w:r>
        <w:t xml:space="preserve">of GROUP BY rows that keep the exact gold label, by kind of column, in our system and in DocETL (non-empty rows,</w:t>
      </w:r>
      <w:r>
        <w:t xml:space="preserve"> </w:t>
      </w:r>
      <w:r>
        <w:t xml:space="preserve">numbers compared as numbers).</w:t>
      </w:r>
    </w:p>
    <w:p>
      <w:pPr>
        <w:pStyle w:val="BodyText"/>
      </w:pPr>
      <w:r>
        <w:rPr>
          <w:bCs/>
          <w:b/>
        </w:rPr>
        <w:t xml:space="preserve">Three predictions fail, and each failure narrows an explanation.</w:t>
      </w:r>
      <w:r>
        <w:t xml:space="preserve"> </w:t>
      </w:r>
      <w:r>
        <w:t xml:space="preserve">Our disagreement says nothing about DocETL’s</w:t>
      </w:r>
      <w:r>
        <w:t xml:space="preserve"> </w:t>
      </w:r>
      <w:r>
        <w:t xml:space="preserve">yes/no errors (34% against 35%), and on categories it separates them only weakly (49% against 42%). So disagreement</w:t>
      </w:r>
      <w:r>
        <w:t xml:space="preserve"> </w:t>
      </w:r>
      <w:r>
        <w:t xml:space="preserve">transfers where errors come from the document leaving the answer open, and not where they come from how a system phrases</w:t>
      </w:r>
      <w:r>
        <w:t xml:space="preserve"> </w:t>
      </w:r>
      <w:r>
        <w:t xml:space="preserve">its labels, which differs between systems. Numbers keep the exact label for only 69% of DocETL’s rows, against 96% in</w:t>
      </w:r>
      <w:r>
        <w:t xml:space="preserve"> </w:t>
      </w:r>
      <w:r>
        <w:t xml:space="preserve">ours, because a quarter of its numbers come back in another form, so</w:t>
      </w:r>
      <w:r>
        <w:t xml:space="preserve"> </w:t>
      </w:r>
      <w:r>
        <w:t xml:space="preserve">“</w:t>
      </w:r>
      <w:r>
        <w:t xml:space="preserve">numbers are safe to group by</w:t>
      </w:r>
      <w:r>
        <w:t xml:space="preserve">”</w:t>
      </w:r>
      <w:r>
        <w:t xml:space="preserve"> </w:t>
      </w:r>
      <w:r>
        <w:t xml:space="preserve">depends on the</w:t>
      </w:r>
      <w:r>
        <w:t xml:space="preserve"> </w:t>
      </w:r>
      <w:r>
        <w:t xml:space="preserve">system writing numbers in one form. And DocETL’s AVG and SUM queries are below their corpus mean on four corpora, where</w:t>
      </w:r>
      <w:r>
        <w:t xml:space="preserve"> </w:t>
      </w:r>
      <w:r>
        <w:t xml:space="preserve">ours are not; our explanation that errors cancel in sums and averages assumes that every row is read, and DocETL reads</w:t>
      </w:r>
      <w:r>
        <w:t xml:space="preserve"> </w:t>
      </w:r>
      <w:r>
        <w:t xml:space="preserve">only the documents each query’s own filters keep, so rows go missing rather than errors cancelling.</w:t>
      </w:r>
    </w:p>
    <w:p>
      <w:pPr>
        <w:pStyle w:val="BodyText"/>
      </w:pPr>
      <w:r>
        <w:rPr>
          <w:iCs/>
          <w:i/>
        </w:rPr>
        <w:t xml:space="preserve">What this lets you decide.</w:t>
      </w:r>
      <w:r>
        <w:t xml:space="preserve"> </w:t>
      </w:r>
      <w:r>
        <w:t xml:space="preserve">Disagreement between two cheap prompts can be used to judge columns for a different</w:t>
      </w:r>
      <w:r>
        <w:t xml:space="preserve"> </w:t>
      </w:r>
      <w:r>
        <w:t xml:space="preserve">system than the one that produced the prompts, at least for numbers, lists and free text. Which queries to distrust (a</w:t>
      </w:r>
      <w:r>
        <w:t xml:space="preserve"> </w:t>
      </w:r>
      <w:r>
        <w:t xml:space="preserve">list in the GROUP BY, a MAX) carries over too. Statements that depend on how a system writes values or which documents</w:t>
      </w:r>
      <w:r>
        <w:t xml:space="preserve"> </w:t>
      </w:r>
      <w:r>
        <w:t xml:space="preserve">it reads, such as the safety of numbers and of averages, have to be checked per system.</w:t>
      </w:r>
    </w:p>
    <w:bookmarkEnd w:id="53"/>
    <w:bookmarkStart w:id="57" w:name="X064feaf67e951941e24849376974c3442da14c9"/>
    <w:p>
      <w:pPr>
        <w:pStyle w:val="Heading1"/>
      </w:pPr>
      <w:r>
        <w:t xml:space="preserve">Why is anticipating a column cheap, and when is it worth it?</w:t>
      </w:r>
    </w:p>
    <w:p>
      <w:pPr>
        <w:pStyle w:val="FirstParagraph"/>
      </w:pPr>
      <w:r>
        <w:t xml:space="preserve">Anticipating a column costs 2.7 to 5.9 times less than extracting it on demand, and the</w:t>
      </w:r>
      <w:r>
        <w:t xml:space="preserve"> </w:t>
      </w:r>
      <w:r>
        <w:rPr>
          <w:iCs/>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Cs/>
          <w:b/>
        </w:rPr>
        <w:t xml:space="preserve">Both follow</w:t>
      </w:r>
      <w:r>
        <w:rPr>
          <w:bCs/>
          <w:b/>
        </w:rPr>
        <w:t xml:space="preserve"> </w:t>
      </w:r>
      <w:r>
        <w:rPr>
          <w:bCs/>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Cs/>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Corpus</w:t>
            </w:r>
          </w:p>
        </w:tc>
        <w:tc>
          <w:tcPr/>
          <w:p>
            <w:pPr>
              <w:pStyle w:val="Compact"/>
              <w:jc w:val="left"/>
            </w:pPr>
            <w:r>
              <w:t xml:space="preserve">Median document (tokens)</w:t>
            </w:r>
          </w:p>
        </w:tc>
        <w:tc>
          <w:tcPr/>
          <w:p>
            <w:pPr>
              <w:pStyle w:val="Compact"/>
              <w:jc w:val="left"/>
            </w:pPr>
            <w:r>
              <w:t xml:space="preserve">Predicted</w:t>
            </w:r>
          </w:p>
        </w:tc>
        <w:tc>
          <w:tcPr/>
          <w:p>
            <w:pPr>
              <w:pStyle w:val="Compact"/>
              <w:jc w:val="left"/>
            </w:pPr>
            <w:r>
              <w:t xml:space="preserve">Measured</w:t>
            </w:r>
          </w:p>
        </w:tc>
      </w:tr>
      <w:tr>
        <w:tc>
          <w:tcPr/>
          <w:p>
            <w:pPr>
              <w:pStyle w:val="Compact"/>
              <w:jc w:val="left"/>
            </w:pPr>
            <w:r>
              <w:t xml:space="preserve">Research papers</w:t>
            </w:r>
          </w:p>
        </w:tc>
        <w:tc>
          <w:tcPr/>
          <w:p>
            <w:pPr>
              <w:pStyle w:val="Compact"/>
              <w:jc w:val="left"/>
            </w:pPr>
            <w:r>
              <w:t xml:space="preserve">928</w:t>
            </w:r>
          </w:p>
        </w:tc>
        <w:tc>
          <w:tcPr/>
          <w:p>
            <w:pPr>
              <w:pStyle w:val="Compact"/>
              <w:jc w:val="left"/>
            </w:pPr>
            <w:r>
              <w:t xml:space="preserve">9.9%</w:t>
            </w:r>
          </w:p>
        </w:tc>
        <w:tc>
          <w:tcPr/>
          <w:p>
            <w:pPr>
              <w:pStyle w:val="Compact"/>
              <w:jc w:val="left"/>
            </w:pPr>
            <w:r>
              <w:t xml:space="preserve">13.1%</w:t>
            </w:r>
          </w:p>
        </w:tc>
      </w:tr>
      <w:tr>
        <w:tc>
          <w:tcPr/>
          <w:p>
            <w:pPr>
              <w:pStyle w:val="Compact"/>
              <w:jc w:val="left"/>
            </w:pPr>
            <w:r>
              <w:t xml:space="preserve">Artists</w:t>
            </w:r>
          </w:p>
        </w:tc>
        <w:tc>
          <w:tcPr/>
          <w:p>
            <w:pPr>
              <w:pStyle w:val="Compact"/>
              <w:jc w:val="left"/>
            </w:pPr>
            <w:r>
              <w:t xml:space="preserve">745</w:t>
            </w:r>
          </w:p>
        </w:tc>
        <w:tc>
          <w:tcPr/>
          <w:p>
            <w:pPr>
              <w:pStyle w:val="Compact"/>
              <w:jc w:val="left"/>
            </w:pPr>
            <w:r>
              <w:t xml:space="preserve">9.3%</w:t>
            </w:r>
          </w:p>
        </w:tc>
        <w:tc>
          <w:tcPr/>
          <w:p>
            <w:pPr>
              <w:pStyle w:val="Compact"/>
              <w:jc w:val="left"/>
            </w:pPr>
            <w:r>
              <w:t xml:space="preserve">12.2%</w:t>
            </w:r>
          </w:p>
        </w:tc>
      </w:tr>
      <w:tr>
        <w:tc>
          <w:tcPr/>
          <w:p>
            <w:pPr>
              <w:pStyle w:val="Compact"/>
              <w:jc w:val="left"/>
            </w:pPr>
            <w:r>
              <w:t xml:space="preserve">Basketball players</w:t>
            </w:r>
          </w:p>
        </w:tc>
        <w:tc>
          <w:tcPr/>
          <w:p>
            <w:pPr>
              <w:pStyle w:val="Compact"/>
              <w:jc w:val="left"/>
            </w:pPr>
            <w:r>
              <w:t xml:space="preserve">995</w:t>
            </w:r>
          </w:p>
        </w:tc>
        <w:tc>
          <w:tcPr/>
          <w:p>
            <w:pPr>
              <w:pStyle w:val="Compact"/>
              <w:jc w:val="left"/>
            </w:pPr>
            <w:r>
              <w:t xml:space="preserve">1.7%</w:t>
            </w:r>
          </w:p>
        </w:tc>
        <w:tc>
          <w:tcPr/>
          <w:p>
            <w:pPr>
              <w:pStyle w:val="Compact"/>
              <w:jc w:val="left"/>
            </w:pPr>
            <w:r>
              <w:t xml:space="preserve">1.3%</w:t>
            </w:r>
          </w:p>
        </w:tc>
      </w:tr>
      <w:tr>
        <w:tc>
          <w:tcPr/>
          <w:p>
            <w:pPr>
              <w:pStyle w:val="Compact"/>
              <w:jc w:val="left"/>
            </w:pPr>
            <w:r>
              <w:t xml:space="preserve">Medical</w:t>
            </w:r>
          </w:p>
        </w:tc>
        <w:tc>
          <w:tcPr/>
          <w:p>
            <w:pPr>
              <w:pStyle w:val="Compact"/>
              <w:jc w:val="left"/>
            </w:pPr>
            <w:r>
              <w:t xml:space="preserve">9,537</w:t>
            </w:r>
          </w:p>
        </w:tc>
        <w:tc>
          <w:tcPr/>
          <w:p>
            <w:pPr>
              <w:pStyle w:val="Compact"/>
              <w:jc w:val="left"/>
            </w:pPr>
            <w:r>
              <w:t xml:space="preserve">1.7%</w:t>
            </w:r>
          </w:p>
        </w:tc>
        <w:tc>
          <w:tcPr/>
          <w:p>
            <w:pPr>
              <w:pStyle w:val="Compact"/>
              <w:jc w:val="left"/>
            </w:pPr>
            <w:r>
              <w:t xml:space="preserve">1.9%</w:t>
            </w:r>
          </w:p>
        </w:tc>
      </w:tr>
      <w:tr>
        <w:tc>
          <w:tcPr/>
          <w:p>
            <w:pPr>
              <w:pStyle w:val="Compact"/>
              <w:jc w:val="left"/>
            </w:pPr>
            <w:r>
              <w:t xml:space="preserve">Court judgments</w:t>
            </w:r>
          </w:p>
        </w:tc>
        <w:tc>
          <w:tcPr/>
          <w:p>
            <w:pPr>
              <w:pStyle w:val="Compact"/>
              <w:jc w:val="left"/>
            </w:pPr>
            <w:r>
              <w:t xml:space="preserve">4,762</w:t>
            </w:r>
          </w:p>
        </w:tc>
        <w:tc>
          <w:tcPr/>
          <w:p>
            <w:pPr>
              <w:pStyle w:val="Compact"/>
              <w:jc w:val="left"/>
            </w:pPr>
            <w:r>
              <w:t xml:space="preserve">2.0%</w:t>
            </w:r>
          </w:p>
        </w:tc>
        <w:tc>
          <w:tcPr/>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11. Left: composition of one extraction prompt at each corpus’s median document length. Right: predicted and measured break-even probability." title="" id="55" name="Picture"/>
            <a:graphic>
              <a:graphicData uri="http://schemas.openxmlformats.org/drawingml/2006/picture">
                <pic:pic>
                  <pic:nvPicPr>
                    <pic:cNvPr descr="figures/w2_cost_mechanism.png" id="56" name="Picture"/>
                    <pic:cNvPicPr>
                      <a:picLocks noChangeArrowheads="1" noChangeAspect="1"/>
                    </pic:cNvPicPr>
                  </pic:nvPicPr>
                  <pic:blipFill>
                    <a:blip r:embed="rId5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11.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Cs/>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Cs/>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bookmarkEnd w:id="57"/>
    <w:bookmarkStart w:id="64" w:name="Xdb61421cd5492d7ce390f9f554972516b04d38e"/>
    <w:p>
      <w:pPr>
        <w:pStyle w:val="Heading1"/>
      </w:pPr>
      <w:r>
        <w:t xml:space="preserve">Why can’t a budget policy that reasons about cost and timing beat first come, first served?</w:t>
      </w:r>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Cs/>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2. Share of each extraction’s score gain that goes to its own query and to later queries." title="" id="59" name="Picture"/>
            <a:graphic>
              <a:graphicData uri="http://schemas.openxmlformats.org/drawingml/2006/picture">
                <pic:pic>
                  <pic:nvPicPr>
                    <pic:cNvPr descr="figures/w3_value_timing.png" id="60" name="Picture"/>
                    <pic:cNvPicPr>
                      <a:picLocks noChangeArrowheads="1" noChangeAspect="1"/>
                    </pic:cNvPicPr>
                  </pic:nvPicPr>
                  <pic:blipFill>
                    <a:blip r:embed="rId58"/>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12. Share of each extraction’s score gain that goes to its own query and to later</w:t>
      </w:r>
      <w:r>
        <w:t xml:space="preserve"> </w:t>
      </w:r>
      <w:r>
        <w:t xml:space="preserve">queries.</w:t>
      </w:r>
    </w:p>
    <w:p>
      <w:pPr>
        <w:pStyle w:val="BodyText"/>
      </w:pPr>
      <w:r>
        <w:rPr>
          <w:bCs/>
          <w:b/>
        </w:rPr>
        <w:t xml:space="preserve">Capping the size of an extraction always loses (by 0.006 to 0.029), because the largest extractions are the most</w:t>
      </w:r>
      <w:r>
        <w:rPr>
          <w:bCs/>
          <w:b/>
        </w:rPr>
        <w:t xml:space="preserve"> </w:t>
      </w:r>
      <w:r>
        <w:rPr>
          <w:bCs/>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Cs/>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Cs/>
          <w:b/>
        </w:rPr>
        <w:t xml:space="preserve">So pacing wins only when re-extracting a column in</w:t>
      </w:r>
      <w:r>
        <w:rPr>
          <w:bCs/>
          <w:b/>
        </w:rPr>
        <w:t xml:space="preserve"> </w:t>
      </w:r>
      <w:r>
        <w:rPr>
          <w:bCs/>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rPr>
          <w:bCs/>
          <w:b/>
        </w:rPr>
        <w:t xml:space="preserve">We then built the policy the first version of this section called for, and it does not beat first come, first</w:t>
      </w:r>
      <w:r>
        <w:rPr>
          <w:bCs/>
          <w:b/>
        </w:rPr>
        <w:t xml:space="preserve"> </w:t>
      </w:r>
      <w:r>
        <w:rPr>
          <w:bCs/>
          <w:b/>
        </w:rPr>
        <w:t xml:space="preserve">served either.</w:t>
      </w:r>
      <w:r>
        <w:t xml:space="preserve"> </w:t>
      </w:r>
      <w:r>
        <w:t xml:space="preserve">Each table’s new columns are frozen into one prompt, so delaying an extraction cannot change its</w:t>
      </w:r>
      <w:r>
        <w:t xml:space="preserve"> </w:t>
      </w:r>
      <w:r>
        <w:t xml:space="preserve">values, and a patch is skipped when none of its columns has been reused and its estimated cost exceeds a tenth of the</w:t>
      </w:r>
      <w:r>
        <w:t xml:space="preserve"> </w:t>
      </w:r>
      <w:r>
        <w:t xml:space="preserve">remaining budget. Against first come, first served with the same frozen prompts, at budgets of 25% and 50% on five</w:t>
      </w:r>
      <w:r>
        <w:t xml:space="preserve"> </w:t>
      </w:r>
      <w:r>
        <w:t xml:space="preserve">corpora, the forecast policy loses 0.011 on average, with no wins and six losses; the one large loss is medical at</w:t>
      </w:r>
      <w:r>
        <w:t xml:space="preserve"> </w:t>
      </w:r>
      <w:r>
        <w:t xml:space="preserve">50% (−0.055), where an early expensive patch with no reuse history was skipped and later queries needed its columns</w:t>
      </w:r>
      <w:r>
        <w:t xml:space="preserve"> </w:t>
      </w:r>
      <w:r>
        <w:t xml:space="preserve">most. The reason generalizes. Under column drift the columns in demand are those no known query uses, so a reuse</w:t>
      </w:r>
      <w:r>
        <w:t xml:space="preserve"> </w:t>
      </w:r>
      <w:r>
        <w:t xml:space="preserve">forecast has nothing to forecast from until the first request, and the first request is itself the best predictor</w:t>
      </w:r>
      <w:r>
        <w:t xml:space="preserve"> </w:t>
      </w:r>
      <w:r>
        <w:t xml:space="preserve">of reuse (57% to 100% of columns asked once are asked again). First come, first served</w:t>
      </w:r>
      <w:r>
        <w:t xml:space="preserve"> </w:t>
      </w:r>
      <w:r>
        <w:rPr>
          <w:iCs/>
          <w:i/>
        </w:rPr>
        <w:t xml:space="preserve">is</w:t>
      </w:r>
      <w:r>
        <w:t xml:space="preserve"> </w:t>
      </w:r>
      <w:r>
        <w:t xml:space="preserve">the forecast policy in</w:t>
      </w:r>
      <w:r>
        <w:t xml:space="preserve"> </w:t>
      </w:r>
      <w:r>
        <w:t xml:space="preserve">that regime; forecasting pays where the workload repeats templates, not where it drifts. Without the frozen prompts</w:t>
      </w:r>
      <w:r>
        <w:t xml:space="preserve"> </w:t>
      </w:r>
      <w:r>
        <w:t xml:space="preserve">the same policy is a wash (+0.005, four wins and six losses at 86% of the tokens), and its gains on artists and</w:t>
      </w:r>
      <w:r>
        <w:t xml:space="preserve"> </w:t>
      </w:r>
      <w:r>
        <w:t xml:space="preserve">losses on papers, medical and court judgments are the value effect above, not the schedule.</w:t>
      </w:r>
    </w:p>
    <w:p>
      <w:pPr>
        <w:pStyle w:val="BodyText"/>
      </w:pPr>
      <w:r>
        <w:rPr>
          <w:bCs/>
          <w:b/>
        </w:rPr>
        <w:t xml:space="preserve">Pacing fails for a reason the frozen prompt exposes: the unit of extraction decides which policies are</w:t>
      </w:r>
      <w:r>
        <w:rPr>
          <w:bCs/>
          <w:b/>
        </w:rPr>
        <w:t xml:space="preserve"> </w:t>
      </w:r>
      <w:r>
        <w:rPr>
          <w:bCs/>
          <w:b/>
        </w:rPr>
        <w:t xml:space="preserve">admissible.</w:t>
      </w:r>
      <w:r>
        <w:t xml:space="preserve"> </w:t>
      </w:r>
      <w:r>
        <w:t xml:space="preserve">A frozen patch reads all of a table’s new columns in one prompt, so it is one large indivisible spend</w:t>
      </w:r>
      <w:r>
        <w:t xml:space="preserve"> </w:t>
      </w:r>
      <w:r>
        <w:t xml:space="preserve">(on players, 0.98M tokens at the first query), and a rule that releases the budget in proportion to the stream’s</w:t>
      </w:r>
      <w:r>
        <w:t xml:space="preserve"> </w:t>
      </w:r>
      <w:r>
        <w:t xml:space="preserve">progress cannot afford it until late. On players at 50% the paced stream skips the first query’s patch and the 101</w:t>
      </w:r>
      <w:r>
        <w:t xml:space="preserve"> </w:t>
      </w:r>
      <w:r>
        <w:t xml:space="preserve">later queries that need the same table, spends half its budget on two small patches, and scores 0.142 against 0.348</w:t>
      </w:r>
      <w:r>
        <w:t xml:space="preserve"> </w:t>
      </w:r>
      <w:r>
        <w:t xml:space="preserve">for first come, first served, which spent the budget at the first query and answered 111 queries. Over ten streams</w:t>
      </w:r>
      <w:r>
        <w:t xml:space="preserve"> </w:t>
      </w:r>
      <w:r>
        <w:t xml:space="preserve">pacing with frozen prompts loses 0.034 on average (one win, six losses); with per-query prompts, whose patches are</w:t>
      </w:r>
      <w:r>
        <w:t xml:space="preserve"> </w:t>
      </w:r>
      <w:r>
        <w:t xml:space="preserve">small, it is a wash (+0.006). Grouping makes spending lumpy, and a lumpy spend needs a lump-sum rule.</w:t>
      </w:r>
    </w:p>
    <w:p>
      <w:pPr>
        <w:pStyle w:val="BodyText"/>
      </w:pPr>
      <w:r>
        <w:rPr>
          <w:bCs/>
          <w:b/>
        </w:rPr>
        <w:t xml:space="preserve">What moves the budget curve is the extraction unit, not the schedule.</w:t>
      </w:r>
      <w:r>
        <w:t xml:space="preserve"> </w:t>
      </w:r>
      <w:r>
        <w:t xml:space="preserve">Compared on absolute tokens (each family’s</w:t>
      </w:r>
      <w:r>
        <w:t xml:space="preserve"> </w:t>
      </w:r>
      <w:r>
        <w:t xml:space="preserve">percentage budgets are shares of its own unlimited spend, which differ three- to sixfold), freezing each table’s new</w:t>
      </w:r>
      <w:r>
        <w:t xml:space="preserve"> </w:t>
      </w:r>
      <w:r>
        <w:t xml:space="preserve">columns into one prompt dominates the recorded one-prompt-per-query policy on four of five corpora: players 0.348 at</w:t>
      </w:r>
      <w:r>
        <w:t xml:space="preserve"> </w:t>
      </w:r>
      <w:r>
        <w:t xml:space="preserve">0.98M tokens against the recorded 0.293 at 2.8M; artists 0.197 at 0.8M against 0.191 at 2.5M; medical 0.122 at 1.2M</w:t>
      </w:r>
      <w:r>
        <w:t xml:space="preserve"> </w:t>
      </w:r>
      <w:r>
        <w:t xml:space="preserve">against 0.115 at 13.1M; court judgments 0.192 at 4.3M (unlimited) against 0.170 at 19.8M. Research papers is the</w:t>
      </w:r>
      <w:r>
        <w:t xml:space="preserve"> </w:t>
      </w:r>
      <w:r>
        <w:t xml:space="preserve">exception: the recorded run reaches 0.153 at 1.2M tokens where the frozen one stops at 0.131, because grouping lowers</w:t>
      </w:r>
      <w:r>
        <w:t xml:space="preserve"> </w:t>
      </w:r>
      <w:r>
        <w:t xml:space="preserve">the accuracy of papers’ most used columns (Section 1). Across every policy we tried, the schedule moves the score by</w:t>
      </w:r>
      <w:r>
        <w:t xml:space="preserve"> </w:t>
      </w:r>
      <w:r>
        <w:t xml:space="preserve">about 0.01 at a given budget; changing what one prompt asks for moves the tokens needed for a given score by three-</w:t>
      </w:r>
      <w:r>
        <w:t xml:space="preserve"> </w:t>
      </w:r>
      <w:r>
        <w:t xml:space="preserve">to tenfold.</w:t>
      </w:r>
    </w:p>
    <w:p>
      <w:pPr>
        <w:pStyle w:val="CaptionedFigure"/>
      </w:pPr>
      <w:r>
        <w:drawing>
          <wp:inline>
            <wp:extent cx="5334000" cy="1295400"/>
            <wp:effectExtent b="0" l="0" r="0" t="0"/>
            <wp:docPr descr="Figure 13. Mean query score against tokens spent, at budgets from 10% to unlimited, for the recorded one-prompt-per-query policy and for frozen prompts under first come, first served, the forecast policy and pacing." title="" id="62" name="Picture"/>
            <a:graphic>
              <a:graphicData uri="http://schemas.openxmlformats.org/drawingml/2006/picture">
                <pic:pic>
                  <pic:nvPicPr>
                    <pic:cNvPr descr="figures/w12_budget_curves.png" id="63" name="Picture"/>
                    <pic:cNvPicPr>
                      <a:picLocks noChangeArrowheads="1" noChangeAspect="1"/>
                    </pic:cNvPicPr>
                  </pic:nvPicPr>
                  <pic:blipFill>
                    <a:blip r:embed="rId61"/>
                    <a:stretch>
                      <a:fillRect/>
                    </a:stretch>
                  </pic:blipFill>
                  <pic:spPr bwMode="auto">
                    <a:xfrm>
                      <a:off x="0" y="0"/>
                      <a:ext cx="5334000" cy="1295400"/>
                    </a:xfrm>
                    <a:prstGeom prst="rect">
                      <a:avLst/>
                    </a:prstGeom>
                    <a:noFill/>
                    <a:ln w="9525">
                      <a:noFill/>
                      <a:headEnd/>
                      <a:tailEnd/>
                    </a:ln>
                  </pic:spPr>
                </pic:pic>
              </a:graphicData>
            </a:graphic>
          </wp:inline>
        </w:drawing>
      </w:r>
    </w:p>
    <w:p>
      <w:pPr>
        <w:pStyle w:val="ImageCaption"/>
      </w:pPr>
      <w:r>
        <w:t xml:space="preserve">Figure 13. Mean query score against tokens spent, at budgets from 10% to unlimited, for the recorded</w:t>
      </w:r>
      <w:r>
        <w:t xml:space="preserve"> </w:t>
      </w:r>
      <w:r>
        <w:t xml:space="preserve">one-prompt-per-query policy and for frozen prompts under first come, first served, the forecast policy and</w:t>
      </w:r>
      <w:r>
        <w:t xml:space="preserve"> </w:t>
      </w:r>
      <w:r>
        <w:t xml:space="preserve">pacing.</w:t>
      </w:r>
    </w:p>
    <w:p>
      <w:pPr>
        <w:pStyle w:val="BodyText"/>
      </w:pPr>
      <w:r>
        <w:t xml:space="preserve">We do not yet have a true upper bound for budget policies.</w:t>
      </w:r>
    </w:p>
    <w:p>
      <w:pPr>
        <w:pStyle w:val="BodyText"/>
      </w:pPr>
      <w:r>
        <w:rPr>
          <w:iCs/>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We built the first two parts of that policy, and it does not beat first come,</w:t>
      </w:r>
      <w:r>
        <w:t xml:space="preserve"> </w:t>
      </w:r>
      <w:r>
        <w:t xml:space="preserve">first served, because under drift there is no reuse history to forecast from. The decision that matters is made</w:t>
      </w:r>
      <w:r>
        <w:t xml:space="preserve"> </w:t>
      </w:r>
      <w:r>
        <w:t xml:space="preserve">before scheduling: fix the unit of extraction by each column’s context effect, then spend first come, first served,</w:t>
      </w:r>
      <w:r>
        <w:t xml:space="preserve"> </w:t>
      </w:r>
      <w:r>
        <w:t xml:space="preserve">and do not pace a lumpy spend.</w:t>
      </w:r>
    </w:p>
    <w:bookmarkEnd w:id="64"/>
    <w:bookmarkStart w:id="65" w:name="Xbd5cb092345892faad08ce8e3e52d3f9d449dcf"/>
    <w:p>
      <w:pPr>
        <w:pStyle w:val="Heading1"/>
      </w:pPr>
      <w:r>
        <w:t xml:space="preserve">Why does extracting a column for more documents sometimes make answers worse?</w:t>
      </w:r>
    </w:p>
    <w:p>
      <w:pPr>
        <w:pStyle w:val="FirstParagraph"/>
      </w:pPr>
      <w:r>
        <w:rPr>
          <w:bCs/>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Cs/>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bookmarkEnd w:id="65"/>
    <w:bookmarkStart w:id="66" w:name="Xb940d56232251f922fc395f7be93a4c760c95be"/>
    <w:p>
      <w:pPr>
        <w:pStyle w:val="Heading1"/>
      </w:pPr>
      <w:r>
        <w:t xml:space="preserve">Why does a planner that trusts its own extractions stop improving?</w:t>
      </w:r>
    </w:p>
    <w:p>
      <w:pPr>
        <w:pStyle w:val="FirstParagraph"/>
      </w:pPr>
      <w:r>
        <w:rPr>
          <w:bCs/>
          <w:b/>
        </w:rPr>
        <w:t xml:space="preserve">The planner estimates its loss as disagreement with each query’s own extraction, which means it treats its own</w:t>
      </w:r>
      <w:r>
        <w:rPr>
          <w:bCs/>
          <w:b/>
        </w:rPr>
        <w:t xml:space="preserve"> </w:t>
      </w:r>
      <w:r>
        <w:rPr>
          <w:bCs/>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Cs/>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bookmarkEnd w:id="66"/>
    <w:bookmarkStart w:id="73" w:name="Xdb894172f5ab5998735e9c0e4b8026977bb2e39"/>
    <w:p>
      <w:pPr>
        <w:pStyle w:val="Heading1"/>
      </w:pPr>
      <w:r>
        <w:t xml:space="preserve">Why do joins fail when each table’s keys are extracted separately?</w:t>
      </w:r>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Cs/>
          <w:b/>
        </w:rPr>
        <w:t xml:space="preserve">A join only matches rows whose keys agree, and keys</w:t>
      </w:r>
      <w:r>
        <w:rPr>
          <w:bCs/>
          <w:b/>
        </w:rPr>
        <w:t xml:space="preserve"> </w:t>
      </w:r>
      <w:r>
        <w:rPr>
          <w:bCs/>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4. Share of rows whose join key finds a partner in the joined table." title="" id="68" name="Picture"/>
            <a:graphic>
              <a:graphicData uri="http://schemas.openxmlformats.org/drawingml/2006/picture">
                <pic:pic>
                  <pic:nvPicPr>
                    <pic:cNvPr descr="figures/w5_join_keys.png" id="69" name="Picture"/>
                    <pic:cNvPicPr>
                      <a:picLocks noChangeArrowheads="1" noChangeAspect="1"/>
                    </pic:cNvPicPr>
                  </pic:nvPicPr>
                  <pic:blipFill>
                    <a:blip r:embed="rId67"/>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14. Share of rows whose join key finds a partner in the joined table.</w:t>
      </w:r>
    </w:p>
    <w:p>
      <w:pPr>
        <w:pStyle w:val="BodyText"/>
      </w:pPr>
      <w:r>
        <w:t xml:space="preserve">We then changed DocETL to find out. Each column is extracted once, by the first query that needs it and in that query’s</w:t>
      </w:r>
      <w:r>
        <w:t xml:space="preserve"> </w:t>
      </w:r>
      <w:r>
        <w:t xml:space="preserve">own prompt, and every later query reuses the value. On papers and players this cuts DocETL’s calls fifteen-fold but</w:t>
      </w:r>
      <w:r>
        <w:t xml:space="preserve"> </w:t>
      </w:r>
      <w:r>
        <w:t xml:space="preserve">loses accuracy (papers 0.122 → 0.059, players 0.108 → 0.054), and the per-column numbers show why: in DocETL’s</w:t>
      </w:r>
      <w:r>
        <w:t xml:space="preserve"> </w:t>
      </w:r>
      <w:r>
        <w:t xml:space="preserve">original run the share of documents for which a column is filled at all ranges from 1% to 100% depending on which</w:t>
      </w:r>
      <w:r>
        <w:t xml:space="preserve"> </w:t>
      </w:r>
      <w:r>
        <w:t xml:space="preserve">query’s prompt extracted it (paper name: 44 prompts, median fill 0.53, the first query’s 0.01).</w:t>
      </w:r>
      <w:r>
        <w:t xml:space="preserve"> </w:t>
      </w:r>
      <w:r>
        <w:rPr>
          <w:iCs/>
          <w:i/>
        </w:rPr>
        <w:t xml:space="preserve">Per-query extraction</w:t>
      </w:r>
      <w:r>
        <w:rPr>
          <w:iCs/>
          <w:i/>
        </w:rPr>
        <w:t xml:space="preserve"> </w:t>
      </w:r>
      <w:r>
        <w:rPr>
          <w:iCs/>
          <w:i/>
        </w:rPr>
        <w:t xml:space="preserve">is a lottery over contexts, and freezing on the first draw makes every later query hostage to it.</w:t>
      </w:r>
      <w:r>
        <w:t xml:space="preserve"> </w:t>
      </w:r>
      <w:r>
        <w:t xml:space="preserve">Joins still improve</w:t>
      </w:r>
      <w:r>
        <w:t xml:space="preserve"> </w:t>
      </w:r>
      <w:r>
        <w:t xml:space="preserve">(0.022 → 0.041; player–team keys matching 0.19 → 0.30), because even a poor key is the same key everywhere.</w:t>
      </w:r>
      <w:r>
        <w:t xml:space="preserve"> </w:t>
      </w:r>
      <w:r>
        <w:t xml:space="preserve">Freezing instead on the better of a column’s first two contexts, chosen without labels by the share of documents it</w:t>
      </w:r>
      <w:r>
        <w:t xml:space="preserve"> </w:t>
      </w:r>
      <w:r>
        <w:t xml:space="preserve">fills, recovers it:</w:t>
      </w:r>
      <w:r>
        <w:t xml:space="preserve"> </w:t>
      </w:r>
      <w:r>
        <w:rPr>
          <w:bCs/>
          <w:b/>
        </w:rPr>
        <w:t xml:space="preserve">on players DocETL then scores 0.145 to 0.164 in two runs against its own 0.108, with join</w:t>
      </w:r>
      <w:r>
        <w:rPr>
          <w:bCs/>
          <w:b/>
        </w:rPr>
        <w:t xml:space="preserve"> </w:t>
      </w:r>
      <w:r>
        <w:rPr>
          <w:bCs/>
          <w:b/>
        </w:rPr>
        <w:t xml:space="preserve">queries at 0.029 to 0.055 against 0.022 and about 60 queries better against 35 worse, at a twelfth of the calls</w:t>
      </w:r>
      <w:r>
        <w:t xml:space="preserve">; on</w:t>
      </w:r>
      <w:r>
        <w:t xml:space="preserve"> </w:t>
      </w:r>
      <w:r>
        <w:t xml:space="preserve">papers 0.101 against 0.122 at an eighth. Keeping drawing contexts until one fills half the documents (at most four)</w:t>
      </w:r>
      <w:r>
        <w:t xml:space="preserve"> </w:t>
      </w:r>
      <w:r>
        <w:t xml:space="preserve">gives 0.113 on papers at a fifth of the calls, 0.119 on players, and on artists 0.191 against 0.188 at 47% of the</w:t>
      </w:r>
      <w:r>
        <w:t xml:space="preserve"> </w:t>
      </w:r>
      <w:r>
        <w:t xml:space="preserve">calls (45% of the tokens), where 18 of 24 columns are determined by their first context and three are not after</w:t>
      </w:r>
      <w:r>
        <w:t xml:space="preserve"> </w:t>
      </w:r>
      <w:r>
        <w:t xml:space="preserve">four draws; so the determined-context rule holds per-query accuracy within 0.01 on three corpora at 13% to 45% of the</w:t>
      </w:r>
      <w:r>
        <w:t xml:space="preserve"> </w:t>
      </w:r>
      <w:r>
        <w:t xml:space="preserve">tokens. The two runs differ because DocETL sets no</w:t>
      </w:r>
      <w:r>
        <w:t xml:space="preserve"> </w:t>
      </w:r>
      <w:r>
        <w:t xml:space="preserve">temperature and so samples its answers: the same prompt on the same documents returns the same value only 69% to</w:t>
      </w:r>
      <w:r>
        <w:t xml:space="preserve"> </w:t>
      </w:r>
      <w:r>
        <w:t xml:space="preserve">100% of the time, which is a third reason a stored value is not</w:t>
      </w:r>
      <w:r>
        <w:t xml:space="preserve"> </w:t>
      </w:r>
      <w:r>
        <w:t xml:space="preserve">“</w:t>
      </w:r>
      <w:r>
        <w:t xml:space="preserve">the</w:t>
      </w:r>
      <w:r>
        <w:t xml:space="preserve">”</w:t>
      </w:r>
      <w:r>
        <w:t xml:space="preserve"> </w:t>
      </w:r>
      <w:r>
        <w:t xml:space="preserve">value, besides the prompt’s context and the</w:t>
      </w:r>
      <w:r>
        <w:t xml:space="preserve"> </w:t>
      </w:r>
      <w:r>
        <w:t xml:space="preserve">model, and it applies to the original per-query run as well. The gain is largest where queries join and group and</w:t>
      </w:r>
      <w:r>
        <w:t xml:space="preserve"> </w:t>
      </w:r>
      <w:r>
        <w:t xml:space="preserve">smallest where they filter single tables. And it comes despite the frozen values being</w:t>
      </w:r>
      <w:r>
        <w:t xml:space="preserve"> </w:t>
      </w:r>
      <w:r>
        <w:rPr>
          <w:iCs/>
          <w:i/>
        </w:rPr>
        <w:t xml:space="preserve">less</w:t>
      </w:r>
      <w:r>
        <w:t xml:space="preserve"> </w:t>
      </w:r>
      <w:r>
        <w:t xml:space="preserve">accurate per column</w:t>
      </w:r>
      <w:r>
        <w:t xml:space="preserve"> </w:t>
      </w:r>
      <w:r>
        <w:t xml:space="preserve">than the original’s pooled values (draft pick 0.95 → 0.63): one value per cell, the same for every query and agreeing</w:t>
      </w:r>
      <w:r>
        <w:t xml:space="preserve"> </w:t>
      </w:r>
      <w:r>
        <w:t xml:space="preserve">across tables, is worth more to a join or a GROUP BY than a higher accuracy that differs from query to query.</w:t>
      </w:r>
    </w:p>
    <w:p>
      <w:pPr>
        <w:pStyle w:val="CaptionedFigure"/>
      </w:pPr>
      <w:r>
        <w:drawing>
          <wp:inline>
            <wp:extent cx="5334000" cy="1485900"/>
            <wp:effectExtent b="0" l="0" r="0" t="0"/>
            <wp:docPr descr="Figure 15. DocETL’s mean query score and number of model calls on the same queries: per-query extraction, every column frozen on its first context, frozen on the better of its first two contexts (two runs), and frozen on a determined context; artists with the determined-context rule only." title="" id="71" name="Picture"/>
            <a:graphic>
              <a:graphicData uri="http://schemas.openxmlformats.org/drawingml/2006/picture">
                <pic:pic>
                  <pic:nvPicPr>
                    <pic:cNvPr descr="figures/w11_frozen_docetl.png" id="72" name="Picture"/>
                    <pic:cNvPicPr>
                      <a:picLocks noChangeArrowheads="1" noChangeAspect="1"/>
                    </pic:cNvPicPr>
                  </pic:nvPicPr>
                  <pic:blipFill>
                    <a:blip r:embed="rId70"/>
                    <a:stretch>
                      <a:fillRect/>
                    </a:stretch>
                  </pic:blipFill>
                  <pic:spPr bwMode="auto">
                    <a:xfrm>
                      <a:off x="0" y="0"/>
                      <a:ext cx="5334000" cy="1485900"/>
                    </a:xfrm>
                    <a:prstGeom prst="rect">
                      <a:avLst/>
                    </a:prstGeom>
                    <a:noFill/>
                    <a:ln w="9525">
                      <a:noFill/>
                      <a:headEnd/>
                      <a:tailEnd/>
                    </a:ln>
                  </pic:spPr>
                </pic:pic>
              </a:graphicData>
            </a:graphic>
          </wp:inline>
        </w:drawing>
      </w:r>
    </w:p>
    <w:p>
      <w:pPr>
        <w:pStyle w:val="ImageCaption"/>
      </w:pPr>
      <w:r>
        <w:t xml:space="preserve">Figure 15. DocETL’s mean query score and number of model calls on the same queries: per-query extraction, every</w:t>
      </w:r>
      <w:r>
        <w:t xml:space="preserve"> </w:t>
      </w:r>
      <w:r>
        <w:t xml:space="preserve">column frozen on its first context, frozen on the better of its first two contexts (two runs), and frozen on a</w:t>
      </w:r>
      <w:r>
        <w:t xml:space="preserve"> </w:t>
      </w:r>
      <w:r>
        <w:t xml:space="preserve">determined context; artists with the determined-context rule only.</w:t>
      </w:r>
    </w:p>
    <w:p>
      <w:pPr>
        <w:pStyle w:val="BodyText"/>
      </w:pPr>
      <w:r>
        <w:t xml:space="preserve">Basketball players is the only corpus with joins, so the join part rests on one corpus.</w:t>
      </w:r>
    </w:p>
    <w:p>
      <w:pPr>
        <w:pStyle w:val="BodyText"/>
      </w:pPr>
      <w:r>
        <w:rPr>
          <w:iCs/>
          <w:i/>
        </w:rPr>
        <w:t xml:space="preserve">What this lets you decide.</w:t>
      </w:r>
      <w:r>
        <w:t xml:space="preserve"> </w:t>
      </w:r>
      <w:r>
        <w:t xml:space="preserve">Join keys should be extracted once, with one definition, and shared by every query that</w:t>
      </w:r>
      <w:r>
        <w:t xml:space="preserve"> </w:t>
      </w:r>
      <w:r>
        <w:t xml:space="preserve">joins on them; more generally a stored value should be the same for every query that reads it, and the context it is</w:t>
      </w:r>
      <w:r>
        <w:t xml:space="preserve"> </w:t>
      </w:r>
      <w:r>
        <w:t xml:space="preserve">frozen on should be chosen for how well it determines the column, not for which query came first. This is the first</w:t>
      </w:r>
      <w:r>
        <w:t xml:space="preserve"> </w:t>
      </w:r>
      <w:r>
        <w:t xml:space="preserve">section’s finding applied to a store: consistency of a value across its uses matters more than the accuracy of any one</w:t>
      </w:r>
      <w:r>
        <w:t xml:space="preserve"> </w:t>
      </w:r>
      <w:r>
        <w:t xml:space="preserve">extraction of it.</w:t>
      </w:r>
    </w:p>
    <w:bookmarkEnd w:id="73"/>
    <w:bookmarkStart w:id="77" w:name="Xbd704315bbce43bad443e692e96e2196f2e3232"/>
    <w:p>
      <w:pPr>
        <w:pStyle w:val="Heading1"/>
      </w:pPr>
      <w:r>
        <w:t xml:space="preserve">Why does telling the model what a column means matter so much?</w:t>
      </w:r>
    </w:p>
    <w:p>
      <w:pPr>
        <w:pStyle w:val="FirstParagraph"/>
      </w:pPr>
      <w:r>
        <w:t xml:space="preserve">This one is expected and not new: UDA-Bench already evaluated DocETL with field descriptions in its prompts. We include</w:t>
      </w:r>
      <w:r>
        <w:t xml:space="preserve"> </w:t>
      </w:r>
      <w:r>
        <w:t xml:space="preserve">it because its size puts the other effects in perspective. Given only a column name, the model often does not know</w:t>
      </w:r>
      <w:r>
        <w:t xml:space="preserve"> </w:t>
      </w:r>
      <w:r>
        <w:t xml:space="preserve">what to write, whether that is a count, a list of years, or a date in a particular format, so it leaves the cell empty</w:t>
      </w:r>
      <w:r>
        <w:t xml:space="preserve"> </w:t>
      </w:r>
      <w:r>
        <w:t xml:space="preserve">or writes the value in another form. Without descriptions in the on-demand prompts, a count of FIBA World Cup</w:t>
      </w:r>
      <w:r>
        <w:t xml:space="preserve"> </w:t>
      </w:r>
      <w:r>
        <w:t xml:space="preserve">appearances falls from 0.86 to 0.01 correct, an artist’s award count from 0.74 to 0.06, and birth dates from 0.38 to</w:t>
      </w:r>
      <w:r>
        <w:t xml:space="preserve"> </w:t>
      </w:r>
      <w:r>
        <w:t xml:space="preserve">0.00. Adding the benchmark’s descriptions to a single extraction pass raised its score from 0.234 to 0.560, larger than</w:t>
      </w:r>
      <w:r>
        <w:t xml:space="preserve"> </w:t>
      </w:r>
      <w:r>
        <w:t xml:space="preserve">any scheduling or budget effect we measured.</w:t>
      </w:r>
    </w:p>
    <w:p>
      <w:pPr>
        <w:pStyle w:val="CaptionedFigure"/>
      </w:pPr>
      <w:r>
        <w:drawing>
          <wp:inline>
            <wp:extent cx="5334000" cy="2189747"/>
            <wp:effectExtent b="0" l="0" r="0" t="0"/>
            <wp:docPr descr="Figure 16. Share of cells correct with and without field descriptions." title="" id="75" name="Picture"/>
            <a:graphic>
              <a:graphicData uri="http://schemas.openxmlformats.org/drawingml/2006/picture">
                <pic:pic>
                  <pic:nvPicPr>
                    <pic:cNvPr descr="figures/w6_specification.png" id="76" name="Picture"/>
                    <pic:cNvPicPr>
                      <a:picLocks noChangeArrowheads="1" noChangeAspect="1"/>
                    </pic:cNvPicPr>
                  </pic:nvPicPr>
                  <pic:blipFill>
                    <a:blip r:embed="rId74"/>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16. Share of cells correct with and without field descriptions.</w:t>
      </w:r>
    </w:p>
    <w:p>
      <w:pPr>
        <w:pStyle w:val="BodyText"/>
      </w:pPr>
      <w:r>
        <w:rPr>
          <w:iCs/>
          <w:i/>
        </w:rPr>
        <w:t xml:space="preserve">What this lets you decide.</w:t>
      </w:r>
      <w:r>
        <w:t xml:space="preserve"> </w:t>
      </w:r>
      <w:r>
        <w:t xml:space="preserve">Describing each column (its unit, its format, what to write when the document is silent)</w:t>
      </w:r>
      <w:r>
        <w:t xml:space="preserve"> </w:t>
      </w:r>
      <w:r>
        <w:t xml:space="preserve">comes before any scheduling or budgeting decision. The columns that need it most are the ones flagged by disagreement</w:t>
      </w:r>
      <w:r>
        <w:t xml:space="preserve"> </w:t>
      </w:r>
      <w:r>
        <w:t xml:space="preserve">between prompts, and categories whose labels the model draws differently from the data.</w:t>
      </w:r>
    </w:p>
    <w:bookmarkEnd w:id="77"/>
    <w:bookmarkStart w:id="78" w:name="X34eaed4bbf940b4d6e6bee49bb90fe986f37356"/>
    <w:p>
      <w:pPr>
        <w:pStyle w:val="Heading1"/>
      </w:pPr>
      <w:r>
        <w:t xml:space="preserve">What does the workload tell the system that the documents do not?</w:t>
      </w:r>
    </w:p>
    <w:p>
      <w:pPr>
        <w:pStyle w:val="FirstParagraph"/>
      </w:pPr>
      <w:r>
        <w:t xml:space="preserve">The system reads the reference workload for five things, and each has been measured on its own</w:t>
      </w:r>
      <w:r>
        <w:t xml:space="preserve"> </w:t>
      </w:r>
      <w:r>
        <w:t xml:space="preserve">(</w:t>
      </w:r>
      <w:r>
        <w:rPr>
          <w:rStyle w:val="VerbatimChar"/>
        </w:rPr>
        <w:t xml:space="preserve">WORKLOAD_AWARENESS.md</w:t>
      </w:r>
      <w:r>
        <w:t xml:space="preserve">).</w:t>
      </w:r>
      <w:r>
        <w:t xml:space="preserve"> </w:t>
      </w:r>
      <w:r>
        <w:rPr>
          <w:iCs/>
          <w:i/>
        </w:rPr>
        <w:t xml:space="preserve">Which columns to extract:</w:t>
      </w:r>
      <w:r>
        <w:t xml:space="preserve"> </w:t>
      </w:r>
      <w:r>
        <w:t xml:space="preserve">the reference queries use 26% to 48% of the schema’s columns,</w:t>
      </w:r>
      <w:r>
        <w:t xml:space="preserve"> </w:t>
      </w:r>
      <w:r>
        <w:t xml:space="preserve">and their three most used columns carry 43% to 53% of all uses; reading them up front buys cost, not accuracy, since</w:t>
      </w:r>
      <w:r>
        <w:t xml:space="preserve"> </w:t>
      </w:r>
      <w:r>
        <w:t xml:space="preserve">cutting the reference workload to a tenth of its queries raises tokens by 7% to 23% and leaves the scores unchanged.</w:t>
      </w:r>
      <w:r>
        <w:t xml:space="preserve"> </w:t>
      </w:r>
      <w:r>
        <w:rPr>
          <w:iCs/>
          <w:i/>
        </w:rPr>
        <w:t xml:space="preserve">The shape of the queries to come:</w:t>
      </w:r>
      <w:r>
        <w:t xml:space="preserve"> </w:t>
      </w:r>
      <w:r>
        <w:t xml:space="preserve">by construction no test query’s source is among the reference queries, yet 76% to</w:t>
      </w:r>
      <w:r>
        <w:t xml:space="preserve"> </w:t>
      </w:r>
      <w:r>
        <w:t xml:space="preserve">100% of them share the tables, joins, aggregates and grouping of a reference query, so under full column drift the</w:t>
      </w:r>
      <w:r>
        <w:t xml:space="preserve"> </w:t>
      </w:r>
      <w:r>
        <w:t xml:space="preserve">workload still says</w:t>
      </w:r>
      <w:r>
        <w:t xml:space="preserve"> </w:t>
      </w:r>
      <w:r>
        <w:rPr>
          <w:iCs/>
          <w:i/>
        </w:rPr>
        <w:t xml:space="preserve">how</w:t>
      </w:r>
      <w:r>
        <w:t xml:space="preserve"> </w:t>
      </w:r>
      <w:r>
        <w:t xml:space="preserve">a column will be used, which is what gives one definition per join key, derived attributes,</w:t>
      </w:r>
      <w:r>
        <w:t xml:space="preserve"> </w:t>
      </w:r>
      <w:r>
        <w:t xml:space="preserve">and the value kind a column needs.</w:t>
      </w:r>
      <w:r>
        <w:t xml:space="preserve"> </w:t>
      </w:r>
      <w:r>
        <w:rPr>
          <w:iCs/>
          <w:i/>
        </w:rPr>
        <w:t xml:space="preserve">The vocabulary queries compare against:</w:t>
      </w:r>
      <w:r>
        <w:t xml:space="preserve"> </w:t>
      </w:r>
      <w:r>
        <w:t xml:space="preserve">about half of the constants in the test</w:t>
      </w:r>
      <w:r>
        <w:t xml:space="preserve"> </w:t>
      </w:r>
      <w:r>
        <w:t xml:space="preserve">queries never appear verbatim in the documents whose gold value matches them (players 93% verbatim, papers 41%,</w:t>
      </w:r>
      <w:r>
        <w:t xml:space="preserve"> </w:t>
      </w:r>
      <w:r>
        <w:t xml:space="preserve">artists 40%, medical 69%, legal 57%), and some appear nowhere (</w:t>
      </w:r>
      <w:r>
        <w:t xml:space="preserve">‘</w:t>
      </w:r>
      <w:r>
        <w:t xml:space="preserve">Earth Tones</w:t>
      </w:r>
      <w:r>
        <w:t xml:space="preserve">’</w:t>
      </w:r>
      <w:r>
        <w:t xml:space="preserve">,</w:t>
      </w:r>
      <w:r>
        <w:t xml:space="preserve"> </w:t>
      </w:r>
      <w:r>
        <w:t xml:space="preserve">‘</w:t>
      </w:r>
      <w:r>
        <w:t xml:space="preserve">20th-21st</w:t>
      </w:r>
      <w:r>
        <w:t xml:space="preserve">’</w:t>
      </w:r>
      <w:r>
        <w:t xml:space="preserve">,</w:t>
      </w:r>
      <w:r>
        <w:t xml:space="preserve"> </w:t>
      </w:r>
      <w:r>
        <w:t xml:space="preserve">‘</w:t>
      </w:r>
      <w:r>
        <w:t xml:space="preserve">Administrative Case</w:t>
      </w:r>
      <w:r>
        <w:t xml:space="preserve">’</w:t>
      </w:r>
      <w:r>
        <w:t xml:space="preserve">), so</w:t>
      </w:r>
      <w:r>
        <w:t xml:space="preserve"> </w:t>
      </w:r>
      <w:r>
        <w:t xml:space="preserve">only a system that has seen the workload can produce them in the form a query compares.</w:t>
      </w:r>
      <w:r>
        <w:t xml:space="preserve"> </w:t>
      </w:r>
      <w:r>
        <w:rPr>
          <w:iCs/>
          <w:i/>
        </w:rPr>
        <w:t xml:space="preserve">Normalization targets</w:t>
      </w:r>
      <w:r>
        <w:t xml:space="preserve"> </w:t>
      </w:r>
      <w:r>
        <w:t xml:space="preserve">(0.13</w:t>
      </w:r>
      <w:r>
        <w:t xml:space="preserve"> </w:t>
      </w:r>
      <w:r>
        <w:t xml:space="preserve">on players, 0.07 on artists) and</w:t>
      </w:r>
      <w:r>
        <w:t xml:space="preserve"> </w:t>
      </w:r>
      <w:r>
        <w:rPr>
          <w:iCs/>
          <w:i/>
        </w:rPr>
        <w:t xml:space="preserve">scope</w:t>
      </w:r>
      <w:r>
        <w:t xml:space="preserve"> </w:t>
      </w:r>
      <w:r>
        <w:t xml:space="preserve">from the queries’ filters (up to 46% of on-demand tokens). Two things often</w:t>
      </w:r>
      <w:r>
        <w:t xml:space="preserve"> </w:t>
      </w:r>
      <w:r>
        <w:t xml:space="preserve">credited to workload awareness are not: the descriptions come from the schema, and the drift result holds at every</w:t>
      </w:r>
      <w:r>
        <w:t xml:space="preserve"> </w:t>
      </w:r>
      <w:r>
        <w:t xml:space="preserve">share of the workload. The honest summary is that the workload tells the system what to normalize to, what to join</w:t>
      </w:r>
      <w:r>
        <w:t xml:space="preserve"> </w:t>
      </w:r>
      <w:r>
        <w:t xml:space="preserve">on and what to read first, not what to extract, because under drift what is asked next is what has not been asked.</w:t>
      </w:r>
    </w:p>
    <w:p>
      <w:pPr>
        <w:pStyle w:val="BodyText"/>
      </w:pPr>
      <w:r>
        <w:t xml:space="preserve">The vocabulary point has a limit we found only by checking all 47 GROUP BY columns of the test queries. The largest</w:t>
      </w:r>
      <w:r>
        <w:t xml:space="preserve"> </w:t>
      </w:r>
      <w:r>
        <w:t xml:space="preserve">merges (235 administrative cases served as civil; artists’ continents; papers’ topics) happen on columns whose prompt</w:t>
      </w:r>
      <w:r>
        <w:t xml:space="preserve"> </w:t>
      </w:r>
      <w:r>
        <w:t xml:space="preserve">already lists the labels; 17 of the 25 columns read on demand are identifiers or open lists no declaration could</w:t>
      </w:r>
      <w:r>
        <w:t xml:space="preserve"> </w:t>
      </w:r>
      <w:r>
        <w:t xml:space="preserve">enumerate; only 5 lack a small vocabulary the prompt does not state. Label collapse is mostly the model’s mapping of a</w:t>
      </w:r>
      <w:r>
        <w:t xml:space="preserve"> </w:t>
      </w:r>
      <w:r>
        <w:t xml:space="preserve">passage to a declared label, which is what sensitivity measures; declaring the vocabulary can fix only the few columns</w:t>
      </w:r>
      <w:r>
        <w:t xml:space="preserve"> </w:t>
      </w:r>
      <w:r>
        <w:t xml:space="preserve">where none exists. We ran it on those five. Where the column is single-valued and its labels are forms of a stated</w:t>
      </w:r>
      <w:r>
        <w:t xml:space="preserve"> </w:t>
      </w:r>
      <w:r>
        <w:t xml:space="preserve">fact, declaring them works: artists’ century goes from 0.20 to 0.38 correct and the six queries grouping by it from</w:t>
      </w:r>
      <w:r>
        <w:t xml:space="preserve"> </w:t>
      </w:r>
      <w:r>
        <w:t xml:space="preserve">0.22 to 0.35; legal’s party status and year lift the corpus from 0.170 to 0.269 and the seven grouping queries from</w:t>
      </w:r>
      <w:r>
        <w:t xml:space="preserve"> </w:t>
      </w:r>
      <w:r>
        <w:t xml:space="preserve">0.17 to 0.32, none down, because filters now match the form the queries compare with. The fate of the rows says what</w:t>
      </w:r>
      <w:r>
        <w:t xml:space="preserve"> </w:t>
      </w:r>
      <w:r>
        <w:t xml:space="preserve">a vocabulary does: artists’</w:t>
      </w:r>
      <w:r>
        <w:t xml:space="preserve"> </w:t>
      </w:r>
      <w:r>
        <w:t xml:space="preserve">“</w:t>
      </w:r>
      <w:r>
        <w:t xml:space="preserve">own label in another form</w:t>
      </w:r>
      <w:r>
        <w:t xml:space="preserve">”</w:t>
      </w:r>
      <w:r>
        <w:t xml:space="preserve"> </w:t>
      </w:r>
      <w:r>
        <w:t xml:space="preserve">falls from 50% to 6%, exact rises from 27% to 52%, and merged</w:t>
      </w:r>
      <w:r>
        <w:t xml:space="preserve"> </w:t>
      </w:r>
      <w:r>
        <w:t xml:space="preserve">rises from 23% to 43%, since once the forms agree the model’s choice between</w:t>
      </w:r>
      <w:r>
        <w:t xml:space="preserve"> </w:t>
      </w:r>
      <w:r>
        <w:t xml:space="preserve">‘</w:t>
      </w:r>
      <w:r>
        <w:t xml:space="preserve">20th</w:t>
      </w:r>
      <w:r>
        <w:t xml:space="preserve">’</w:t>
      </w:r>
      <w:r>
        <w:t xml:space="preserve"> </w:t>
      </w:r>
      <w:r>
        <w:t xml:space="preserve">and</w:t>
      </w:r>
      <w:r>
        <w:t xml:space="preserve"> </w:t>
      </w:r>
      <w:r>
        <w:t xml:space="preserve">‘</w:t>
      </w:r>
      <w:r>
        <w:t xml:space="preserve">19th-20th</w:t>
      </w:r>
      <w:r>
        <w:t xml:space="preserve">’</w:t>
      </w:r>
      <w:r>
        <w:t xml:space="preserve"> </w:t>
      </w:r>
      <w:r>
        <w:t xml:space="preserve">is exposed as a</w:t>
      </w:r>
      <w:r>
        <w:t xml:space="preserve"> </w:t>
      </w:r>
      <w:r>
        <w:t xml:space="preserve">judgment. Where the column is a list, listing allowed values invites selection: medical’s two contracted list columns</w:t>
      </w:r>
      <w:r>
        <w:t xml:space="preserve"> </w:t>
      </w:r>
      <w:r>
        <w:t xml:space="preserve">lose accuracy (0.20 to 0.05 on one) and the corpus loses 0.013.</w:t>
      </w:r>
      <w:r>
        <w:t xml:space="preserve"> </w:t>
      </w:r>
      <w:r>
        <w:rPr>
          <w:bCs/>
          <w:b/>
        </w:rPr>
        <w:t xml:space="preserve">A vocabulary fixes form, not selection</w:t>
      </w:r>
      <w:r>
        <w:t xml:space="preserve">, and</w:t>
      </w:r>
      <w:r>
        <w:t xml:space="preserve"> </w:t>
      </w:r>
      <w:r>
        <w:t xml:space="preserve">should be declared for single-valued columns only.</w:t>
      </w:r>
    </w:p>
    <w:p>
      <w:pPr>
        <w:pStyle w:val="BodyText"/>
      </w:pPr>
      <w:r>
        <w:t xml:space="preserve">Where a value sits in a document is a column property too, and it is learnable without gold. For each column read on</w:t>
      </w:r>
      <w:r>
        <w:t xml:space="preserve"> </w:t>
      </w:r>
      <w:r>
        <w:t xml:space="preserve">demand, the 90th percentile of the position of the 7B’s own served value, when it is stated verbatim, falls within</w:t>
      </w:r>
      <w:r>
        <w:t xml:space="preserve"> </w:t>
      </w:r>
      <w:r>
        <w:t xml:space="preserve">0.01 to 0.08 of the gold-based position on papers, players and artists: players’ columns need the first 29% to 53% of</w:t>
      </w:r>
      <w:r>
        <w:t xml:space="preserve"> </w:t>
      </w:r>
      <w:r>
        <w:t xml:space="preserve">an entry, artists’ dates and nationality the first tenth, while the legal corpus’s on-demand columns (judge, year, the</w:t>
      </w:r>
      <w:r>
        <w:t xml:space="preserve"> </w:t>
      </w:r>
      <w:r>
        <w:t xml:space="preserve">parties’ status) sit in the last 2% of a judgment. A per-column window is a read plan that needs no model and refines</w:t>
      </w:r>
      <w:r>
        <w:t xml:space="preserve"> </w:t>
      </w:r>
      <w:r>
        <w:t xml:space="preserve">the fixed first-window cut of the ablation (21% to 42% of tokens for −0.012 to +0.015). Run on four corpora, the</w:t>
      </w:r>
      <w:r>
        <w:t xml:space="preserve"> </w:t>
      </w:r>
      <w:r>
        <w:t xml:space="preserve">per-column windows cut tokens to 41% on players, 75% on artists, 88% on papers and 89% on medical, with scores</w:t>
      </w:r>
      <w:r>
        <w:t xml:space="preserve"> </w:t>
      </w:r>
      <w:r>
        <w:t xml:space="preserve">unchanged on papers and artists, up 0.007 on medical and down 0.021 on players. Per column the window is a change of</w:t>
      </w:r>
      <w:r>
        <w:t xml:space="preserve"> </w:t>
      </w:r>
      <w:r>
        <w:t xml:space="preserve">context like any other: artists’ birth and death dates improve by 0.41 and 0.25 when the read stops at a tenth of</w:t>
      </w:r>
      <w:r>
        <w:t xml:space="preserve"> </w:t>
      </w:r>
      <w:r>
        <w:t xml:space="preserve">the article, because the first paragraph states the full date and the chained read of the whole article had</w:t>
      </w:r>
      <w:r>
        <w:t xml:space="preserve"> </w:t>
      </w:r>
      <w:r>
        <w:t xml:space="preserve">returned the year alone; lists lose where their items sit past the window; and players’ championship counts</w:t>
      </w:r>
      <w:r>
        <w:t xml:space="preserve"> </w:t>
      </w:r>
      <w:r>
        <w:t xml:space="preserve">collapse from 0.95 to 0.40, because the window was learned from the few players for whom a count is stated, while</w:t>
      </w:r>
      <w:r>
        <w:t xml:space="preserve"> </w:t>
      </w:r>
      <w:r>
        <w:t xml:space="preserve">most players’ gold is 0 and the model needs the whole entry to answer 0, otherwise leaving the cell empty.</w:t>
      </w:r>
      <w:r>
        <w:t xml:space="preserve"> </w:t>
      </w:r>
      <w:r>
        <w:rPr>
          <w:bCs/>
          <w:b/>
        </w:rPr>
        <w:t xml:space="preserve">A window</w:t>
      </w:r>
      <w:r>
        <w:rPr>
          <w:bCs/>
          <w:b/>
        </w:rPr>
        <w:t xml:space="preserve"> </w:t>
      </w:r>
      <w:r>
        <w:rPr>
          <w:bCs/>
          <w:b/>
        </w:rPr>
        <w:t xml:space="preserve">can locate a stated value but cannot establish an absence</w:t>
      </w:r>
      <w:r>
        <w:t xml:space="preserve">, so the rule must exempt columns whose values are mostly</w:t>
      </w:r>
      <w:r>
        <w:t xml:space="preserve"> </w:t>
      </w:r>
      <w:r>
        <w:t xml:space="preserve">a coded absence and lists whose items scatter. With those exemptions the counts return to their recorded accuracy</w:t>
      </w:r>
      <w:r>
        <w:t xml:space="preserve"> </w:t>
      </w:r>
      <w:r>
        <w:t xml:space="preserve">and every windowed column stays within 0.07, yet players still lose 0.03: three filtered aggregates over two or</w:t>
      </w:r>
      <w:r>
        <w:t xml:space="preserve"> </w:t>
      </w:r>
      <w:r>
        <w:t xml:space="preserve">three rows flip from 1 to 0 on single cells the draft columns’ windows changed, so a per-column accuracy within</w:t>
      </w:r>
      <w:r>
        <w:t xml:space="preserve"> </w:t>
      </w:r>
      <w:r>
        <w:t xml:space="preserve">0.02 is no safety margin for an aggregate over a narrow filter. And an exemption propagates through grouping: a</w:t>
      </w:r>
      <w:r>
        <w:t xml:space="preserve"> </w:t>
      </w:r>
      <w:r>
        <w:t xml:space="preserve">prompt takes the largest share of the columns it asks, so artists’ birth date lost its gain as soon as the lists in</w:t>
      </w:r>
      <w:r>
        <w:t xml:space="preserve"> </w:t>
      </w:r>
      <w:r>
        <w:t xml:space="preserve">its prompt were exempt. Windows and grouping have to be planned together, and the choice is about accuracy as much</w:t>
      </w:r>
      <w:r>
        <w:t xml:space="preserve"> </w:t>
      </w:r>
      <w:r>
        <w:t xml:space="preserve">as cost: a dates-only prompt at a tenth of the article costs 10% more than one prompt and gains 0.25 to 0.41.</w:t>
      </w:r>
      <w:r>
        <w:t xml:space="preserve"> </w:t>
      </w:r>
      <w:r>
        <w:t xml:space="preserve">Together with determinacy from ten documents, fill rate per context, grounding rate and the cost lemma, these form a</w:t>
      </w:r>
      <w:r>
        <w:t xml:space="preserve"> </w:t>
      </w:r>
      <w:r>
        <w:t xml:space="preserve">per-column catalogue, which is to an LLM-built database what cardinalities and selectivities are to a relational one:</w:t>
      </w:r>
      <w:r>
        <w:t xml:space="preserve"> </w:t>
      </w:r>
      <w:r>
        <w:t xml:space="preserve">the statistics a planner needs, computed once, cheaply, and not by a model.</w:t>
      </w:r>
    </w:p>
    <w:p>
      <w:pPr>
        <w:pStyle w:val="BodyText"/>
      </w:pPr>
      <w:r>
        <w:rPr>
          <w:iCs/>
          <w:i/>
        </w:rPr>
        <w:t xml:space="preserve">What this lets you decide.</w:t>
      </w:r>
      <w:r>
        <w:t xml:space="preserve"> </w:t>
      </w:r>
      <w:r>
        <w:t xml:space="preserve">Learn structure (keys, kinds, groupings, normal forms) from the workload and columns on</w:t>
      </w:r>
      <w:r>
        <w:t xml:space="preserve"> </w:t>
      </w:r>
      <w:r>
        <w:t xml:space="preserve">demand; forecasting columns under drift does not work. Treat the label vocabulary as a schema input, and expect it to</w:t>
      </w:r>
      <w:r>
        <w:t xml:space="preserve"> </w:t>
      </w:r>
      <w:r>
        <w:t xml:space="preserve">fix only columns that lack one. Read each column only as far as its values sit.</w:t>
      </w:r>
    </w:p>
    <w:bookmarkEnd w:id="78"/>
    <w:bookmarkStart w:id="79" w:name="what-carries-over-to-other-problems"/>
    <w:p>
      <w:pPr>
        <w:pStyle w:val="Heading1"/>
      </w:pPr>
      <w:r>
        <w:t xml:space="preserve">What carries over to other problems</w:t>
      </w:r>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Cs/>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Cs/>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Cs/>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and the aggregate and label patterns below, are the transfers we tested directly on</w:t>
      </w:r>
      <w:r>
        <w:t xml:space="preserve"> </w:t>
      </w:r>
      <w:r>
        <w:t xml:space="preserve">DocETL; the others in this section are arguments by analogy.</w:t>
      </w:r>
    </w:p>
    <w:p>
      <w:pPr>
        <w:pStyle w:val="BodyText"/>
      </w:pPr>
      <w:r>
        <w:rPr>
          <w:iCs/>
          <w:i/>
        </w:rPr>
        <w:t xml:space="preserve">Cascades and verifiers.</w:t>
      </w:r>
      <w:r>
        <w:t xml:space="preserve"> </w:t>
      </w:r>
      <w:r>
        <w:t xml:space="preserve">Model cascades in query processing (SUPG, LOTUS) route items to a stronger model by a proxy</w:t>
      </w:r>
      <w:r>
        <w:t xml:space="preserve"> </w:t>
      </w:r>
      <w:r>
        <w:t xml:space="preserve">score and budget in oracle calls. Our verifier is such a proxy that needs no labels, and the pricing result says the</w:t>
      </w:r>
      <w:r>
        <w:t xml:space="preserve"> </w:t>
      </w:r>
      <w:r>
        <w:t xml:space="preserve">budget has to be in tokens: when the item is a document, a second look costs the document’s length, and the rule that</w:t>
      </w:r>
      <w:r>
        <w:t xml:space="preserve"> </w:t>
      </w:r>
      <w:r>
        <w:t xml:space="preserve">fixes the most cells per call is not the one that fixes the most per dollar.</w:t>
      </w:r>
    </w:p>
    <w:p>
      <w:pPr>
        <w:pStyle w:val="BodyText"/>
      </w:pPr>
      <w:r>
        <w:rPr>
          <w:iCs/>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Cs/>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Cs/>
          <w:i/>
        </w:rPr>
        <w:t xml:space="preserve">Data documentation.</w:t>
      </w:r>
      <w:r>
        <w:t xml:space="preserve"> </w:t>
      </w:r>
      <w:r>
        <w:t xml:space="preserve">Describing each column had the largest effect in the study, which UDA-Bench had already shown for</w:t>
      </w:r>
      <w:r>
        <w:t xml:space="preserve"> </w:t>
      </w:r>
      <w:r>
        <w:t xml:space="preserve">DocETL. For an LLM reader, schema documentation is not optional metadata but an input that decides accuracy.</w:t>
      </w:r>
    </w:p>
    <w:bookmarkEnd w:id="79"/>
    <w:bookmarkStart w:id="80" w:name="open-questions"/>
    <w:p>
      <w:pPr>
        <w:pStyle w:val="Heading1"/>
      </w:pPr>
      <w:r>
        <w:t xml:space="preserve">Open questions</w:t>
      </w:r>
    </w:p>
    <w:p>
      <w:pPr>
        <w:pStyle w:val="FirstParagraph"/>
      </w:pPr>
      <w:r>
        <w:t xml:space="preserve">Several things remain unexplained. With the 7B model the direction of asking for fewer columns is a per-column mix</w:t>
      </w:r>
      <w:r>
        <w:t xml:space="preserve"> </w:t>
      </w:r>
      <w:r>
        <w:t xml:space="preserve">of form and emptiness effects (Section 1), and we cannot yet predict a query’s score change from its columns’ cell</w:t>
      </w:r>
      <w:r>
        <w:t xml:space="preserve"> </w:t>
      </w:r>
      <w:r>
        <w:t xml:space="preserve">changes. Grouping columns matters for the 32B model 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Three changes to DocETL have been tested (freezing each column on its first context, on the better of two, and on a</w:t>
      </w:r>
      <w:r>
        <w:t xml:space="preserve"> </w:t>
      </w:r>
      <w:r>
        <w:t xml:space="preserve">determined one), and the budget policy that forecasts reuse with frozen contexts has been tested and fails for a</w:t>
      </w:r>
      <w:r>
        <w:t xml:space="preserve"> </w:t>
      </w:r>
      <w:r>
        <w:t xml:space="preserve">stated reason (Section 6), and the build’s prompt groups chosen by each column’s measured context effect have been</w:t>
      </w:r>
      <w:r>
        <w:t xml:space="preserve"> </w:t>
      </w:r>
      <w:r>
        <w:t xml:space="preserve">tested (Section 1: the cell gains transfer, the query scores do not move), as have the verifier as a router of</w:t>
      </w:r>
      <w:r>
        <w:t xml:space="preserve"> </w:t>
      </w:r>
      <w:r>
        <w:t xml:space="preserve">second looks (Section 2: it finds wrong cells, not repairable ones), the label contract and the per-column windows</w:t>
      </w:r>
      <w:r>
        <w:t xml:space="preserve"> </w:t>
      </w:r>
      <w:r>
        <w:t xml:space="preserve">(Section 11). Not yet run: the window rule with its exemptions, replicates of the contract runs, the 32B context intervention</w:t>
      </w:r>
      <w:r>
        <w:t xml:space="preserve"> </w:t>
      </w:r>
      <w:r>
        <w:t xml:space="preserve">on medical and legal (queued). The field-position test found no rule to state (Section 1), only a per-column</w:t>
      </w:r>
      <w:r>
        <w:t xml:space="preserve"> </w:t>
      </w:r>
      <w:r>
        <w:t xml:space="preserve">choice.</w:t>
      </w:r>
    </w:p>
    <w:bookmarkEnd w:id="80"/>
    <w:bookmarkStart w:id="81" w:name="methods"/>
    <w:p>
      <w:pPr>
        <w:pStyle w:val="Heading1"/>
      </w:pPr>
      <w:r>
        <w:t xml:space="preserve">Methods</w:t>
      </w:r>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comparisons pool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 The context intervention reads thirty sampled documents per table (those with a gold row and at most</w:t>
      </w:r>
      <w:r>
        <w:t xml:space="preserve"> </w:t>
      </w:r>
      <w:r>
        <w:t xml:space="preserve">9,000 tokens) in five contexts with the drift run’s prompt renderer and generation settings; sensitivity to a context</w:t>
      </w:r>
      <w:r>
        <w:t xml:space="preserve"> </w:t>
      </w:r>
      <w:r>
        <w:t xml:space="preserve">is the share of documents whose normalized value differs from the lone answer. The second looks re-ask the 32B, column</w:t>
      </w:r>
      <w:r>
        <w:t xml:space="preserve"> </w:t>
      </w:r>
      <w:r>
        <w:t xml:space="preserve">alone, for cells of the new columns at 100% drift in documents of at most 6,000 tokens; a look catches an error when the</w:t>
      </w:r>
      <w:r>
        <w:t xml:space="preserve"> </w:t>
      </w:r>
      <w:r>
        <w:t xml:space="preserve">served value is wrong and the new one right, and introduces one in the opposite case. The frozen DocETL runs keep</w:t>
      </w:r>
      <w:r>
        <w:t xml:space="preserve"> </w:t>
      </w:r>
      <w:r>
        <w:t xml:space="preserve">DocETL’s prompt, documents, model, scoring and query order, and only reuse a column’s values across queries once it has</w:t>
      </w:r>
      <w:r>
        <w:t xml:space="preserve"> </w:t>
      </w:r>
      <w:r>
        <w:t xml:space="preserve">been extracted by the first (or the better of the first two) queries that needed it. For DocETL, the same label, aggregate and within-corpus analyses run on its per-query</w:t>
      </w:r>
      <w:r>
        <w:t xml:space="preserve"> </w:t>
      </w:r>
      <w:r>
        <w:t xml:space="preserve">outputs and scores for the queries in the current catalogue; labels are compared on non-empty rows, because DocETL fills</w:t>
      </w:r>
      <w:r>
        <w:t xml:space="preserve"> </w:t>
      </w:r>
      <w:r>
        <w:t xml:space="preserve">a column only for the documents a query’s filters keep. Label comparisons treat numbers as numbers in both systems.</w:t>
      </w:r>
      <w:r>
        <w:t xml:space="preserve"> </w:t>
      </w:r>
      <w:r>
        <w:t xml:space="preserve">The grounding check lowercases the document and looks for each item of a value (numbers in their common forms); the</w:t>
      </w:r>
      <w:r>
        <w:t xml:space="preserve"> </w:t>
      </w:r>
      <w:r>
        <w:t xml:space="preserve">verifier is a logistic regression on grounding, full grounding, disagreement, emptiness, log value length, sensitivity,</w:t>
      </w:r>
      <w:r>
        <w:t xml:space="preserve"> </w:t>
      </w:r>
      <w:r>
        <w:t xml:space="preserve">fill rate and kind, cross-validated with whole columns held out and again with whole corpora held out. The cascade</w:t>
      </w:r>
      <w:r>
        <w:t xml:space="preserve"> </w:t>
      </w:r>
      <w:r>
        <w:t xml:space="preserve">pricing uses the 32B’s recorded prompt and output tokens per second look at OpenRouter’s list prices. The position</w:t>
      </w:r>
      <w:r>
        <w:t xml:space="preserve"> </w:t>
      </w:r>
      <w:r>
        <w:t xml:space="preserve">model takes, per column, the relative character position of the first verbatim occurrence of the served (or gold)</w:t>
      </w:r>
      <w:r>
        <w:t xml:space="preserve"> </w:t>
      </w:r>
      <w:r>
        <w:t xml:space="preserve">value and its 90th percentile over documents. The field-order test asks each natural group in the build’s order, a</w:t>
      </w:r>
      <w:r>
        <w:t xml:space="preserve"> </w:t>
      </w:r>
      <w:r>
        <w:t xml:space="preserve">fixed shuffle and the reverse on the same thirty documents and counts cells whose normalized value differs from the</w:t>
      </w:r>
      <w:r>
        <w:t xml:space="preserve"> </w:t>
      </w:r>
      <w:r>
        <w:t xml:space="preserve">natural order’s; the run-to-run rate is from the repeated streams of E1.1. The workload analysis counts, per corpus,</w:t>
      </w:r>
      <w:r>
        <w:t xml:space="preserve"> </w:t>
      </w:r>
      <w:r>
        <w:t xml:space="preserve">the schema columns the reference and test queries use, matches each test query’s template and shape against the</w:t>
      </w:r>
      <w:r>
        <w:t xml:space="preserve"> </w:t>
      </w:r>
      <w:r>
        <w:t xml:space="preserve">reference queries, and checks each query constant for a verbatim occurrence in the documents whose gold value equals it.</w:t>
      </w:r>
      <w:r>
        <w:t xml:space="preserve"> </w:t>
      </w:r>
      <w:r>
        <w:t xml:space="preserve">The label contract adds gold’s label set as the allowed values of a column’s on-demand prompt; the window runs cut</w:t>
      </w:r>
      <w:r>
        <w:t xml:space="preserve"> </w:t>
      </w:r>
      <w:r>
        <w:t xml:space="preserve">each document to the column’s learned share before the prompt is rendered (a prompt for several columns takes the</w:t>
      </w:r>
      <w:r>
        <w:t xml:space="preserve"> </w:t>
      </w:r>
      <w:r>
        <w:t xml:space="preserve">largest share); the routed second looks re-ask the 32B for the 600 cells each rule ranks first, reusing earlier</w:t>
      </w:r>
      <w:r>
        <w:t xml:space="preserve"> </w:t>
      </w:r>
      <w:r>
        <w:t xml:space="preserve">second looks of the same cells, and the repairability test fits the verifier’s features to</w:t>
      </w:r>
      <w:r>
        <w:t xml:space="preserve"> </w:t>
      </w:r>
      <w:r>
        <w:t xml:space="preserve">“</w:t>
      </w:r>
      <w:r>
        <w:t xml:space="preserve">wrong and repaired</w:t>
      </w:r>
      <w:r>
        <w:t xml:space="preserve">”</w:t>
      </w:r>
      <w:r>
        <w:t xml:space="preserve"> </w:t>
      </w:r>
      <w:r>
        <w:t xml:space="preserve">with</w:t>
      </w:r>
      <w:r>
        <w:t xml:space="preserve"> </w:t>
      </w:r>
      <w:r>
        <w:t xml:space="preserve">whole columns held out.</w:t>
      </w:r>
    </w:p>
    <w:bookmarkEnd w:id="81"/>
    <w:bookmarkStart w:id="87" w:name="appendix-example-test-queries"/>
    <w:p>
      <w:pPr>
        <w:pStyle w:val="Heading1"/>
      </w:pPr>
      <w:r>
        <w:t xml:space="preserve">Appendix: example test queries</w:t>
      </w:r>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bookmarkStart w:id="82" w:name="research-papers-59-test-queries"/>
    <w:p>
      <w:pPr>
        <w:pStyle w:val="Heading2"/>
      </w:pPr>
      <w:r>
        <w:t xml:space="preserve">Research papers (59 test queries)</w:t>
      </w:r>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'No'</w:t>
      </w:r>
      <w:r>
        <w:rPr>
          <w:rStyle w:val="NormalTok"/>
        </w:rPr>
        <w:t xml:space="preserve"> </w:t>
      </w:r>
      <w:r>
        <w:rPr>
          <w:rStyle w:val="KeywordTok"/>
        </w:rPr>
        <w:t xml:space="preserve">OR</w:t>
      </w:r>
      <w:r>
        <w:rPr>
          <w:rStyle w:val="NormalTok"/>
        </w:rPr>
        <w:t xml:space="preserve"> performance_on_hotpotqa </w:t>
      </w:r>
      <w:r>
        <w:rPr>
          <w:rStyle w:val="OperatorTok"/>
        </w:rPr>
        <w:t xml:space="preserve">=</w:t>
      </w:r>
      <w:r>
        <w:rPr>
          <w:rStyle w:val="NormalTok"/>
        </w:rPr>
        <w:t xml:space="preserve"> </w:t>
      </w:r>
      <w:r>
        <w:rPr>
          <w:rStyle w:val="StringTok"/>
        </w:rPr>
        <w:t xml:space="preserve">'F1: 62.2'</w:t>
      </w:r>
      <w:r>
        <w:rPr>
          <w:rStyle w:val="NormalTok"/>
        </w:rPr>
        <w:t xml:space="preserve"> </w:t>
      </w:r>
      <w:r>
        <w:rPr>
          <w:rStyle w:val="KeywordTok"/>
        </w:rPr>
        <w:t xml:space="preserve">OR</w:t>
      </w:r>
      <w:r>
        <w:rPr>
          <w:rStyle w:val="NormalTok"/>
        </w:rPr>
        <w:t xml:space="preserve"> baseline </w:t>
      </w:r>
      <w:r>
        <w:rPr>
          <w:rStyle w:val="OperatorTok"/>
        </w:rPr>
        <w:t xml:space="preserve">=</w:t>
      </w:r>
      <w:r>
        <w:rPr>
          <w:rStyle w:val="NormalTok"/>
        </w:rPr>
        <w:t xml:space="preserve">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ControlFlowTok"/>
        </w:rPr>
        <w:t xml:space="preserve">THEN</w:t>
      </w:r>
      <w:r>
        <w:rPr>
          <w:rStyle w:val="NormalTok"/>
        </w:rPr>
        <w:t xml:space="preserve"> </w:t>
      </w:r>
      <w:r>
        <w:rPr>
          <w:rStyle w:val="StringTok"/>
        </w:rPr>
        <w:t xml:space="preserve">'Hybrid'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ControlFlowTok"/>
        </w:rPr>
        <w:t xml:space="preserve">THEN</w:t>
      </w:r>
      <w:r>
        <w:rPr>
          <w:rStyle w:val="NormalTok"/>
        </w:rPr>
        <w:t xml:space="preserve"> </w:t>
      </w:r>
      <w:r>
        <w:rPr>
          <w:rStyle w:val="StringTok"/>
        </w:rPr>
        <w:t xml:space="preserve">'Graph-based'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ControlFlowTok"/>
        </w:rPr>
        <w:t xml:space="preserve">THEN</w:t>
      </w:r>
      <w:r>
        <w:rPr>
          <w:rStyle w:val="NormalTok"/>
        </w:rPr>
        <w:t xml:space="preserve"> </w:t>
      </w:r>
      <w:r>
        <w:rPr>
          <w:rStyle w:val="StringTok"/>
        </w:rPr>
        <w:t xml:space="preserve">'Dense'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ControlFlowTok"/>
        </w:rPr>
        <w:t xml:space="preserve">THEN</w:t>
      </w:r>
      <w:r>
        <w:rPr>
          <w:rStyle w:val="NormalTok"/>
        </w:rPr>
        <w:t xml:space="preserve"> </w:t>
      </w:r>
      <w:r>
        <w:rPr>
          <w:rStyle w:val="StringTok"/>
        </w:rPr>
        <w:t xml:space="preserve">'Sparse'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ControlFlowTok"/>
        </w:rPr>
        <w:t xml:space="preserve">THEN</w:t>
      </w:r>
      <w:r>
        <w:rPr>
          <w:rStyle w:val="NormalTok"/>
        </w:rPr>
        <w:t xml:space="preserve"> </w:t>
      </w:r>
      <w:r>
        <w:rPr>
          <w:rStyle w:val="StringTok"/>
        </w:rPr>
        <w:t xml:space="preserve">'Web Search'</w:t>
      </w:r>
      <w:r>
        <w:rPr>
          <w:rStyle w:val="NormalTok"/>
        </w:rPr>
        <w:t xml:space="preserve"> </w:t>
      </w:r>
      <w:r>
        <w:rPr>
          <w:rStyle w:val="ControlFlowTok"/>
        </w:rPr>
        <w:t xml:space="preserve">WHEN</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bookmarkEnd w:id="82"/>
    <w:bookmarkStart w:id="83" w:name="basketball-players-118-test-queries"/>
    <w:p>
      <w:pPr>
        <w:pStyle w:val="Heading2"/>
      </w:pPr>
      <w:r>
        <w:t xml:space="preserve">Basketball players (118 test queries)</w:t>
      </w:r>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p.olympic_gold_medals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w:t>
      </w:r>
      <w:r>
        <w:rPr>
          <w:rStyle w:val="OperatorTok"/>
        </w:rPr>
        <w:t xml:space="preserve">=</w:t>
      </w:r>
      <w:r>
        <w:rPr>
          <w:rStyle w:val="NormalTok"/>
        </w:rPr>
        <w:t xml:space="preserve">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player.age </w:t>
      </w:r>
      <w:r>
        <w:rPr>
          <w:rStyle w:val="OperatorTok"/>
        </w:rPr>
        <w:t xml:space="preserve">&gt;</w:t>
      </w:r>
      <w:r>
        <w:rPr>
          <w:rStyle w:val="NormalTok"/>
        </w:rPr>
        <w:t xml:space="preserve">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(city.city_name </w:t>
      </w:r>
      <w:r>
        <w:rPr>
          <w:rStyle w:val="OperatorTok"/>
        </w:rPr>
        <w:t xml:space="preserve">=</w:t>
      </w:r>
      <w:r>
        <w:rPr>
          <w:rStyle w:val="NormalTok"/>
        </w:rPr>
        <w:t xml:space="preserve"> </w:t>
      </w:r>
      <w:r>
        <w:rPr>
          <w:rStyle w:val="StringTok"/>
        </w:rPr>
        <w:t xml:space="preserve">'Los Angeles'</w:t>
      </w:r>
      <w:r>
        <w:rPr>
          <w:rStyle w:val="NormalTok"/>
        </w:rPr>
        <w:t xml:space="preserve">) </w:t>
      </w:r>
      <w:r>
        <w:rPr>
          <w:rStyle w:val="KeywordTok"/>
        </w:rPr>
        <w:t xml:space="preserve">OR</w:t>
      </w:r>
      <w:r>
        <w:rPr>
          <w:rStyle w:val="NormalTok"/>
        </w:rPr>
        <w:t xml:space="preserve"> (player.mvp_awards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bookmarkEnd w:id="83"/>
    <w:bookmarkStart w:id="84" w:name="artists-43-test-queries"/>
    <w:p>
      <w:pPr>
        <w:pStyle w:val="Heading2"/>
      </w:pPr>
      <w:r>
        <w:t xml:space="preserve">Artists (43 test queries)</w:t>
      </w:r>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w:t>
      </w:r>
      <w:r>
        <w:rPr>
          <w:rStyle w:val="OperatorTok"/>
        </w:rPr>
        <w:t xml:space="preserve">=</w:t>
      </w:r>
      <w:r>
        <w:rPr>
          <w:rStyle w:val="NormalTok"/>
        </w:rPr>
        <w:t xml:space="preserve"> </w:t>
      </w:r>
      <w:r>
        <w:rPr>
          <w:rStyle w:val="StringTok"/>
        </w:rPr>
        <w:t xml:space="preserve">'British India'</w:t>
      </w:r>
      <w:r>
        <w:rPr>
          <w:rStyle w:val="NormalTok"/>
        </w:rPr>
        <w:t xml:space="preserve"> </w:t>
      </w:r>
      <w:r>
        <w:rPr>
          <w:rStyle w:val="KeywordTok"/>
        </w:rPr>
        <w:t xml:space="preserve">OR</w:t>
      </w:r>
      <w:r>
        <w:rPr>
          <w:rStyle w:val="NormalTok"/>
        </w:rPr>
        <w:t xml:space="preserve"> teaching </w:t>
      </w:r>
      <w:r>
        <w:rPr>
          <w:rStyle w:val="OperatorTok"/>
        </w:rPr>
        <w:t xml:space="preserve">&lt;&gt;</w:t>
      </w:r>
      <w:r>
        <w:rPr>
          <w:rStyle w:val="NormalTok"/>
        </w:rPr>
        <w:t xml:space="preserve">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OperatorTok"/>
        </w:rPr>
        <w:t xml:space="preserve">=</w:t>
      </w:r>
      <w:r>
        <w:rPr>
          <w:rStyle w:val="NormalTok"/>
        </w:rPr>
        <w:t xml:space="preserve">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p>
    <w:bookmarkEnd w:id="84"/>
    <w:bookmarkStart w:id="85" w:name="medical-43-test-queries"/>
    <w:p>
      <w:pPr>
        <w:pStyle w:val="Heading2"/>
      </w:pPr>
      <w:r>
        <w:t xml:space="preserve">Medical (43 test queries)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&lt;&gt;</w:t>
      </w:r>
      <w:r>
        <w:rPr>
          <w:rStyle w:val="NormalTok"/>
        </w:rPr>
        <w:t xml:space="preserve">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w:t>
      </w:r>
      <w:r>
        <w:rPr>
          <w:rStyle w:val="OperatorTok"/>
        </w:rPr>
        <w:t xml:space="preserve">=</w:t>
      </w:r>
      <w:r>
        <w:rPr>
          <w:rStyle w:val="NormalTok"/>
        </w:rPr>
        <w:t xml:space="preserve">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w:t>
      </w:r>
      <w:r>
        <w:rPr>
          <w:rStyle w:val="NormalTok"/>
        </w:rPr>
        <w:t xml:space="preserve"> </w:t>
      </w:r>
      <w:r>
        <w:rPr>
          <w:rStyle w:val="StringTok"/>
        </w:rPr>
        <w:t xml:space="preserve">'injection'</w:t>
      </w:r>
      <w:r>
        <w:rPr>
          <w:rStyle w:val="NormalTok"/>
        </w:rPr>
        <w:t xml:space="preserve">) </w:t>
      </w:r>
      <w:r>
        <w:rPr>
          <w:rStyle w:val="KeywordTok"/>
        </w:rPr>
        <w:t xml:space="preserve">AND</w:t>
      </w:r>
      <w:r>
        <w:rPr>
          <w:rStyle w:val="NormalTok"/>
        </w:rPr>
        <w:t xml:space="preserve"> (administration_route </w:t>
      </w:r>
      <w:r>
        <w:rPr>
          <w:rStyle w:val="OperatorTok"/>
        </w:rPr>
        <w:t xml:space="preserve">&lt;&gt;</w:t>
      </w:r>
      <w:r>
        <w:rPr>
          <w:rStyle w:val="NormalTok"/>
        </w:rPr>
        <w:t xml:space="preserve">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bookmarkEnd w:id="85"/>
    <w:bookmarkStart w:id="86" w:name="court-judgments-27-test-queries"/>
    <w:p>
      <w:pPr>
        <w:pStyle w:val="Heading2"/>
      </w:pPr>
      <w:r>
        <w:t xml:space="preserve">Court judgments (27 test queries)</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ControlFlowTok"/>
        </w:rPr>
        <w:t xml:space="preserve">THEN</w:t>
      </w:r>
      <w:r>
        <w:rPr>
          <w:rStyle w:val="NormalTok"/>
        </w:rPr>
        <w:t xml:space="preserve"> case_type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ControlFlowTok"/>
        </w:rPr>
        <w:t xml:space="preserve">THEN</w:t>
      </w:r>
      <w:r>
        <w:rPr>
          <w:rStyle w:val="NormalTok"/>
        </w:rPr>
        <w:t xml:space="preserve"> verdict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w:t>
      </w:r>
      <w:r>
        <w:rPr>
          <w:rStyle w:val="OperatorTok"/>
        </w:rPr>
        <w:t xml:space="preserve">=</w:t>
      </w:r>
      <w:r>
        <w:rPr>
          <w:rStyle w:val="NormalTok"/>
        </w:rPr>
        <w:t xml:space="preserve"> </w:t>
      </w:r>
      <w:r>
        <w:rPr>
          <w:rStyle w:val="StringTok"/>
        </w:rPr>
        <w:t xml:space="preserve">'2009'</w:t>
      </w:r>
      <w:r>
        <w:rPr>
          <w:rStyle w:val="NormalTok"/>
        </w:rPr>
        <w:t xml:space="preserve"> </w:t>
      </w:r>
      <w:r>
        <w:rPr>
          <w:rStyle w:val="KeywordTok"/>
        </w:rPr>
        <w:t xml:space="preserve">AND</w:t>
      </w:r>
      <w:r>
        <w:rPr>
          <w:rStyle w:val="NormalTok"/>
        </w:rPr>
        <w:t xml:space="preserve"> case_number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OperatorTok"/>
        </w:rPr>
        <w:t xml:space="preserve">=</w:t>
      </w:r>
      <w:r>
        <w:rPr>
          <w:rStyle w:val="NormalTok"/>
        </w:rPr>
        <w:t xml:space="preserve"> </w:t>
      </w:r>
      <w:r>
        <w:rPr>
          <w:rStyle w:val="StringTok"/>
        </w:rPr>
        <w:t xml:space="preserve">'20000'</w:t>
      </w:r>
      <w:r>
        <w:rPr>
          <w:rStyle w:val="NormalTok"/>
        </w:rPr>
        <w:t xml:space="preserve"> </w:t>
      </w:r>
      <w:r>
        <w:rPr>
          <w:rStyle w:val="KeywordTok"/>
        </w:rPr>
        <w:t xml:space="preserve">AND</w:t>
      </w:r>
      <w:r>
        <w:rPr>
          <w:rStyle w:val="NormalTok"/>
        </w:rPr>
        <w:t xml:space="preserve"> defendant </w:t>
      </w:r>
      <w:r>
        <w:rPr>
          <w:rStyle w:val="OperatorTok"/>
        </w:rPr>
        <w:t xml:space="preserve">&lt;&gt;</w:t>
      </w:r>
      <w:r>
        <w:rPr>
          <w:rStyle w:val="NormalTok"/>
        </w:rPr>
        <w:t xml:space="preserve">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w:t>
      </w:r>
      <w:r>
        <w:rPr>
          <w:rStyle w:val="OperatorTok"/>
        </w:rPr>
        <w:t xml:space="preserve">&lt;&gt;</w:t>
      </w:r>
      <w:r>
        <w:rPr>
          <w:rStyle w:val="NormalTok"/>
        </w:rPr>
        <w:t xml:space="preserve">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2026-10-10T04:02:05Z</dcterms:created>
  <dcterms:modified xsi:type="dcterms:W3CDTF">2026-10-10T04:02:05Z</dcterms:modified>
</cp:coreProperties>
</file>

<file path=docProps/custom.xml><?xml version="1.0" encoding="utf-8"?>
<Properties xmlns="http://schemas.openxmlformats.org/officeDocument/2006/custom-properties" xmlns:vt="http://schemas.openxmlformats.org/officeDocument/2006/docPropsVTypes"/>
</file>