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 The intervention below was run on both models on all five corpora (39 shared</w:t>
      </w:r>
      <w:r>
        <w:t xml:space="preserve"> </w:t>
      </w:r>
      <w:r>
        <w:t xml:space="preserve">columns): the two rank the columns’ sensitivity the same way (Spearman 0.77), the 32B is barely less sensitive on</w:t>
      </w:r>
      <w:r>
        <w:t xml:space="preserve"> </w:t>
      </w:r>
      <w:r>
        <w:t xml:space="preserve">average (0.38 against 0.39) and more sensitive on 13 of 39 columns, and on the 32B the natural group is the best</w:t>
      </w:r>
      <w:r>
        <w:t xml:space="preserve"> </w:t>
      </w:r>
      <w:r>
        <w:t xml:space="preserve">context on average (0.48 against 0.46 alone) where on the 7B the contexts tie.</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 Position itself is a free knob: the same column asked last</w:t>
      </w:r>
      <w:r>
        <w:t xml:space="preserve"> </w:t>
      </w:r>
      <w:r>
        <w:t xml:space="preserve">among the same fields is right 0.43 of the time against 0.39 when asked first, with fewer empties, and the effect is</w:t>
      </w:r>
      <w:r>
        <w:t xml:space="preserve"> </w:t>
      </w:r>
      <w:r>
        <w:t xml:space="preserve">per column and up to 0.6 (a</w:t>
      </w:r>
      <w:r>
        <w:t xml:space="preserve"> </w:t>
      </w:r>
      <w:r>
        <w:t xml:space="preserve">“</w:t>
      </w:r>
      <w:r>
        <w:t xml:space="preserve">never null</w:t>
      </w:r>
      <w:r>
        <w:t xml:space="preserve">”</w:t>
      </w:r>
      <w:r>
        <w:t xml:space="preserve"> </w:t>
      </w:r>
      <w:r>
        <w:t xml:space="preserve">count is left empty on 87% of documents when it heads the list and on 47%</w:t>
      </w:r>
      <w:r>
        <w:t xml:space="preserve"> </w:t>
      </w:r>
      <w:r>
        <w:t xml:space="preserve">when it closes it; a category whose gold is mostly empty is filled with</w:t>
      </w:r>
      <w:r>
        <w:t xml:space="preserve"> </w:t>
      </w:r>
      <w:r>
        <w:t xml:space="preserve">‘</w:t>
      </w:r>
      <w:r>
        <w:t xml:space="preserve">Other</w:t>
      </w:r>
      <w:r>
        <w:t xml:space="preserve">’</w:t>
      </w:r>
      <w:r>
        <w:t xml:space="preserve"> </w:t>
      </w:r>
      <w:r>
        <w:t xml:space="preserve">first and left empty last). The</w:t>
      </w:r>
      <w:r>
        <w:t xml:space="preserve"> </w:t>
      </w:r>
      <w:r>
        <w:t xml:space="preserve">share of empty gold does not predict the direction, so there is no layout rule to state, only a per-column choice</w:t>
      </w:r>
      <w:r>
        <w:t xml:space="preserve"> </w:t>
      </w:r>
      <w:r>
        <w:t xml:space="preserve">the thirty-document test can make.</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 on the second-look cells, −0.71 on the</w:t>
      </w:r>
      <w:r>
        <w:t xml:space="preserve"> </w:t>
      </w:r>
      <w:r>
        <w:t xml:space="preserve">intervention’s 39 columns across five corpora, 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t xml:space="preserve">We then let the verifier choose: 600 second looks by the 32B routed by its score, against 600 at random and 600</w:t>
      </w:r>
      <w:r>
        <w:t xml:space="preserve"> </w:t>
      </w:r>
      <w:r>
        <w:t xml:space="preserve">most-sensitive-first (1,280 new reads). The verifier’s 600 are wrong 99% of the time, random’s 60%; but the 32B</w:t>
      </w:r>
      <w:r>
        <w:t xml:space="preserve"> </w:t>
      </w:r>
      <w:r>
        <w:t xml:space="preserve">repairs 13% of the verifier’s and 32% of random’s, so the verifier nets 72 fixes for $0.52 against random’s 89 for</w:t>
      </w:r>
      <w:r>
        <w:t xml:space="preserve"> </w:t>
      </w:r>
      <w:r>
        <w:t xml:space="preserve">$0.55. On all 2,999 cells that now have a second look, the same label-free features predict</w:t>
      </w:r>
      <w:r>
        <w:t xml:space="preserve"> </w:t>
      </w:r>
      <w:r>
        <w:t xml:space="preserve">“</w:t>
      </w:r>
      <w:r>
        <w:t xml:space="preserve">wrong</w:t>
      </w:r>
      <w:r>
        <w:t xml:space="preserve">”</w:t>
      </w:r>
      <w:r>
        <w:t xml:space="preserve"> </w:t>
      </w:r>
      <w:r>
        <w:t xml:space="preserve">with AUROC 0.84</w:t>
      </w:r>
      <w:r>
        <w:t xml:space="preserve"> </w:t>
      </w:r>
      <w:r>
        <w:t xml:space="preserve">and</w:t>
      </w:r>
      <w:r>
        <w:t xml:space="preserve"> </w:t>
      </w:r>
      <w:r>
        <w:t xml:space="preserve">“</w:t>
      </w:r>
      <w:r>
        <w:t xml:space="preserve">wrong and repaired by the stronger reader</w:t>
      </w:r>
      <w:r>
        <w:t xml:space="preserve">”</w:t>
      </w:r>
      <w:r>
        <w:t xml:space="preserve"> </w:t>
      </w:r>
      <w:r>
        <w:t xml:space="preserve">with 0.53, which is chance.</w:t>
      </w:r>
      <w:r>
        <w:t xml:space="preserve"> </w:t>
      </w:r>
      <w:r>
        <w:rPr>
          <w:bCs/>
          <w:b/>
        </w:rPr>
        <w:t xml:space="preserve">The verifier detects</w:t>
      </w:r>
      <w:r>
        <w:rPr>
          <w:bCs/>
          <w:b/>
        </w:rPr>
        <w:t xml:space="preserve"> </w:t>
      </w:r>
      <w:r>
        <w:rPr>
          <w:bCs/>
          <w:b/>
        </w:rPr>
        <w:t xml:space="preserve">under-determination, which no reader repairs; it cannot see repairability, and nothing label-free in these features</w:t>
      </w:r>
      <w:r>
        <w:rPr>
          <w:bCs/>
          <w:b/>
        </w:rPr>
        <w:t xml:space="preserve"> </w:t>
      </w:r>
      <w:r>
        <w:rPr>
          <w:bCs/>
          <w:b/>
        </w:rPr>
        <w:t xml:space="preserve">can.</w:t>
      </w:r>
      <w:r>
        <w:t xml:space="preserve"> </w:t>
      </w:r>
      <w:r>
        <w:t xml:space="preserve">Repair rates are flat across kinds (14% to 23% of wrong cells), so a second look repairs about a fifth of</w:t>
      </w:r>
      <w:r>
        <w:t xml:space="preserve"> </w:t>
      </w:r>
      <w:r>
        <w:t xml:space="preserve">wrong cells whoever chooses them. The verifier’s use is the one it is good at: saying which cells not to trust.</w:t>
      </w:r>
      <w:r>
        <w:t xml:space="preserve"> </w:t>
      </w:r>
      <w:r>
        <w:rPr>
          <w:bCs/>
          <w:b/>
        </w:rPr>
        <w:t xml:space="preserve">Repairability is a column property, and ten labelled cells find it.</w:t>
      </w:r>
      <w:r>
        <w:t xml:space="preserve"> </w:t>
      </w:r>
      <w:r>
        <w:t xml:space="preserve">Over the 25 columns with twenty or more</w:t>
      </w:r>
      <w:r>
        <w:t xml:space="preserve"> </w:t>
      </w:r>
      <w:r>
        <w:t xml:space="preserve">second looks, the net repair rate ranges from −0.67 to +0.56 per look (an artist’s death date +0.56, birth city</w:t>
      </w:r>
      <w:r>
        <w:t xml:space="preserve"> </w:t>
      </w:r>
      <w:r>
        <w:t xml:space="preserve">+0.54; columns where the stronger reader breaks more than it fixes at the other end). Estimating each column’s rate</w:t>
      </w:r>
      <w:r>
        <w:t xml:space="preserve"> </w:t>
      </w:r>
      <w:r>
        <w:t xml:space="preserve">from ten labelled second looks and routing 600 looks by it nets 189 fixes against 59 for random and 68 for</w:t>
      </w:r>
      <w:r>
        <w:t xml:space="preserve"> </w:t>
      </w:r>
      <w:r>
        <w:t xml:space="preserve">most-sensitive-first, 402 fixes per dollar with price in the denominator against 123, and close to the 206 of the</w:t>
      </w:r>
      <w:r>
        <w:t xml:space="preserve"> </w:t>
      </w:r>
      <w:r>
        <w:t xml:space="preserve">hindsight order. A stronger reader repairs misreadings of determined columns, and which columns those are is learnt</w:t>
      </w:r>
      <w:r>
        <w:t xml:space="preserve"> </w:t>
      </w:r>
      <w:r>
        <w:t xml:space="preserve">from a handful of labels, not from label-free features. The cascade router is a per-column table of repair rates.</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not to trust; it does not tell which a stronger reader will repair.</w:t>
      </w:r>
      <w:r>
        <w:t xml:space="preserve"> </w:t>
      </w:r>
      <w:r>
        <w:t xml:space="preserve">Label ten second looks per column, route by the column’s repair rate over its price, and expect three times the</w:t>
      </w:r>
      <w:r>
        <w:t xml:space="preserve"> </w:t>
      </w:r>
      <w:r>
        <w:t xml:space="preserve">repairs of a random allocation.</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0.119 on players, and on artists 0.191 against 0.188 at 47% of the</w:t>
      </w:r>
      <w:r>
        <w:t xml:space="preserve"> </w:t>
      </w:r>
      <w:r>
        <w:t xml:space="preserve">calls (45% of the tokens), where 18 of 24 columns are determined by their first context and three are not after</w:t>
      </w:r>
      <w:r>
        <w:t xml:space="preserve"> </w:t>
      </w:r>
      <w:r>
        <w:t xml:space="preserve">four draws; so the determined-context rule holds per-query accuracy within 0.01 on three corpora at 13% to 45% of the</w:t>
      </w:r>
      <w:r>
        <w:t xml:space="preserve"> </w:t>
      </w:r>
      <w:r>
        <w:t xml:space="preserve">tokens.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485900"/>
            <wp:effectExtent b="0" l="0" r="0" t="0"/>
            <wp:docPr descr="Figure 15. DocETL’s mean query score and number of model calls on the same queries: per-query extraction, every column frozen on its first context, frozen on the better of its first two contexts (two runs), and frozen on a determined context; artists with the determined-context rule only."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4859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 artists with the determined-context rule only.</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We ran it on those five. Where the column is single-valued and its labels are forms of a stated</w:t>
      </w:r>
      <w:r>
        <w:t xml:space="preserve"> </w:t>
      </w:r>
      <w:r>
        <w:t xml:space="preserve">fact, declaring them works: artists’ century goes from 0.20 to 0.38 correct and the six queries grouping by it from</w:t>
      </w:r>
      <w:r>
        <w:t xml:space="preserve"> </w:t>
      </w:r>
      <w:r>
        <w:t xml:space="preserve">0.22 to 0.35; legal’s party status and year lift the corpus from 0.170 to 0.269 (0.270 in a second run) and the seven grouping</w:t>
      </w:r>
      <w:r>
        <w:t xml:space="preserve"> </w:t>
      </w:r>
      <w:r>
        <w:t xml:space="preserve">queries from 0.17 to 0.32, none down, because filters now match the form the queries compare with; on artists the</w:t>
      </w:r>
      <w:r>
        <w:t xml:space="preserve"> </w:t>
      </w:r>
      <w:r>
        <w:t xml:space="preserve">gain replicates too (0.275 and 0.279). The fate of the rows says what</w:t>
      </w:r>
      <w:r>
        <w:t xml:space="preserve"> </w:t>
      </w:r>
      <w:r>
        <w:t xml:space="preserve">a vocabulary does: artists’</w:t>
      </w:r>
      <w:r>
        <w:t xml:space="preserve"> </w:t>
      </w:r>
      <w:r>
        <w:t xml:space="preserve">“</w:t>
      </w:r>
      <w:r>
        <w:t xml:space="preserve">own label in another form</w:t>
      </w:r>
      <w:r>
        <w:t xml:space="preserve">”</w:t>
      </w:r>
      <w:r>
        <w:t xml:space="preserve"> </w:t>
      </w:r>
      <w:r>
        <w:t xml:space="preserve">falls from 50% to 6%, exact rises from 27% to 52%, and merged</w:t>
      </w:r>
      <w:r>
        <w:t xml:space="preserve"> </w:t>
      </w:r>
      <w:r>
        <w:t xml:space="preserve">rises from 23% to 43%, since once the forms agree the model’s choice between</w:t>
      </w:r>
      <w:r>
        <w:t xml:space="preserve"> </w:t>
      </w:r>
      <w:r>
        <w:t xml:space="preserve">‘</w:t>
      </w:r>
      <w:r>
        <w:t xml:space="preserve">20th</w:t>
      </w:r>
      <w:r>
        <w:t xml:space="preserve">’</w:t>
      </w:r>
      <w:r>
        <w:t xml:space="preserve"> </w:t>
      </w:r>
      <w:r>
        <w:t xml:space="preserve">and</w:t>
      </w:r>
      <w:r>
        <w:t xml:space="preserve"> </w:t>
      </w:r>
      <w:r>
        <w:t xml:space="preserve">‘</w:t>
      </w:r>
      <w:r>
        <w:t xml:space="preserve">19th-20th</w:t>
      </w:r>
      <w:r>
        <w:t xml:space="preserve">’</w:t>
      </w:r>
      <w:r>
        <w:t xml:space="preserve"> </w:t>
      </w:r>
      <w:r>
        <w:t xml:space="preserve">is exposed as a</w:t>
      </w:r>
      <w:r>
        <w:t xml:space="preserve"> </w:t>
      </w:r>
      <w:r>
        <w:t xml:space="preserve">judgment. Where the column is a list, listing allowed values invites selection: medical’s two contracted list columns</w:t>
      </w:r>
      <w:r>
        <w:t xml:space="preserve"> </w:t>
      </w:r>
      <w:r>
        <w:t xml:space="preserve">lose accuracy (0.20 to 0.05 on one) and the corpus loses 0.013.</w:t>
      </w:r>
      <w:r>
        <w:t xml:space="preserve"> </w:t>
      </w:r>
      <w:r>
        <w:rPr>
          <w:bCs/>
          <w:b/>
        </w:rPr>
        <w:t xml:space="preserve">A vocabulary fixes form, not selection</w:t>
      </w:r>
      <w:r>
        <w:t xml:space="preserve">, and</w:t>
      </w:r>
      <w:r>
        <w:t xml:space="preserve"> </w:t>
      </w:r>
      <w:r>
        <w:t xml:space="preserve">should be declared for single-valued columns only.</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Run on four corpora, the</w:t>
      </w:r>
      <w:r>
        <w:t xml:space="preserve"> </w:t>
      </w:r>
      <w:r>
        <w:t xml:space="preserve">per-column windows cut tokens to 41% on players, 75% on artists, 88% on papers and 89% on medical, with scores</w:t>
      </w:r>
      <w:r>
        <w:t xml:space="preserve"> </w:t>
      </w:r>
      <w:r>
        <w:t xml:space="preserve">unchanged on papers and artists, up 0.007 on medical and down 0.021 on players. Per column the window is a change of</w:t>
      </w:r>
      <w:r>
        <w:t xml:space="preserve"> </w:t>
      </w:r>
      <w:r>
        <w:t xml:space="preserve">context like any other: artists’ birth and death dates improve by 0.41 and 0.25 when the read stops at a tenth of</w:t>
      </w:r>
      <w:r>
        <w:t xml:space="preserve"> </w:t>
      </w:r>
      <w:r>
        <w:t xml:space="preserve">the article, because the first paragraph states the full date and the chained read of the whole article had</w:t>
      </w:r>
      <w:r>
        <w:t xml:space="preserve"> </w:t>
      </w:r>
      <w:r>
        <w:t xml:space="preserve">returned the year alone; lists lose where their items sit past the window; and players’ championship counts</w:t>
      </w:r>
      <w:r>
        <w:t xml:space="preserve"> </w:t>
      </w:r>
      <w:r>
        <w:t xml:space="preserve">collapse from 0.95 to 0.40, because the window was learned from the few players for whom a count is stated, while</w:t>
      </w:r>
      <w:r>
        <w:t xml:space="preserve"> </w:t>
      </w:r>
      <w:r>
        <w:t xml:space="preserve">most players’ gold is 0 and the model needs the whole entry to answer 0, otherwise leaving the cell empty.</w:t>
      </w:r>
      <w:r>
        <w:t xml:space="preserve"> </w:t>
      </w:r>
      <w:r>
        <w:rPr>
          <w:bCs/>
          <w:b/>
        </w:rPr>
        <w:t xml:space="preserve">A window</w:t>
      </w:r>
      <w:r>
        <w:rPr>
          <w:bCs/>
          <w:b/>
        </w:rPr>
        <w:t xml:space="preserve"> </w:t>
      </w:r>
      <w:r>
        <w:rPr>
          <w:bCs/>
          <w:b/>
        </w:rPr>
        <w:t xml:space="preserve">can locate a stated value but cannot establish an absence</w:t>
      </w:r>
      <w:r>
        <w:t xml:space="preserve">, so the rule must exempt columns whose values are mostly</w:t>
      </w:r>
      <w:r>
        <w:t xml:space="preserve"> </w:t>
      </w:r>
      <w:r>
        <w:t xml:space="preserve">a coded absence and lists whose items scatter. With those exemptions the counts return to their recorded accuracy</w:t>
      </w:r>
      <w:r>
        <w:t xml:space="preserve"> </w:t>
      </w:r>
      <w:r>
        <w:t xml:space="preserve">and every windowed column stays within 0.07, yet players still lose 0.03: three filtered aggregates over two or</w:t>
      </w:r>
      <w:r>
        <w:t xml:space="preserve"> </w:t>
      </w:r>
      <w:r>
        <w:t xml:space="preserve">three rows flip from 1 to 0 on single cells the draft columns’ windows changed, so a per-column accuracy within</w:t>
      </w:r>
      <w:r>
        <w:t xml:space="preserve"> </w:t>
      </w:r>
      <w:r>
        <w:t xml:space="preserve">0.02 is no safety margin for an aggregate over a narrow filter. And an exemption propagates through grouping: a</w:t>
      </w:r>
      <w:r>
        <w:t xml:space="preserve"> </w:t>
      </w:r>
      <w:r>
        <w:t xml:space="preserve">prompt takes the largest share of the columns it asks, so artists’ birth date lost its gain as soon as the lists in</w:t>
      </w:r>
      <w:r>
        <w:t xml:space="preserve"> </w:t>
      </w:r>
      <w:r>
        <w:t xml:space="preserve">its prompt were exempt. Windows and grouping have to be planned together, and the choice is about accuracy as much</w:t>
      </w:r>
      <w:r>
        <w:t xml:space="preserve"> </w:t>
      </w:r>
      <w:r>
        <w:t xml:space="preserve">as cost: a dates-only prompt at a tenth of the article costs 10% more than one prompt and gains 0.25 to 0.41.</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as have the verifier as a router of</w:t>
      </w:r>
      <w:r>
        <w:t xml:space="preserve"> </w:t>
      </w:r>
      <w:r>
        <w:t xml:space="preserve">second looks (Section 2: it finds wrong cells, not repairable ones), the label contract and the per-column windows</w:t>
      </w:r>
      <w:r>
        <w:t xml:space="preserve"> </w:t>
      </w:r>
      <w:r>
        <w:t xml:space="preserve">(Section 11). Not yet run: the window rule with its exemptions, replicates of the contract runs, the 32B context intervention</w:t>
      </w:r>
      <w:r>
        <w:t xml:space="preserve"> </w:t>
      </w:r>
      <w:r>
        <w:t xml:space="preserve">on medical and legal has run (Section 1: the models rank the columns the same). The field-position test found no</w:t>
      </w:r>
      <w:r>
        <w:t xml:space="preserve"> </w:t>
      </w:r>
      <w:r>
        <w:t xml:space="preserve">rule to state (Section 1), only a per-column choice. Every intervention planned in RESEARCH_DEPTH.md has now run.</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r>
        <w:t xml:space="preserve"> </w:t>
      </w:r>
      <w:r>
        <w:t xml:space="preserve">The label contract adds gold’s label set as the allowed values of a column’s on-demand prompt; the window runs cut</w:t>
      </w:r>
      <w:r>
        <w:t xml:space="preserve"> </w:t>
      </w:r>
      <w:r>
        <w:t xml:space="preserve">each document to the column’s learned share before the prompt is rendered (a prompt for several columns takes the</w:t>
      </w:r>
      <w:r>
        <w:t xml:space="preserve"> </w:t>
      </w:r>
      <w:r>
        <w:t xml:space="preserve">largest share); the routed second looks re-ask the 32B for the 600 cells each rule ranks first, reusing earlier</w:t>
      </w:r>
      <w:r>
        <w:t xml:space="preserve"> </w:t>
      </w:r>
      <w:r>
        <w:t xml:space="preserve">second looks of the same cells, and the repairability test fits the verifier’s features to</w:t>
      </w:r>
      <w:r>
        <w:t xml:space="preserve"> </w:t>
      </w:r>
      <w:r>
        <w:t xml:space="preserve">“</w:t>
      </w:r>
      <w:r>
        <w:t xml:space="preserve">wrong and repaired</w:t>
      </w:r>
      <w:r>
        <w:t xml:space="preserve">”</w:t>
      </w:r>
      <w:r>
        <w:t xml:space="preserve"> </w:t>
      </w:r>
      <w:r>
        <w:t xml:space="preserve">with</w:t>
      </w:r>
      <w:r>
        <w:t xml:space="preserve"> </w:t>
      </w:r>
      <w:r>
        <w:t xml:space="preserve">whole columns held out.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2026-10-10T05:31:35Z</dcterms:created>
  <dcterms:modified xsi:type="dcterms:W3CDTF">2026-10-10T05:31:35Z</dcterms:modified>
</cp:coreProperties>
</file>

<file path=docProps/custom.xml><?xml version="1.0" encoding="utf-8"?>
<Properties xmlns="http://schemas.openxmlformats.org/officeDocument/2006/custom-properties" xmlns:vt="http://schemas.openxmlformats.org/officeDocument/2006/docPropsVTypes"/>
</file>