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70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290 drift test queries over all five. Budget policies, ablations,</w:t>
      </w:r>
      <w:r>
        <w:t xml:space="preserve"> </w:t>
      </w:r>
      <w:r>
        <w:t xml:space="preserve">other models and smaller build workloads on med and legal are still running; those sections cover cspaper, player</w:t>
      </w:r>
      <w:r>
        <w:t xml:space="preserve"> </w:t>
      </w:r>
      <w:r>
        <w:t xml:space="preserve">and art.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+0.165 (0.096 – 0.237)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+0.074 (0.035 – 0.119)</w:t>
            </w:r>
          </w:p>
        </w:tc>
      </w:tr>
    </w:tbl>
    <w:p>
      <w:pPr>
        <w:pStyle w:val="BodyText"/>
      </w:pPr>
      <w:r>
        <w:t xml:space="preserve">With patching, the score at 100% drift is never more than 0.015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(RQ7): a corpus-specific gain from narrow prompts, not a benefit of drift.</w:t>
      </w:r>
    </w:p>
    <w:p>
      <w:pPr>
        <w:pStyle w:val="BodyText"/>
      </w:pPr>
      <w:r>
        <w:drawing>
          <wp:inline>
            <wp:extent cx="5334000" cy="1163781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7 runs over cspaper, player and art) leaves more columns to the patches (art</w:t>
      </w:r>
      <w:r>
        <w:t xml:space="preserve"> </w:t>
      </w:r>
      <w:r>
        <w:t xml:space="preserve">at 10%: 14 new columns instead of 9). Static still collapses at 100% drift (0.000–0.043), the patched curve stays</w:t>
      </w:r>
      <w:r>
        <w:t xml:space="preserve"> </w:t>
      </w:r>
      <w:r>
        <w:t xml:space="preserve">within 0.025 of its 0% score, and no 100% − 0% difference is significant (−0.015 to +0.014). The cost moves from the</w:t>
      </w:r>
      <w:r>
        <w:t xml:space="preserve"> </w:t>
      </w:r>
      <w:r>
        <w:t xml:space="preserve">build to the patches and grows: art at 10% saves 1.0M build tokens but adds 2.6M patch tokens (+19% total); cspaper</w:t>
      </w:r>
      <w:r>
        <w:t xml:space="preserve"> </w:t>
      </w:r>
      <w:r>
        <w:t xml:space="preserve">+23%, player +7%. The 0% score itself shifts with the share (cspaper 0.134 → 0.149–0.162, player 0.379 → 0.353),</w:t>
      </w:r>
      <w:r>
        <w:t xml:space="preserve"> </w:t>
      </w:r>
      <w:r>
        <w:t xml:space="preserve">because the build groups columns into prompts by workload, and a column’s values depend on the prompt it is read in</w:t>
      </w:r>
      <w:r>
        <w:t xml:space="preserve"> </w:t>
      </w:r>
      <w:r>
        <w:t xml:space="preserve">(see RQ2).</w:t>
      </w:r>
    </w:p>
    <w:p>
      <w:pPr>
        <w:pStyle w:val="BodyText"/>
      </w:pPr>
      <w:r>
        <w:drawing>
          <wp:inline>
            <wp:extent cx="5334000" cy="364490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(cspaper, player, art).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2.81M,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16.62M, 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4.94M, 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24.33M, 0.170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</w:t>
      </w:r>
      <w:r>
        <w:t xml:space="preserve"> </w:t>
      </w:r>
      <w:r>
        <w:t xml:space="preserve">smaller build workloads on cspaper, player and art; 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RQ1, art’s</w:t>
      </w:r>
      <w:r>
        <w:t xml:space="preserve"> </w:t>
      </w:r>
      <w:r>
        <w:rPr>
          <w:rStyle w:val="VerbatimChar"/>
        </w:rPr>
        <w:t xml:space="preserve">birth_country</w:t>
      </w:r>
      <w:r>
        <w:t xml:space="preserve"> </w:t>
      </w:r>
      <w:r>
        <w:t xml:space="preserve">read with 6</w:t>
      </w:r>
      <w:r>
        <w:t xml:space="preserve"> </w:t>
      </w:r>
      <w:r>
        <w:t xml:space="preserve">columns instead of 15 is right on 0.02 of documents instead of 0.53, while other columns gain. What a prompt’s other</w:t>
      </w:r>
      <w:r>
        <w:t xml:space="preserve"> </w:t>
      </w:r>
      <w:r>
        <w:t xml:space="preserve">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 (extraction on fixed document samples; it does not use the</w:t>
      </w:r>
      <w:r>
        <w:t xml:space="preserve"> </w:t>
      </w:r>
      <w:r>
        <w:t xml:space="preserve">drift test queries).</w:t>
      </w:r>
    </w:p>
    <w:p>
      <w:r>
        <w:pict>
          <v:rect style="width:0;height:1.5pt" o:hralign="center" o:hrstd="t" o:hr="t"/>
        </w:pict>
      </w:r>
    </w:p>
    <w:bookmarkEnd w:id="37"/>
    <w:bookmarkStart w:id="41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corpora run so far, no policy is reliably better than spending first-come-first-served (patch every</w:t>
      </w:r>
      <w:r>
        <w:t xml:space="preserve"> </w:t>
      </w:r>
      <w:r>
        <w:t xml:space="preserve">query that fits). Pacing the budget helps where early patches over-read and hurts where early patches are the valuable</w:t>
      </w:r>
      <w:r>
        <w:t xml:space="preserve"> </w:t>
      </w:r>
      <w:r>
        <w:t xml:space="preserve">ones; capping any single patch hurts everywhere; skipping patches that bought nothing changes little, because few</w:t>
      </w:r>
      <w:r>
        <w:t xml:space="preserve"> </w:t>
      </w:r>
      <w:r>
        <w:t xml:space="preserve">did. Even an offline plan that knows the whole stream is not better, because a patch’s cost and value depend on the</w:t>
      </w:r>
      <w:r>
        <w:t xml:space="preserve"> </w:t>
      </w:r>
      <w:r>
        <w:t xml:space="preserve">patches before it.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Mean score over 25 budget × drift settings per corpus: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Pacing helps where early patches over-read (cspaper, art) and hurts where early patches are the valuable ones</w:t>
      </w:r>
      <w:r>
        <w:t xml:space="preserve"> </w:t>
      </w:r>
      <w:r>
        <w:t xml:space="preserve">(player). The hindsight oracle equals first-come-first-served on all three corpora: at 100% drift no player patch and</w:t>
      </w:r>
      <w:r>
        <w:t xml:space="preserve"> </w:t>
      </w:r>
      <w:r>
        <w:t xml:space="preserve">few cspaper and art patches bought nothing (RQ4).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narrowed its scope, a</w:t>
      </w:r>
      <w:r>
        <w:t xml:space="preserve"> </w:t>
      </w:r>
      <w:r>
        <w:t xml:space="preserve">chosen player patch reads 29 documents instead of 1 (0.55M estimated tokens instead of 0.02M) and no longer fits; and</w:t>
      </w:r>
      <w:r>
        <w:t xml:space="preserve"> </w:t>
      </w:r>
      <w:r>
        <w:t xml:space="preserve">gains measured with every other patch present are not additive. At the full budget the knapsack leaves 39% of</w:t>
      </w:r>
      <w:r>
        <w:t xml:space="preserve"> </w:t>
      </w:r>
      <w:r>
        <w:t xml:space="preserve">cspaper’s budget unspent (0.71M of 1.16M tokens) at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9" name="Picture"/>
            <a:graphic>
              <a:graphicData uri="http://schemas.openxmlformats.org/drawingml/2006/picture">
                <pic:pic>
                  <pic:nvPicPr>
                    <pic:cNvPr descr="figures/rq3_polici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 pacing and per-patch caps are not safe defaults; and because patch costs and values depend on</w:t>
      </w:r>
      <w:r>
        <w:t xml:space="preserve"> </w:t>
      </w:r>
      <w:r>
        <w:t xml:space="preserve">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 × five budgets × five drift levels.</w:t>
      </w:r>
    </w:p>
    <w:p>
      <w:r>
        <w:pict>
          <v:rect style="width:0;height:1.5pt" o:hralign="center" o:hrstd="t" o:hr="t"/>
        </w:pict>
      </w:r>
    </w:p>
    <w:bookmarkEnd w:id="41"/>
    <w:bookmarkStart w:id="45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16% of patch tokens buy nothing, mostly on corpora whose</w:t>
      </w:r>
      <w:r>
        <w:t xml:space="preserve"> </w:t>
      </w:r>
      <w:r>
        <w:t xml:space="preserve">values are often absent (med, cspaper), and whole-corpus patches hold the larger share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columns, at 100% drift: player 0%, art 16%, legal 19%, med 33%, cspaper 39%. Over all 116 patches of the unlimited</w:t>
      </w:r>
      <w:r>
        <w:t xml:space="preserve"> </w:t>
      </w:r>
      <w:r>
        <w:t xml:space="preserve">streams at every drift level (118M tokens, 16%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3" name="Picture"/>
            <a:graphic>
              <a:graphicData uri="http://schemas.openxmlformats.org/drawingml/2006/picture">
                <pic:pic>
                  <pic:nvPicPr>
                    <pic:cNvPr descr="figures/rq4_sign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model; where value is uncertain, whole-corpus reads are the extractions</w:t>
      </w:r>
      <w:r>
        <w:t xml:space="preserve"> </w:t>
      </w:r>
      <w:r>
        <w:t xml:space="preserve">to scrutinize.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streams.</w:t>
      </w:r>
    </w:p>
    <w:p>
      <w:r>
        <w:pict>
          <v:rect style="width:0;height:1.5pt" o:hralign="center" o:hrstd="t" o:hr="t"/>
        </w:pict>
      </w:r>
    </w:p>
    <w:bookmarkEnd w:id="45"/>
    <w:bookmarkStart w:id="49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7" name="Picture"/>
            <a:graphic>
              <a:graphicData uri="http://schemas.openxmlformats.org/drawingml/2006/picture">
                <pic:pic>
                  <pic:nvPicPr>
                    <pic:cNvPr descr="figures/rq5_plann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9"/>
    <w:bookmarkStart w:id="53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1" name="Picture"/>
            <a:graphic>
              <a:graphicData uri="http://schemas.openxmlformats.org/drawingml/2006/picture">
                <pic:pic>
                  <pic:nvPicPr>
                    <pic:cNvPr descr="figures/rq6_cel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3"/>
    <w:bookmarkStart w:id="57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 → 0.203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5" name="Picture"/>
            <a:graphic>
              <a:graphicData uri="http://schemas.openxmlformats.org/drawingml/2006/picture">
                <pic:pic>
                  <pic:nvPicPr>
                    <pic:cNvPr descr="figures/rq7_model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+0.023). Its 100% − 0%</w:t>
      </w:r>
      <w:r>
        <w:t xml:space="preserve"> </w:t>
      </w:r>
      <w:r>
        <w:t xml:space="preserve">difference is significant on cspaper and player (+0.062, +0.020) and not on art, the narrow-prompt effect 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quantization on one corpus.</w:t>
      </w:r>
    </w:p>
    <w:p>
      <w:r>
        <w:pict>
          <v:rect style="width:0;height:1.5pt" o:hralign="center" o:hrstd="t" o:hr="t"/>
        </w:pict>
      </w:r>
    </w:p>
    <w:bookmarkEnd w:id="57"/>
    <w:bookmarkStart w:id="64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9" name="Picture"/>
            <a:graphic>
              <a:graphicData uri="http://schemas.openxmlformats.org/drawingml/2006/picture">
                <pic:pic>
                  <pic:nvPicPr>
                    <pic:cNvPr descr="figures/rq8_bottlene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59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in cspaper, player</w:t>
      </w:r>
      <w:r>
        <w:t xml:space="preserve"> </w:t>
      </w:r>
      <w:r>
        <w:t xml:space="preserve">and art, 19 are empty in at least 5% of gold rows (e.g. cspaper</w:t>
      </w:r>
      <w:r>
        <w:t xml:space="preserve"> </w:t>
      </w:r>
      <w:r>
        <w:rPr>
          <w:rStyle w:val="VerbatimChar"/>
        </w:rPr>
        <w:t xml:space="preserve">performance_on_hotpotqa</w:t>
      </w:r>
      <w:r>
        <w:t xml:space="preserve"> </w:t>
      </w:r>
      <w:r>
        <w:t xml:space="preserve">empty in 84%).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2" name="Picture"/>
            <a:graphic>
              <a:graphicData uri="http://schemas.openxmlformats.org/drawingml/2006/picture">
                <pic:pic>
                  <pic:nvPicPr>
                    <pic:cNvPr descr="figures/rq8_for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</w:t>
      </w:r>
      <w:r>
        <w:t xml:space="preserve"> </w:t>
      </w:r>
      <w:r>
        <w:t xml:space="preserve">(patched, 100% drift, 290 queries): AVG 0.40, SUM 0.34, MIN over numbers 0.31, COUNT 0.23, MAX over</w:t>
      </w:r>
      <w:r>
        <w:t xml:space="preserve"> </w:t>
      </w:r>
      <w:r>
        <w:t xml:space="preserve">numbers 0.19; MIN/MAX over numbers stored as text (years, amounts) 0.21–0.25.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(the metadata count on cspaper, player and art); one model for the per-column analysis.</w:t>
      </w:r>
    </w:p>
    <w:p>
      <w:r>
        <w:pict>
          <v:rect style="width:0;height:1.5pt" o:hralign="center" o:hrstd="t" o:hr="t"/>
        </w:pict>
      </w:r>
    </w:p>
    <w:bookmarkEnd w:id="64"/>
    <w:bookmarkStart w:id="68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4.9–16.9×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0.011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4.9–16.9×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6" name="Picture"/>
            <a:graphic>
              <a:graphicData uri="http://schemas.openxmlformats.org/drawingml/2006/picture">
                <pic:pic>
                  <pic:nvPicPr>
                    <pic:cNvPr descr="figures/ablatio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0.27–0.35×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one model (Qwen 2.5 7B), 100% drift.</w:t>
      </w:r>
    </w:p>
    <w:p>
      <w:r>
        <w:pict>
          <v:rect style="width:0;height:1.5pt" o:hralign="center" o:hrstd="t" o:hr="t"/>
        </w:pict>
      </w:r>
    </w:p>
    <w:bookmarkEnd w:id="68"/>
    <w:bookmarkStart w:id="69" w:name="cost"/>
    <w:p>
      <w:pPr>
        <w:pStyle w:val="Heading2"/>
      </w:pPr>
      <w:r>
        <w:t xml:space="preserve">Cost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Under drift, on-demand patching is most of the cost: at 100% drift patches are 71–85% of all extraction</w:t>
      </w:r>
      <w:r>
        <w:t xml:space="preserve"> </w:t>
      </w:r>
      <w:r>
        <w:t xml:space="preserve">tokens, and a query that needs a patch costs 0.2–3.9M tokens (legal’s long judgments are the most expensive), while a</w:t>
      </w:r>
      <w:r>
        <w:t xml:space="preserve"> </w:t>
      </w:r>
      <w:r>
        <w:t xml:space="preserve">query answered from the database costs nothing more. At list prices for the 7B model a whole corpus costs $0.16–2.46</w:t>
      </w:r>
      <w:r>
        <w:t xml:space="preserve"> </w:t>
      </w:r>
      <w:r>
        <w:t xml:space="preserve">with patching (build plus every patch) and $0.06–0.50 if the build had anticipated every column. Reuse of patched columns is the largest saving (5–17×), and the</w:t>
      </w:r>
      <w:r>
        <w:t xml:space="preserve"> </w:t>
      </w:r>
      <w:r>
        <w:t xml:space="preserve">system is 7–25× cheaper than DocETL on the same queries.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Tokens as charged by the server; dollars at OpenRouter list rates for</w:t>
      </w:r>
      <w:r>
        <w:t xml:space="preserve"> </w:t>
      </w:r>
      <w:r>
        <w:rPr>
          <w:rStyle w:val="VerbatimChar"/>
        </w:rPr>
        <w:t xml:space="preserve">qwen/qwen-2.5-7b-instruct</w:t>
      </w:r>
      <w:r>
        <w:t xml:space="preserve"> </w:t>
      </w:r>
      <w:r>
        <w:t xml:space="preserve">($0.10 per million input tokens, $0.20 per million output tokens; fetched 2026-10-07). Build plus all patches for each</w:t>
      </w:r>
      <w:r>
        <w:t xml:space="preserve"> </w:t>
      </w:r>
      <w:r>
        <w:t xml:space="preserve">corpus’s test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 (0% drift)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 (100% drift)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Patches’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query that needs a patch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test query, 0% /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$0.058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$0.160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220k tokens, $0.017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$0.0010 / $0.0027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$0.214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$0.778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930k tokens, $0.071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$0.0018 / $0.0066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$0.339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$0.881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974k tokens, $0.069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$0.0079 / $0.0205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2.81M, $0.286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16.62M, $1.677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948k tokens, $0.101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$0.0066 / $0.0390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4.94M, $0.503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24.33M, $2.456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3.9M tokens, $0.332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$0.0186 / $0.0910</w:t>
            </w:r>
          </w:p>
        </w:tc>
      </w:tr>
    </w:tbl>
    <w:p>
      <w:pPr>
        <w:pStyle w:val="BodyText"/>
      </w:pPr>
      <w:r>
        <w:t xml:space="preserve">Only 6–14 of each corpus’s test queries need a patch at 100% drift (the first to use each new column); every later</w:t>
      </w:r>
      <w:r>
        <w:t xml:space="preserve"> </w:t>
      </w:r>
      <w:r>
        <w:t xml:space="preserve">query reuses what they read. A query answered from the database adds no extraction cost.</w:t>
      </w:r>
    </w:p>
    <w:p>
      <w:pPr>
        <w:pStyle w:val="BodyText"/>
      </w:pPr>
      <w:r>
        <w:rPr>
          <w:iCs/>
          <w:i/>
        </w:rPr>
        <w:t xml:space="preserve">What changes the cost</w:t>
      </w:r>
      <w:r>
        <w:t xml:space="preserve"> </w:t>
      </w:r>
      <w:r>
        <w:t xml:space="preserve">(100% drift, 7B rates; cspaper, player and art — the variants have not been re-run on med and</w:t>
      </w:r>
      <w:r>
        <w:t xml:space="preserve"> </w:t>
      </w:r>
      <w:r>
        <w:t xml:space="preserve">legal yet; DocETL on the same queries costs $8.94 on med and $33.52 on 21 of legal’s 27):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 system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workload cut to 10% of its queries (E12)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$0.196 (+23%)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$0.830 (+7%)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$1.036 (+18%)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reuse of patched columns: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 (vs $0.12)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$9.65 (vs $0.57)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$3.03 (vs $0.62)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 every document (no scope):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 (vs $0.12)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$0.57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$0.91 (vs $0.62)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documents read to the first window: patches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$0.12 (same)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$0.33 (vs $0.57)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$0.62 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DocETL on the same test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$5.94</w:t>
            </w:r>
          </w:p>
        </w:tc>
      </w:tr>
    </w:tbl>
    <w:p>
      <w:pPr>
        <w:pStyle w:val="BodyText"/>
      </w:pPr>
      <w:r>
        <w:rPr>
          <w:iCs/>
          <w:i/>
        </w:rPr>
        <w:t xml:space="preserve">Across models</w:t>
      </w:r>
      <w:r>
        <w:t xml:space="preserve"> </w:t>
      </w:r>
      <w:r>
        <w:t xml:space="preserve">(build + patches at 100% drift; patch tokens differ by at most 19% across models — Llama reads</w:t>
      </w:r>
      <w:r>
        <w:t xml:space="preserve"> </w:t>
      </w:r>
      <w:r>
        <w:t xml:space="preserve">more on art — so prices differ mostly by rate):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3.1 8B ($0.05 / $0.08)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 ($0.10 / $0.20)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 (not listed; $0.08 / $0.28 to $0.66 / $1.00)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$0.09 (score 0.125)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$0.16 (0.153)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$0.14–1.08 (0.224)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$0.39 (0.359)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$0.78 (0.387)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$0.64–5.14 (0.421)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$0.50 (0.203)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$0.88 (0.256)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$0.73–5.58 (0.289)</w:t>
            </w:r>
          </w:p>
        </w:tc>
      </w:tr>
    </w:tbl>
    <w:p>
      <w:pPr>
        <w:pStyle w:val="BodyText"/>
      </w:pPr>
      <w:r>
        <w:t xml:space="preserve">Qwen 2.5 32B Instruct is not on OpenRouter; the range uses the closest listed models,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(low) and</w:t>
      </w:r>
      <w:r>
        <w:t xml:space="preserve"> </w:t>
      </w:r>
      <w:r>
        <w:rPr>
          <w:rStyle w:val="VerbatimChar"/>
        </w:rPr>
        <w:t xml:space="preserve">qwen/qwen-2.5-coder-32b-instruct</w:t>
      </w:r>
      <w:r>
        <w:t xml:space="preserve"> </w:t>
      </w:r>
      <w:r>
        <w:t xml:space="preserve">(high, same generation and size).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cost of adapting to drift is a handful of whole-corpus reads, each 0.2–1.1M tokens (cents at small</w:t>
      </w:r>
      <w:r>
        <w:t xml:space="preserve"> </w:t>
      </w:r>
      <w:r>
        <w:t xml:space="preserve">model rates), paid once per new column and shared by every later query that uses it. Reuse is what keeps it small;</w:t>
      </w:r>
      <w:r>
        <w:t xml:space="preserve"> </w:t>
      </w:r>
      <w:r>
        <w:t xml:space="preserve">anticipating columns during the build removes most of it.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for the main table, three for the variants and models; tokens measured, the fixed levels’</w:t>
      </w:r>
      <w:r>
        <w:t xml:space="preserve"> </w:t>
      </w:r>
      <w:r>
        <w:t xml:space="preserve">builds costed as one shared read (within about 2%, E1.3); prices are list rates on 2026-10-07 and exclude local</w:t>
      </w:r>
      <w:r>
        <w:t xml:space="preserve"> </w:t>
      </w:r>
      <w:r>
        <w:t xml:space="preserve">serving costs.</w:t>
      </w:r>
    </w:p>
    <w:p>
      <w:r>
        <w:pict>
          <v:rect style="width:0;height:1.5pt" o:hralign="center" o:hrstd="t" o:hr="t"/>
        </w:pict>
      </w:r>
    </w:p>
    <w:bookmarkEnd w:id="69"/>
    <w:bookmarkStart w:id="73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5–25×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+0.044 (0.012 – 0.078)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of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+0.097 (0.031 – 0.170)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1" name="Picture"/>
            <a:graphic>
              <a:graphicData uri="http://schemas.openxmlformats.org/drawingml/2006/picture">
                <pic:pic>
                  <pic:nvPicPr>
                    <pic:cNvPr descr="figures/docet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284 of the 290 drift test queries (legal’s 6 newest queries not yet run with DocETL); one model.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2026-10-07T22:25:11Z</dcterms:created>
  <dcterms:modified xsi:type="dcterms:W3CDTF">2026-10-07T22:25:11Z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