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to trust and which to send to a stronger reader, and that routing should</w:t>
      </w:r>
      <w:r>
        <w:t xml:space="preserve"> </w:t>
      </w:r>
      <w:r>
        <w:t xml:space="preserve">be priced per token, not per cell.</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and 0.119 on players.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981200"/>
            <wp:effectExtent b="0" l="0" r="0" t="0"/>
            <wp:docPr descr="Figure 15. DocETL’s mean query score and number of model calls on the same queries: per-query extraction, every column frozen on its first context, frozen on the better of its first two contexts (two runs), and frozen on a determined context."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(a run on those five is queued).</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a run with it is queued.</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Running or queued, each with its</w:t>
      </w:r>
      <w:r>
        <w:t xml:space="preserve"> </w:t>
      </w:r>
      <w:r>
        <w:t xml:space="preserve">prediction written first (RESEARCH_DEPTH.md): the verifier as the router of second looks on the 32B (I2b), the label</w:t>
      </w:r>
      <w:r>
        <w:t xml:space="preserve"> </w:t>
      </w:r>
      <w:r>
        <w:t xml:space="preserve">contract on the five columns that lack a vocabulary (I6), and per-column read windows (I7).</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2026-10-09T23:58:21Z</dcterms:created>
  <dcterms:modified xsi:type="dcterms:W3CDTF">2026-10-09T23:58:21Z</dcterms:modified>
</cp:coreProperties>
</file>

<file path=docProps/custom.xml><?xml version="1.0" encoding="utf-8"?>
<Properties xmlns="http://schemas.openxmlformats.org/officeDocument/2006/custom-properties" xmlns:vt="http://schemas.openxmlformats.org/officeDocument/2006/docPropsVTypes"/>
</file>