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queries) leaves more columns to the patches (art at 10%: 14 new columns instead of</w:t>
      </w:r>
      <w:r>
        <w:t xml:space="preserve"> </w:t>
      </w:r>
      <w:r>
        <w:t xml:space="preserve">9). Static still collapses at 100% drift (0.000–0.043), the patched curve stays within 0.025 of its 0% score, and no</w:t>
      </w:r>
      <w:r>
        <w:t xml:space="preserve"> </w:t>
      </w:r>
      <w:r>
        <w:t xml:space="preserve">100% − 0% difference is significant (−0.015 to +0.014). The cost moves from the build to the patches and grows: art</w:t>
      </w:r>
      <w:r>
        <w:t xml:space="preserve"> </w:t>
      </w:r>
      <w:r>
        <w:t xml:space="preserve">at 10% saves 1.0M build tokens but adds 2.6M patch tokens (+19% total); cspaper +23%, player +7%.</w:t>
      </w:r>
    </w:p>
    <w:p>
      <w:pPr>
        <w:pStyle w:val="BodyText"/>
      </w:pPr>
      <w:r>
        <w:drawing>
          <wp:inline>
            <wp:extent cx="5334000" cy="163576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(cspaper, player, art).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cspaper, player and art;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of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+0.101 (0.046 – 0.165)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9" name="Picture"/>
            <a:graphic>
              <a:graphicData uri="http://schemas.openxmlformats.org/drawingml/2006/picture">
                <pic:pic>
                  <pic:nvPicPr>
                    <pic:cNvPr descr="figures/docet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Legal is 16 of 30 queries (DocETL takes about 3 hours per legal query); the other corpora are complete.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2026-10-05T22:04:54Z</dcterms:created>
  <dcterms:modified xsi:type="dcterms:W3CDTF">2026-10-05T22:04:54Z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