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40.png" ContentType="image/png"/>
  <Override PartName="/word/media/rId45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why</w:t>
      </w:r>
      <w:r>
        <w:t xml:space="preserve"> </w:t>
      </w:r>
      <w:r>
        <w:t xml:space="preserve">they</w:t>
      </w:r>
      <w:r>
        <w:t xml:space="preserve"> </w:t>
      </w:r>
      <w:r>
        <w:t xml:space="preserve">hold</w:t>
      </w:r>
    </w:p>
    <w:p>
      <w:pPr>
        <w:pStyle w:val="Subtitle"/>
      </w:pPr>
      <w:r>
        <w:t xml:space="preserve">LLM-built</w:t>
      </w:r>
      <w:r>
        <w:t xml:space="preserve"> </w:t>
      </w:r>
      <w:r>
        <w:t xml:space="preserve">databases</w:t>
      </w:r>
      <w:r>
        <w:t xml:space="preserve"> </w:t>
      </w:r>
      <w:r>
        <w:t xml:space="preserve">under</w:t>
      </w:r>
      <w:r>
        <w:t xml:space="preserve"> </w:t>
      </w:r>
      <w:r>
        <w:t xml:space="preserve">workload</w:t>
      </w:r>
      <w:r>
        <w:t xml:space="preserve"> </w:t>
      </w:r>
      <w:r>
        <w:t xml:space="preserve">drift</w:t>
      </w:r>
    </w:p>
    <w:p>
      <w:pPr>
        <w:pStyle w:val="Date"/>
      </w:pPr>
      <w:r>
        <w:t xml:space="preserve">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3" w:name="purpose-of-this-section"/>
    <w:p>
      <w:pPr>
        <w:pStyle w:val="Heading1"/>
      </w:pPr>
      <w:r>
        <w:t xml:space="preserve">Purpose of this section</w:t>
      </w:r>
    </w:p>
    <w:p>
      <w:pPr>
        <w:pStyle w:val="FirstParagraph"/>
      </w:pPr>
      <w:r>
        <w:t xml:space="preserve">The experiments describe how an LLM-built database behaves when its query workload changes. This section turns those</w:t>
      </w:r>
      <w:r>
        <w:t xml:space="preserve"> </w:t>
      </w:r>
      <w:r>
        <w:t xml:space="preserve">observations into knowledge: for each finding it asks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system behaves that way, states the mechanism we</w:t>
      </w:r>
      <w:r>
        <w:t xml:space="preserve"> </w:t>
      </w:r>
      <w:r>
        <w:t xml:space="preserve">identified, shows the evidence, and says how strong that evidence is and what is still open.</w:t>
      </w:r>
    </w:p>
    <w:p>
      <w:pPr>
        <w:pStyle w:val="BodyText"/>
      </w:pPr>
      <w:r>
        <w:rPr>
          <w:bCs/>
          <w:b/>
        </w:rPr>
        <w:t xml:space="preserve">Setting in brief.</w:t>
      </w:r>
      <w:r>
        <w:t xml:space="preserve"> </w:t>
      </w:r>
      <w:r>
        <w:t xml:space="preserve">An LLM reads each document and fills table columns so that SQL queries can be answered. Before</w:t>
      </w:r>
      <w:r>
        <w:t xml:space="preserve"> </w:t>
      </w:r>
      <w:r>
        <w:t xml:space="preserve">any query arrives, a</w:t>
      </w:r>
      <w:r>
        <w:t xml:space="preserve"> </w:t>
      </w:r>
      <w:r>
        <w:rPr>
          <w:iCs/>
          <w:i/>
        </w:rPr>
        <w:t xml:space="preserve">build</w:t>
      </w:r>
      <w:r>
        <w:t xml:space="preserve"> </w:t>
      </w:r>
      <w:r>
        <w:t xml:space="preserve">reads every document once for the columns the known workload uses. When a later query</w:t>
      </w:r>
      <w:r>
        <w:t xml:space="preserve"> </w:t>
      </w:r>
      <w:r>
        <w:t xml:space="preserve">needs a column the build did not read, the system extracts it</w:t>
      </w:r>
      <w:r>
        <w:t xml:space="preserve"> </w:t>
      </w:r>
      <w:r>
        <w:rPr>
          <w:iCs/>
          <w:i/>
        </w:rPr>
        <w:t xml:space="preserve">on demand</w:t>
      </w:r>
      <w:r>
        <w:t xml:space="preserve"> </w:t>
      </w:r>
      <w:r>
        <w:t xml:space="preserve">(an on-demand extraction, or patch): it</w:t>
      </w:r>
      <w:r>
        <w:t xml:space="preserve"> </w:t>
      </w:r>
      <w:r>
        <w:t xml:space="preserve">reads that column on the documents the query can select and keeps it for later queries.</w:t>
      </w:r>
      <w:r>
        <w:t xml:space="preserve"> </w:t>
      </w:r>
      <w:r>
        <w:rPr>
          <w:iCs/>
          <w:i/>
        </w:rPr>
        <w:t xml:space="preserve">Workload drift</w:t>
      </w:r>
      <w:r>
        <w:t xml:space="preserve"> </w:t>
      </w:r>
      <w:r>
        <w:t xml:space="preserve">of p% means</w:t>
      </w:r>
      <w:r>
        <w:t xml:space="preserve"> </w:t>
      </w:r>
      <w:r>
        <w:t xml:space="preserve">p% of the columns the test queries need were left out of the build. Scores are per query (right rows and groups ×</w:t>
      </w:r>
      <w:r>
        <w:t xml:space="preserve"> </w:t>
      </w:r>
      <w:r>
        <w:t xml:space="preserve">right values), averaged; 1.0 is a perfect answer. Five corpora: research papers, basketball players, artists,</w:t>
      </w:r>
      <w:r>
        <w:t xml:space="preserve"> </w:t>
      </w:r>
      <w:r>
        <w:t xml:space="preserve">medical documents, court judgments. Main model: Qwen 2.5 7B, served locally; some results also with Qwen 2.5 32B.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Five pieces of knowledge, each with the evidence that explains it." title="" id="21" name="Picture"/>
            <a:graphic>
              <a:graphicData uri="http://schemas.openxmlformats.org/drawingml/2006/picture">
                <pic:pic>
                  <pic:nvPicPr>
                    <pic:cNvPr descr="figures/w0_knowledge_ma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 pieces of knowledge, each with the evidence that explains it.</w:t>
      </w:r>
    </w:p>
    <w:bookmarkEnd w:id="23"/>
    <w:bookmarkStart w:id="27" w:name="X345c51d6d122f168dbfc6cffa1cc925497d6dd2"/>
    <w:p>
      <w:pPr>
        <w:pStyle w:val="Heading1"/>
      </w:pPr>
      <w:r>
        <w:t xml:space="preserve">1. When a value is extracted does not matter; how it is asked does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does on-demand extraction reach the same accuracy as extracting everything up front, even when</w:t>
      </w:r>
      <w:r>
        <w:t xml:space="preserve"> </w:t>
      </w:r>
      <w:r>
        <w:t xml:space="preserve">the build anticipated none of the columns a query needs?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An extracted value depends on the prompt that asks for it (which columns are asked together and how each</w:t>
      </w:r>
      <w:r>
        <w:t xml:space="preserve"> </w:t>
      </w:r>
      <w:r>
        <w:t xml:space="preserve">is described), not on when the prompt is sent or which other queries came before. Drift changes only</w:t>
      </w:r>
      <w:r>
        <w:t xml:space="preserve"> </w:t>
      </w:r>
      <w:r>
        <w:rPr>
          <w:iCs/>
          <w:i/>
        </w:rPr>
        <w:t xml:space="preserve">which prompt</w:t>
      </w:r>
      <w:r>
        <w:t xml:space="preserve"> </w:t>
      </w:r>
      <w:r>
        <w:t xml:space="preserve">reads a column: the build asks for all of a table’s new columns at once, an on-demand extraction for one to three.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We re-ran the fully drifted workloads with every on-demand extraction given exactly the build’s prompt.</w:t>
      </w:r>
      <w:r>
        <w:t xml:space="preserve"> </w:t>
      </w:r>
      <w:r>
        <w:t xml:space="preserve">396 of 397 queries then scored exactly as with everything extracted up front (the one difference comes from how values</w:t>
      </w:r>
      <w:r>
        <w:t xml:space="preserve"> </w:t>
      </w:r>
      <w:r>
        <w:t xml:space="preserve">are mapped to the workload’s vocabulary when results are served). The small differences between up-front and</w:t>
      </w:r>
      <w:r>
        <w:t xml:space="preserve"> </w:t>
      </w:r>
      <w:r>
        <w:t xml:space="preserve">on-demand scores are therefore prompt effects, not drift effects. With the larger model the prompt effect is large</w:t>
      </w:r>
      <w:r>
        <w:t xml:space="preserve"> </w:t>
      </w:r>
      <w:r>
        <w:t xml:space="preserve">enough to be significant (research papers +0.062): one column (</w:t>
      </w:r>
      <w:r>
        <w:t xml:space="preserve">“</w:t>
      </w:r>
      <w:r>
        <w:t xml:space="preserve">single-hop or multi-hop reasoning</w:t>
      </w:r>
      <w:r>
        <w:t xml:space="preserve">”</w:t>
      </w:r>
      <w:r>
        <w:t xml:space="preserve">) is left empty on</w:t>
      </w:r>
      <w:r>
        <w:t xml:space="preserve"> </w:t>
      </w:r>
      <w:r>
        <w:t xml:space="preserve">64% of papers when asked together with six other columns and filled on 98% when asked alone.</w:t>
      </w:r>
    </w:p>
    <w:p>
      <w:pPr>
        <w:pStyle w:val="CaptionedFigure"/>
      </w:pPr>
      <w:r>
        <w:drawing>
          <wp:inline>
            <wp:extent cx="5334000" cy="2240280"/>
            <wp:effectExtent b="0" l="0" r="0" t="0"/>
            <wp:docPr descr="Same prompt, same answers." title="" id="25" name="Picture"/>
            <a:graphic>
              <a:graphicData uri="http://schemas.openxmlformats.org/drawingml/2006/picture">
                <pic:pic>
                  <pic:nvPicPr>
                    <pic:cNvPr descr="figures/w1_when_vs_h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prompt, same answers.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Established on three corpora with the 7B model and two with the 32B model; the same test on the medical</w:t>
      </w:r>
      <w:r>
        <w:t xml:space="preserve"> </w:t>
      </w:r>
      <w:r>
        <w:t xml:space="preserve">and legal corpora is running.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system can defer extraction without losing accuracy. Prompt design, not extraction timing, is what</w:t>
      </w:r>
      <w:r>
        <w:t xml:space="preserve"> </w:t>
      </w:r>
      <w:r>
        <w:t xml:space="preserve">to control.</w:t>
      </w:r>
    </w:p>
    <w:bookmarkEnd w:id="27"/>
    <w:bookmarkStart w:id="31" w:name="X8ab7d9a71a67edbbe832b1f2bf86d44e0248e89"/>
    <w:p>
      <w:pPr>
        <w:pStyle w:val="Heading1"/>
      </w:pPr>
      <w:r>
        <w:t xml:space="preserve">2. Extraction cost is dominated by document tokens, so anticipating a column is nearly free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is reading a column up front 2.7–5.9× cheaper than extracting it later, and why does the</w:t>
      </w:r>
      <w:r>
        <w:t xml:space="preserve"> </w:t>
      </w:r>
      <w:r>
        <w:t xml:space="preserve">break-even probability (anticipate a column if the chance a future query needs it exceeds this) range from 1.3% to 13%</w:t>
      </w:r>
      <w:r>
        <w:t xml:space="preserve"> </w:t>
      </w:r>
      <w:r>
        <w:t xml:space="preserve">across corpora?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Every extraction prompt contains the document. Adding one more column to a build prompt that is sent</w:t>
      </w:r>
      <w:r>
        <w:t xml:space="preserve"> </w:t>
      </w:r>
      <w:r>
        <w:t xml:space="preserve">anyway costs only that column’s description line and its answer (median 84 tokens). Extracting the same column later</w:t>
      </w:r>
      <w:r>
        <w:t xml:space="preserve"> </w:t>
      </w:r>
      <w:r>
        <w:t xml:space="preserve">pays for the whole document again (median 745 to 9,537 tokens depending on the corpus) plus the instructions (66</w:t>
      </w:r>
      <w:r>
        <w:t xml:space="preserve"> </w:t>
      </w:r>
      <w:r>
        <w:t xml:space="preserve">tokens). The break-even probability is therefore roughly</w:t>
      </w:r>
      <w:r>
        <w:t xml:space="preserve"> </w:t>
      </w:r>
      <w:r>
        <w:rPr>
          <w:iCs/>
          <w:i/>
        </w:rPr>
        <w:t xml:space="preserve">description tokens ÷ document tokens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 per-document model built only from these token counts predicts each corpus’s measured break-even</w:t>
      </w:r>
      <w:r>
        <w:t xml:space="preserve"> </w:t>
      </w:r>
      <w:r>
        <w:t xml:space="preserve">probability within about 30%, and orders the corpora correctly: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document (tokens)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break-even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break-even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Basketball 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</w:tbl>
    <w:p>
      <w:pPr>
        <w:pStyle w:val="BodyText"/>
      </w:pPr>
      <w:r>
        <w:t xml:space="preserve">Where the measured value exceeds the prediction (papers, artists), on-demand extractions read fewer documents than the</w:t>
      </w:r>
      <w:r>
        <w:t xml:space="preserve"> </w:t>
      </w:r>
      <w:r>
        <w:t xml:space="preserve">model assumes, because they read only the documents a query’s filters can select.</w:t>
      </w:r>
    </w:p>
    <w:p>
      <w:pPr>
        <w:pStyle w:val="CaptionedFigure"/>
      </w:pPr>
      <w:r>
        <w:drawing>
          <wp:inline>
            <wp:extent cx="5334000" cy="2085109"/>
            <wp:effectExtent b="0" l="0" r="0" t="0"/>
            <wp:docPr descr="Why anticipating a column is so cheap." title="" id="29" name="Picture"/>
            <a:graphic>
              <a:graphicData uri="http://schemas.openxmlformats.org/drawingml/2006/picture">
                <pic:pic>
                  <pic:nvPicPr>
                    <pic:cNvPr descr="figures/w2_cost_mechanis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anticipating a column is so cheap.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Established on all five corpora.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On corpora with long documents, almost any plausibly useful column is worth extracting up front</w:t>
      </w:r>
      <w:r>
        <w:t xml:space="preserve"> </w:t>
      </w:r>
      <w:r>
        <w:t xml:space="preserve">(break-even about 2%). With short documents the threshold is about 10%. Workload awareness matters most for cost when</w:t>
      </w:r>
      <w:r>
        <w:t xml:space="preserve"> </w:t>
      </w:r>
      <w:r>
        <w:t xml:space="preserve">documents are short and schemas are wide.</w:t>
      </w:r>
    </w:p>
    <w:bookmarkEnd w:id="31"/>
    <w:bookmarkStart w:id="35" w:name="X1eb255cee03edbc60fb19e6a348340545833c53"/>
    <w:p>
      <w:pPr>
        <w:pStyle w:val="Heading1"/>
      </w:pPr>
      <w:r>
        <w:t xml:space="preserve">3. An extraction’s value arrives later, so budgeting at query time cannot see it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 budget policies (pacing the budget, capping any single extraction, skipping extractions that</w:t>
      </w:r>
      <w:r>
        <w:t xml:space="preserve"> </w:t>
      </w:r>
      <w:r>
        <w:t xml:space="preserve">bought nothing, even an offline plan that knows the whole workload) fail to beat simply extracting whatever fits,</w:t>
      </w:r>
      <w:r>
        <w:t xml:space="preserve"> </w:t>
      </w:r>
      <w:r>
        <w:t xml:space="preserve">first come, first served?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Most of an extraction’s value goes to</w:t>
      </w:r>
      <w:r>
        <w:t xml:space="preserve"> </w:t>
      </w:r>
      <w:r>
        <w:rPr>
          <w:iCs/>
          <w:i/>
        </w:rPr>
        <w:t xml:space="preserve">later</w:t>
      </w:r>
      <w:r>
        <w:t xml:space="preserve"> </w:t>
      </w:r>
      <w:r>
        <w:t xml:space="preserve">queries that reuse the column, not to the query that</w:t>
      </w:r>
      <w:r>
        <w:t xml:space="preserve"> </w:t>
      </w:r>
      <w:r>
        <w:t xml:space="preserve">triggered it. A policy deciding when a query arrives cannot see that value. A plan made in hindsight fails for a second</w:t>
      </w:r>
      <w:r>
        <w:t xml:space="preserve"> </w:t>
      </w:r>
      <w:r>
        <w:t xml:space="preserve">reason: an extraction’s cost depends on what was extracted before it (earlier extractions make filter columns</w:t>
      </w:r>
      <w:r>
        <w:t xml:space="preserve"> </w:t>
      </w:r>
      <w:r>
        <w:t xml:space="preserve">available, which narrows the documents later extractions must read), so the costs a plan assumes change when the plan</w:t>
      </w:r>
      <w:r>
        <w:t xml:space="preserve"> </w:t>
      </w:r>
      <w:r>
        <w:t xml:space="preserve">changes.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Across all five corpora, 54–97% of the score gain from an extraction is realized by later queries</w:t>
      </w:r>
      <w:r>
        <w:t xml:space="preserve"> </w:t>
      </w:r>
      <w:r>
        <w:t xml:space="preserve">(research papers 97%, artists 94%, players 89%, medical 79%, court judgments 54%). Several extractions improve nothing</w:t>
      </w:r>
      <w:r>
        <w:t xml:space="preserve"> </w:t>
      </w:r>
      <w:r>
        <w:t xml:space="preserve">for their own query and everything for later ones. When the same query extracts under a budget, its cost is usually</w:t>
      </w:r>
      <w:r>
        <w:t xml:space="preserve"> </w:t>
      </w:r>
      <w:r>
        <w:t xml:space="preserve">unchanged (94–100% of cases), but when a plan removes its predecessors it can grow sharply (one chosen extraction grew</w:t>
      </w:r>
      <w:r>
        <w:t xml:space="preserve"> </w:t>
      </w:r>
      <w:r>
        <w:t xml:space="preserve">from 1 to 29 documents and no longer fitted the budget).</w:t>
      </w:r>
    </w:p>
    <w:p>
      <w:pPr>
        <w:pStyle w:val="CaptionedFigure"/>
      </w:pPr>
      <w:r>
        <w:drawing>
          <wp:inline>
            <wp:extent cx="5334000" cy="2021305"/>
            <wp:effectExtent b="0" l="0" r="0" t="0"/>
            <wp:docPr descr="The value comes later." title="" id="33" name="Picture"/>
            <a:graphic>
              <a:graphicData uri="http://schemas.openxmlformats.org/drawingml/2006/picture">
                <pic:pic>
                  <pic:nvPicPr>
                    <pic:cNvPr descr="figures/w3_value_tim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value comes later.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The value timing is established on five corpora; the budget-policy comparison itself covers three</w:t>
      </w:r>
      <w:r>
        <w:t xml:space="preserve"> </w:t>
      </w:r>
      <w:r>
        <w:t xml:space="preserve">corpora (medical and legal are running). No true upper bound for budget policies exists yet.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on-demand extraction is a sequential decision problem in which value is deferred and shared.</w:t>
      </w:r>
      <w:r>
        <w:t xml:space="preserve"> </w:t>
      </w:r>
      <w:r>
        <w:t xml:space="preserve">Policies need forecasts of future column use, not per-query value estimates.</w:t>
      </w:r>
    </w:p>
    <w:bookmarkEnd w:id="35"/>
    <w:bookmarkStart w:id="39" w:name="X0bbac3a6062daa6a35b00aea4c23bfcd1ff1541"/>
    <w:p>
      <w:pPr>
        <w:pStyle w:val="Heading1"/>
      </w:pPr>
      <w:r>
        <w:t xml:space="preserve">4. Accuracy is bounded by the specification: the model reads correctly when told what to write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 field descriptions matter more than anything else we varied (budgets, prompt width, extraction</w:t>
      </w:r>
      <w:r>
        <w:t xml:space="preserve"> </w:t>
      </w:r>
      <w:r>
        <w:t xml:space="preserve">order, a planner)?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Most extraction errors are errors of specification, not of reading. Given only a column name, the model</w:t>
      </w:r>
      <w:r>
        <w:t xml:space="preserve"> </w:t>
      </w:r>
      <w:r>
        <w:t xml:space="preserve">does not know what to write (a count, a list of years, a date in some format) and leaves the cell empty or writes it in</w:t>
      </w:r>
      <w:r>
        <w:t xml:space="preserve"> </w:t>
      </w:r>
      <w:r>
        <w:t xml:space="preserve">another form. Values that are right in substance are often wrong in the exact form a query groups or compares by.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Removing the descriptions from on-demand extraction prompts drops a count of FIBA World Cup appearances</w:t>
      </w:r>
      <w:r>
        <w:t xml:space="preserve"> </w:t>
      </w:r>
      <w:r>
        <w:t xml:space="preserve">from 0.86 to 0.01 correct (the model leaves it empty), an artist’s award count from 0.74 to 0.06, and birth dates from</w:t>
      </w:r>
      <w:r>
        <w:t xml:space="preserve"> </w:t>
      </w:r>
      <w:r>
        <w:t xml:space="preserve">0.38 to 0.00 (written in another form). On one artist column, values are right in substance 92% of the time but in</w:t>
      </w:r>
      <w:r>
        <w:t xml:space="preserve"> </w:t>
      </w:r>
      <w:r>
        <w:t xml:space="preserve">exact form only 13%. Adding the benchmark’s descriptions to a single extraction pass raises its score from 0.234 to</w:t>
      </w:r>
      <w:r>
        <w:t xml:space="preserve"> </w:t>
      </w:r>
      <w:r>
        <w:t xml:space="preserve">0.560, the largest effect we measured.</w:t>
      </w:r>
    </w:p>
    <w:p>
      <w:pPr>
        <w:pStyle w:val="CaptionedFigure"/>
      </w:pPr>
      <w:r>
        <w:drawing>
          <wp:inline>
            <wp:extent cx="5334000" cy="2189747"/>
            <wp:effectExtent b="0" l="0" r="0" t="0"/>
            <wp:docPr descr="Why descriptions matter most." title="" id="37" name="Picture"/>
            <a:graphic>
              <a:graphicData uri="http://schemas.openxmlformats.org/drawingml/2006/picture">
                <pic:pic>
                  <pic:nvPicPr>
                    <pic:cNvPr descr="figures/w6_specifica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descriptions matter most.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Established by cell-level comparisons against the gold data. A causal test, rewriting ambiguous</w:t>
      </w:r>
      <w:r>
        <w:t xml:space="preserve"> </w:t>
      </w:r>
      <w:r>
        <w:t xml:space="preserve">descriptions and measuring the gain, has not been run.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Effort spent on the schema contract (what each column means and how to write it) pays more than effort</w:t>
      </w:r>
      <w:r>
        <w:t xml:space="preserve"> </w:t>
      </w:r>
      <w:r>
        <w:t xml:space="preserve">spent on extraction scheduling.</w:t>
      </w:r>
    </w:p>
    <w:bookmarkEnd w:id="39"/>
    <w:bookmarkStart w:id="43" w:name="X51d38d752599912d3da35dfeabf0c513d0de952"/>
    <w:p>
      <w:pPr>
        <w:pStyle w:val="Heading1"/>
      </w:pPr>
      <w:r>
        <w:t xml:space="preserve">5. Some columns are hard because the document does not fix the value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 some columns, and some corpora, react far more to how they are prompted than others?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Where a document states a value plainly (a number, yes or no), any reasonable prompt returns it. Where</w:t>
      </w:r>
      <w:r>
        <w:t xml:space="preserve"> </w:t>
      </w:r>
      <w:r>
        <w:t xml:space="preserve">it does not determine a single answer (a disease’s causes, a party’s status, a value the document never mentions),</w:t>
      </w:r>
      <w:r>
        <w:t xml:space="preserve"> </w:t>
      </w:r>
      <w:r>
        <w:t xml:space="preserve">the prompt decides: how readily the model leaves a cell empty, and which example values the prompt shows.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For each column the test queries need, we measured how often two prompts (the build’s and the on-demand</w:t>
      </w:r>
      <w:r>
        <w:t xml:space="preserve"> </w:t>
      </w:r>
      <w:r>
        <w:t xml:space="preserve">one) give different values for the same document. Across 41 columns this disagreement strongly predicts inaccuracy</w:t>
      </w:r>
      <w:r>
        <w:t xml:space="preserve"> </w:t>
      </w:r>
      <w:r>
        <w:t xml:space="preserve">(rank correlation −0.76). Numbers disagree on 9% of cells, yes/no on 24%, free text on 47%, categories on 60%. No</w:t>
      </w:r>
      <w:r>
        <w:t xml:space="preserve"> </w:t>
      </w:r>
      <w:r>
        <w:t xml:space="preserve">column with more than about 55% disagreement is right more than 60% of the time. Some columns agree and are still</w:t>
      </w:r>
      <w:r>
        <w:t xml:space="preserve"> </w:t>
      </w:r>
      <w:r>
        <w:t xml:space="preserve">wrong (both prompts make the same error of form), so agreement is necessary, not sufficient. By corpus, the two</w:t>
      </w:r>
      <w:r>
        <w:t xml:space="preserve"> </w:t>
      </w:r>
      <w:r>
        <w:t xml:space="preserve">prompts disagree on 75% of cells for the medical corpus, whose columns are descriptive judgments, against 28–34% for</w:t>
      </w:r>
      <w:r>
        <w:t xml:space="preserve"> </w:t>
      </w:r>
      <w:r>
        <w:t xml:space="preserve">papers, artists and court judgments and 10% for basketball players. Document length does not explain this: within a</w:t>
      </w:r>
      <w:r>
        <w:t xml:space="preserve"> </w:t>
      </w:r>
      <w:r>
        <w:t xml:space="preserve">corpus, prompts disagree about as often on short documents as on long ones (measured on the earlier version of the</w:t>
      </w:r>
      <w:r>
        <w:t xml:space="preserve"> </w:t>
      </w:r>
      <w:r>
        <w:t xml:space="preserve">medical and legal test queries).</w:t>
      </w:r>
    </w:p>
    <w:p>
      <w:pPr>
        <w:pStyle w:val="CaptionedFigure"/>
      </w:pPr>
      <w:r>
        <w:drawing>
          <wp:inline>
            <wp:extent cx="5334000" cy="2582778"/>
            <wp:effectExtent b="0" l="0" r="0" t="0"/>
            <wp:docPr descr="The document does not fix the value." title="" id="41" name="Picture"/>
            <a:graphic>
              <a:graphicData uri="http://schemas.openxmlformats.org/drawingml/2006/picture">
                <pic:pic>
                  <pic:nvPicPr>
                    <pic:cNvPr descr="figures/w4_determin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document does not fix the value.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Correlational. With five corpora we cannot separate three properties that occur together in the</w:t>
      </w:r>
      <w:r>
        <w:t xml:space="preserve"> </w:t>
      </w:r>
      <w:r>
        <w:t xml:space="preserve">medical corpus: descriptive columns, gold values that are often empty, and list-valued columns.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Disagreement between two cheap prompts is a usable signal for which columns need better</w:t>
      </w:r>
      <w:r>
        <w:t xml:space="preserve"> </w:t>
      </w:r>
      <w:r>
        <w:t xml:space="preserve">specification or human review, before any gold data exists.</w:t>
      </w:r>
    </w:p>
    <w:bookmarkEnd w:id="43"/>
    <w:bookmarkStart w:id="44" w:name="Xef94db6be28dcae3ea420f04fed7ec0b9f4caac"/>
    <w:p>
      <w:pPr>
        <w:pStyle w:val="Heading1"/>
      </w:pPr>
      <w:r>
        <w:t xml:space="preserve">6. Models cannot reliably say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, so reading less can be more accurate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does extracting a column for more documents sometimes lower accuracy, and why does a smaller</w:t>
      </w:r>
      <w:r>
        <w:t xml:space="preserve"> </w:t>
      </w:r>
      <w:r>
        <w:t xml:space="preserve">budget sometimes beat an unlimited one?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When a column does not apply to a document, the model rarely leaves it empty, especially when the</w:t>
      </w:r>
      <w:r>
        <w:t xml:space="preserve"> </w:t>
      </w:r>
      <w:r>
        <w:t xml:space="preserve">schema says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. Extracting a column only for the documents a query can select avoids asking where the answer</w:t>
      </w:r>
      <w:r>
        <w:t xml:space="preserve"> </w:t>
      </w:r>
      <w:r>
        <w:t xml:space="preserve">should be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Extracting</w:t>
      </w:r>
      <w:r>
        <w:t xml:space="preserve"> </w:t>
      </w:r>
      <w:r>
        <w:t xml:space="preserve">“</w:t>
      </w:r>
      <w:r>
        <w:t xml:space="preserve">agent framework</w:t>
      </w:r>
      <w:r>
        <w:t xml:space="preserve">”</w:t>
      </w:r>
      <w:r>
        <w:t xml:space="preserve"> </w:t>
      </w:r>
      <w:r>
        <w:t xml:space="preserve">for every paper assigned one to 82 papers that have none; the budgeted run</w:t>
      </w:r>
      <w:r>
        <w:t xml:space="preserve"> </w:t>
      </w:r>
      <w:r>
        <w:t xml:space="preserve">extracted it only for the papers earlier queries had selected and was more accurate. A budgeted run beats the</w:t>
      </w:r>
      <w:r>
        <w:t xml:space="preserve"> </w:t>
      </w:r>
      <w:r>
        <w:t xml:space="preserve">unlimited one on 8–31 queries per corpus, nearly all of them answered without their own extraction. The benchmark marks</w:t>
      </w:r>
      <w:r>
        <w:t xml:space="preserve"> </w:t>
      </w:r>
      <w:r>
        <w:t xml:space="preserve">columns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that its own gold data often leaves empty (19 of 59 columns on three corpora); emptying exactly</w:t>
      </w:r>
      <w:r>
        <w:t xml:space="preserve"> </w:t>
      </w:r>
      <w:r>
        <w:t xml:space="preserve">those cells would raise the research-papers score from 0.153 to 0.193.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Case evidence and an oracle measurement; no controlled count of invented values against applicability</w:t>
      </w:r>
      <w:r>
        <w:t xml:space="preserve"> </w:t>
      </w:r>
      <w:r>
        <w:t xml:space="preserve">yet.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Restricting extraction to applicable documents is a correctness feature, not only a cost saving.</w:t>
      </w:r>
      <w:r>
        <w:t xml:space="preserve"> </w:t>
      </w:r>
      <w:r>
        <w:t xml:space="preserve">Benchmarks should check their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metadata against their gold data.</w:t>
      </w:r>
    </w:p>
    <w:bookmarkEnd w:id="44"/>
    <w:bookmarkStart w:id="48" w:name="joins-need-consistently-extracted-keys"/>
    <w:p>
      <w:pPr>
        <w:pStyle w:val="Heading1"/>
      </w:pPr>
      <w:r>
        <w:t xml:space="preserve">7. Joins need consistently extracted keys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does DocETL, which extracts each table separately for each query, collapse on queries that join</w:t>
      </w:r>
      <w:r>
        <w:t xml:space="preserve"> </w:t>
      </w:r>
      <w:r>
        <w:t xml:space="preserve">tables (basketball players: 0.125, 0.034 and 0.008 for queries with 0, 1 and 2 or more joins), while our system does</w:t>
      </w:r>
      <w:r>
        <w:t xml:space="preserve"> </w:t>
      </w:r>
      <w:r>
        <w:t xml:space="preserve">not?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A join matches rows only if the key values extracted from both tables agree. Extracting each table</w:t>
      </w:r>
      <w:r>
        <w:t xml:space="preserve"> </w:t>
      </w:r>
      <w:r>
        <w:t xml:space="preserve">independently, per query, produces key values that do not match. Our build extracts every table’s keys once, with the</w:t>
      </w:r>
      <w:r>
        <w:t xml:space="preserve"> </w:t>
      </w:r>
      <w:r>
        <w:t xml:space="preserve">same field definitions, and later queries reuse them.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In DocETL’s per-query tables, only 18% of player rows find their team and 19% of team rows find their</w:t>
      </w:r>
      <w:r>
        <w:t xml:space="preserve"> </w:t>
      </w:r>
      <w:r>
        <w:t xml:space="preserve">city. In our build the figures are 75% and 97% (gold data: 63% and 93%; the gold data contains players whose team has</w:t>
      </w:r>
      <w:r>
        <w:t xml:space="preserve"> </w:t>
      </w:r>
      <w:r>
        <w:t xml:space="preserve">no row of its own).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Why DocETL fails on joins." title="" id="46" name="Picture"/>
            <a:graphic>
              <a:graphicData uri="http://schemas.openxmlformats.org/drawingml/2006/picture">
                <pic:pic>
                  <pic:nvPicPr>
                    <pic:cNvPr descr="figures/w5_join_key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DocETL fails on joins.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Established on the one corpus with joins.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Systems that extract per query must coordinate key extraction across tables; reuse gives this for</w:t>
      </w:r>
      <w:r>
        <w:t xml:space="preserve"> </w:t>
      </w:r>
      <w:r>
        <w:t xml:space="preserve">free.</w:t>
      </w:r>
    </w:p>
    <w:bookmarkEnd w:id="48"/>
    <w:bookmarkStart w:id="49" w:name="X580dd6abdc196a259b8d552219cd49df049fc08"/>
    <w:p>
      <w:pPr>
        <w:pStyle w:val="Heading1"/>
      </w:pPr>
      <w:r>
        <w:t xml:space="preserve">8. Optimizing extraction without an accuracy signal optimizes consistency</w:t>
      </w:r>
    </w:p>
    <w:p>
      <w:pPr>
        <w:pStyle w:val="FirstParagraph"/>
      </w:pPr>
      <w:r>
        <w:rPr>
          <w:bCs/>
          <w:b/>
        </w:rPr>
        <w:t xml:space="preserve">Why question.</w:t>
      </w:r>
      <w:r>
        <w:t xml:space="preserve"> </w:t>
      </w:r>
      <w:r>
        <w:t xml:space="preserve">Why does a cost-based extraction planner never reach a single shared extraction pass with good field</w:t>
      </w:r>
      <w:r>
        <w:t xml:space="preserve"> </w:t>
      </w:r>
      <w:r>
        <w:t xml:space="preserve">descriptions, and leave much of its budget unspent?</w:t>
      </w:r>
    </w:p>
    <w:p>
      <w:pPr>
        <w:pStyle w:val="BodyText"/>
      </w:pPr>
      <w:r>
        <w:rPr>
          <w:bCs/>
          <w:b/>
        </w:rPr>
        <w:t xml:space="preserve">Mechanism.</w:t>
      </w:r>
      <w:r>
        <w:t xml:space="preserve"> </w:t>
      </w:r>
      <w:r>
        <w:t xml:space="preserve">The planner estimates its loss as disagreement with each query’s own extraction, so it treats its own</w:t>
      </w:r>
      <w:r>
        <w:t xml:space="preserve"> </w:t>
      </w:r>
      <w:r>
        <w:t xml:space="preserve">extractions as the truth. It cannot recognise that a shared extraction is more accurate, and once its own extractions</w:t>
      </w:r>
      <w:r>
        <w:t xml:space="preserve"> </w:t>
      </w:r>
      <w:r>
        <w:t xml:space="preserve">agree it sees nothing left to gain. It also values columns one at a time, while a missing join key makes a whole</w:t>
      </w:r>
      <w:r>
        <w:t xml:space="preserve"> </w:t>
      </w:r>
      <w:r>
        <w:t xml:space="preserve">query fail.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On basketball players, the planner reaches 0.42 at best against 0.56 for one shared pass with</w:t>
      </w:r>
      <w:r>
        <w:t xml:space="preserve"> </w:t>
      </w:r>
      <w:r>
        <w:t xml:space="preserve">descriptions, and at the full budget plans only 4.9M of 10.6M available tokens because its estimated loss is already</w:t>
      </w:r>
      <w:r>
        <w:t xml:space="preserve"> </w:t>
      </w:r>
      <w:r>
        <w:t xml:space="preserve">0.027 per query.</w:t>
      </w:r>
    </w:p>
    <w:p>
      <w:pPr>
        <w:pStyle w:val="BodyText"/>
      </w:pPr>
      <w:r>
        <w:rPr>
          <w:bCs/>
          <w:b/>
        </w:rPr>
        <w:t xml:space="preserve">Strength.</w:t>
      </w:r>
      <w:r>
        <w:t xml:space="preserve"> </w:t>
      </w:r>
      <w:r>
        <w:t xml:space="preserve">The cause is diagnosed; a planner with a different objective has not been built or tested.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Extraction planners need an accuracy estimate (a small labelled sample, or agreement across</w:t>
      </w:r>
      <w:r>
        <w:t xml:space="preserve"> </w:t>
      </w:r>
      <w:r>
        <w:t xml:space="preserve">independent prompts as in finding 5), and must value join keys at the query level.</w:t>
      </w:r>
    </w:p>
    <w:bookmarkEnd w:id="49"/>
    <w:bookmarkStart w:id="50" w:name="what-we-cannot-explain-yet"/>
    <w:p>
      <w:pPr>
        <w:pStyle w:val="Heading1"/>
      </w:pPr>
      <w:r>
        <w:t xml:space="preserve">What we cannot explain yet</w:t>
      </w:r>
    </w:p>
    <w:p>
      <w:pPr>
        <w:numPr>
          <w:ilvl w:val="0"/>
          <w:numId w:val="1001"/>
        </w:numPr>
        <w:pStyle w:val="Compact"/>
      </w:pPr>
      <w:r>
        <w:t xml:space="preserve">Why the direction of the prompt effect differs by corpus with the 7B model (asking for fewer columns helps on papers</w:t>
      </w:r>
      <w:r>
        <w:t xml:space="preserve"> </w:t>
      </w:r>
      <w:r>
        <w:t xml:space="preserve">and players and hurts on artists), and why grouping alone matters for the 32B model but barely for the 7B model.</w:t>
      </w:r>
    </w:p>
    <w:p>
      <w:pPr>
        <w:numPr>
          <w:ilvl w:val="0"/>
          <w:numId w:val="1001"/>
        </w:numPr>
        <w:pStyle w:val="Compact"/>
      </w:pPr>
      <w:r>
        <w:t xml:space="preserve">How much of the medical corpus’s prompt sensitivity is due to descriptive columns, to often-empty gold values, or</w:t>
      </w:r>
      <w:r>
        <w:t xml:space="preserve"> </w:t>
      </w:r>
      <w:r>
        <w:t xml:space="preserve">to list values (they occur together).</w:t>
      </w:r>
    </w:p>
    <w:p>
      <w:pPr>
        <w:numPr>
          <w:ilvl w:val="0"/>
          <w:numId w:val="1001"/>
        </w:numPr>
        <w:pStyle w:val="Compact"/>
      </w:pPr>
      <w:r>
        <w:t xml:space="preserve">What the best achievable budget policy is (no true upper bound yet).</w:t>
      </w:r>
    </w:p>
    <w:p>
      <w:pPr>
        <w:numPr>
          <w:ilvl w:val="0"/>
          <w:numId w:val="1001"/>
        </w:numPr>
        <w:pStyle w:val="Compact"/>
      </w:pPr>
      <w:r>
        <w:t xml:space="preserve">Whether the findings hold beyond five corpora and three models, and on a redrawn split of the workload into known</w:t>
      </w:r>
      <w:r>
        <w:t xml:space="preserve"> </w:t>
      </w:r>
      <w:r>
        <w:t xml:space="preserve">and later queries.</w:t>
      </w:r>
    </w:p>
    <w:bookmarkEnd w:id="50"/>
    <w:bookmarkStart w:id="51" w:name="proposed-contributions-for-the-paper"/>
    <w:p>
      <w:pPr>
        <w:pStyle w:val="Heading1"/>
      </w:pPr>
      <w:r>
        <w:t xml:space="preserve">Proposed contributions for the paper</w:t>
      </w:r>
    </w:p>
    <w:p>
      <w:pPr>
        <w:numPr>
          <w:ilvl w:val="0"/>
          <w:numId w:val="1002"/>
        </w:numPr>
        <w:pStyle w:val="Compact"/>
      </w:pPr>
      <w:r>
        <w:t xml:space="preserve">Extraction timing does not affect accuracy; the prompt does (finding 1).</w:t>
      </w:r>
    </w:p>
    <w:p>
      <w:pPr>
        <w:numPr>
          <w:ilvl w:val="0"/>
          <w:numId w:val="1002"/>
        </w:numPr>
        <w:pStyle w:val="Compact"/>
      </w:pPr>
      <w:r>
        <w:t xml:space="preserve">Extraction cost is document-dominated, which makes anticipation cheap and gives a simple rule for when to</w:t>
      </w:r>
      <w:r>
        <w:t xml:space="preserve"> </w:t>
      </w:r>
      <w:r>
        <w:t xml:space="preserve">anticipate a column (finding 2).</w:t>
      </w:r>
    </w:p>
    <w:p>
      <w:pPr>
        <w:numPr>
          <w:ilvl w:val="0"/>
          <w:numId w:val="1002"/>
        </w:numPr>
        <w:pStyle w:val="Compact"/>
      </w:pPr>
      <w:r>
        <w:t xml:space="preserve">Extraction value is deferred and shared, which is why budget policies cannot beat first-come-first-served</w:t>
      </w:r>
      <w:r>
        <w:t xml:space="preserve"> </w:t>
      </w:r>
      <w:r>
        <w:t xml:space="preserve">(finding 3).</w:t>
      </w:r>
    </w:p>
    <w:p>
      <w:pPr>
        <w:numPr>
          <w:ilvl w:val="0"/>
          <w:numId w:val="1002"/>
        </w:numPr>
        <w:pStyle w:val="Compact"/>
      </w:pPr>
      <w:r>
        <w:t xml:space="preserve">Accuracy is bounded by specification and by how far documents determine the value; inter-prompt disagreement</w:t>
      </w:r>
      <w:r>
        <w:t xml:space="preserve"> </w:t>
      </w:r>
      <w:r>
        <w:t xml:space="preserve">measures the latter without gold data (findings 4 and 5).</w:t>
      </w:r>
    </w:p>
    <w:bookmarkEnd w:id="51"/>
    <w:bookmarkStart w:id="52" w:name="how-these-analyses-were-done"/>
    <w:p>
      <w:pPr>
        <w:pStyle w:val="Heading1"/>
      </w:pPr>
      <w:r>
        <w:t xml:space="preserve">How these analyses were done</w:t>
      </w:r>
    </w:p>
    <w:p>
      <w:pPr>
        <w:pStyle w:val="FirstParagraph"/>
      </w:pPr>
      <w:r>
        <w:t xml:space="preserve">All analyses in this section use existing runs; none required new model calls.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Timing vs prompt (1):</w:t>
      </w:r>
      <w:r>
        <w:t xml:space="preserve"> </w:t>
      </w:r>
      <w:r>
        <w:t xml:space="preserve">fully drifted workloads re-run with every on-demand extraction given the build’s exact</w:t>
      </w:r>
      <w:r>
        <w:t xml:space="preserve"> </w:t>
      </w:r>
      <w:r>
        <w:t xml:space="preserve">prompt, served entirely from logged model responses; per-query scores compared with the up-front runs.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model (2):</w:t>
      </w:r>
      <w:r>
        <w:t xml:space="preserve"> </w:t>
      </w:r>
      <w:r>
        <w:t xml:space="preserve">for each corpus, the token count of each new column’s description line and answer, of the</w:t>
      </w:r>
      <w:r>
        <w:t xml:space="preserve"> </w:t>
      </w:r>
      <w:r>
        <w:t xml:space="preserve">instructions, and of each document (chunked as the system chunks long documents) for up to 60 documents per table;</w:t>
      </w:r>
      <w:r>
        <w:t xml:space="preserve"> </w:t>
      </w:r>
      <w:r>
        <w:t xml:space="preserve">predicted break-even = added build tokens ÷ tokens of a one-column on-demand prompt; measured break-even = extra build</w:t>
      </w:r>
      <w:r>
        <w:t xml:space="preserve"> </w:t>
      </w:r>
      <w:r>
        <w:t xml:space="preserve">tokens to anticipate every new column ÷ on-demand extraction tokens at 100% drift.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Value timing (3):</w:t>
      </w:r>
      <w:r>
        <w:t xml:space="preserve"> </w:t>
      </w:r>
      <w:r>
        <w:t xml:space="preserve">for every on-demand extraction of the unlimited runs (all drift levels), the score gain of its</w:t>
      </w:r>
      <w:r>
        <w:t xml:space="preserve"> </w:t>
      </w:r>
      <w:r>
        <w:t xml:space="preserve">own query and of later queries that use the extracted columns without extracting them again.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Specification (4):</w:t>
      </w:r>
      <w:r>
        <w:t xml:space="preserve"> </w:t>
      </w:r>
      <w:r>
        <w:t xml:space="preserve">the same workloads with field descriptions removed from on-demand prompts; cell correctness</w:t>
      </w:r>
      <w:r>
        <w:t xml:space="preserve"> </w:t>
      </w:r>
      <w:r>
        <w:t xml:space="preserve">against gold per column.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Determinacy (5):</w:t>
      </w:r>
      <w:r>
        <w:t xml:space="preserve"> </w:t>
      </w:r>
      <w:r>
        <w:t xml:space="preserve">for each new column, the share of documents where the build’s and the on-demand prompt’s values</w:t>
      </w:r>
      <w:r>
        <w:t xml:space="preserve"> </w:t>
      </w:r>
      <w:r>
        <w:t xml:space="preserve">differ, against the mean correctness of both; Spearman rank correlation over 41 columns with at least 10 documents.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Join keys (7):</w:t>
      </w:r>
      <w:r>
        <w:t xml:space="preserve"> </w:t>
      </w:r>
      <w:r>
        <w:t xml:space="preserve">for each basketball-player test query with a join, the share of rows whose join key appears in the</w:t>
      </w:r>
      <w:r>
        <w:t xml:space="preserve"> </w:t>
      </w:r>
      <w:r>
        <w:t xml:space="preserve">joined table, in DocETL’s per-query tables, in our served tables and in the gold data.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findings and why they hold</dc:title>
  <dc:creator/>
  <cp:keywords/>
  <dcterms:created xsi:type="dcterms:W3CDTF">2026-10-08T18:12:46Z</dcterms:created>
  <dcterms:modified xsi:type="dcterms:W3CDTF">2026-10-08T18:12:46Z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LLM-built databases under workload drift</vt:lpwstr>
  </property>
</Properties>
</file>