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18 runs over the five corpora) leaves more columns to the patches (art at</w:t>
      </w:r>
      <w:r>
        <w:t xml:space="preserve"> </w:t>
      </w:r>
      <w:r>
        <w:t xml:space="preserve">10%: 14 new columns instead of 9). Static still collapses at 100% drift (0.000–0.043), the patched curve stays within</w:t>
      </w:r>
      <w:r>
        <w:t xml:space="preserve"> </w:t>
      </w:r>
      <w:r>
        <w:t xml:space="preserve">0.025 of its 0% score, and no 100% − 0% difference is significant (−0.015 to +0.014). The cost moves from the build to</w:t>
      </w:r>
      <w:r>
        <w:t xml:space="preserve"> </w:t>
      </w:r>
      <w:r>
        <w:t xml:space="preserve">the patches and grows: art at 10% saves 1.0M build tokens but adds 2.6M patch tokens (+19% total); cspaper +23%, med</w:t>
      </w:r>
      <w:r>
        <w:t xml:space="preserve"> </w:t>
      </w:r>
      <w:r>
        <w:t xml:space="preserve">+19%, legal +12%, player +7%. The 0% score itself shifts with the share (med 0.095 → 0.062–0.077), because the build</w:t>
      </w:r>
      <w:r>
        <w:t xml:space="preserve"> </w:t>
      </w:r>
      <w:r>
        <w:t xml:space="preserve">groups columns into prompts by workload: at 10–25% med’s join key is read in a 2–3-column prompt and left empty on</w:t>
      </w:r>
      <w:r>
        <w:t xml:space="preserve"> </w:t>
      </w:r>
      <w:r>
        <w:t xml:space="preserve">half the documents, against 12% in the full build (see RQ2).</w:t>
      </w:r>
    </w:p>
    <w:p>
      <w:pPr>
        <w:pStyle w:val="BodyText"/>
      </w:pPr>
      <w:r>
        <w:drawing>
          <wp:inline>
            <wp:extent cx="5334000" cy="291592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(all five corpora).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all five corpora;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 (E12), med’s join key</w:t>
      </w:r>
      <w:r>
        <w:t xml:space="preserve"> </w:t>
      </w:r>
      <w:r>
        <w:rPr>
          <w:rStyle w:val="VerbatimChar"/>
        </w:rPr>
        <w:t xml:space="preserve">disease.disease_name</w:t>
      </w:r>
      <w:r>
        <w:t xml:space="preserve"> </w:t>
      </w:r>
      <w:r>
        <w:t xml:space="preserve">read with 1–2 other columns is left</w:t>
      </w:r>
      <w:r>
        <w:t xml:space="preserve"> </w:t>
      </w:r>
      <w:r>
        <w:rPr>
          <w:iCs/>
          <w:i/>
        </w:rPr>
        <w:t xml:space="preserve">empty</w:t>
      </w:r>
      <w:r>
        <w:t xml:space="preserve"> </w:t>
      </w:r>
      <w:r>
        <w:t xml:space="preserve">on half the documents, against 12% when read with</w:t>
      </w:r>
      <w:r>
        <w:t xml:space="preserve"> </w:t>
      </w:r>
      <w:r>
        <w:t xml:space="preserve">8–11 other disease columns; the wide prompt fills it, often with every disease the article mentions. What a prompt’s</w:t>
      </w:r>
      <w:r>
        <w:t xml:space="preserve"> </w:t>
      </w:r>
      <w:r>
        <w:t xml:space="preserve">other 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9" name="Picture"/>
            <a:graphic>
              <a:graphicData uri="http://schemas.openxmlformats.org/drawingml/2006/picture">
                <pic:pic>
                  <pic:nvPicPr>
                    <pic:cNvPr descr="figures/docet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2026-10-06T15:51:25Z</dcterms:created>
  <dcterms:modified xsi:type="dcterms:W3CDTF">2026-10-06T15:51:25Z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