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2.png" ContentType="image/png"/>
  <Override PartName="/word/media/rId29.png" ContentType="image/png"/>
  <Override PartName="/word/media/rId30.png" ContentType="image/png"/>
  <Override PartName="/word/media/rId27.png" ContentType="image/png"/>
  <Override PartName="/word/media/rId43.png" ContentType="image/png"/>
  <Override PartName="/word/media/rId22.png" ContentType="image/png"/>
  <Override PartName="/word/media/rId36.png" ContentType="image/png"/>
  <Override PartName="/word/media/rId38.png" ContentType="image/png"/>
  <Override PartName="/word/media/rId25.png" ContentType="image/png"/>
  <Override PartName="/word/media/rId42.png" ContentType="image/png"/>
  <Override PartName="/word/media/rId45.png" ContentType="image/png"/>
  <Override PartName="/word/media/rId26.png" ContentType="image/png"/>
  <Override PartName="/word/media/rId34.png" ContentType="image/png"/>
  <Override PartName="/word/media/rId2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
        </w:rPr>
        <w:t xml:space="preserve">build</w:t>
      </w:r>
      <w:r>
        <w:t xml:space="preserve">). When a later query needs a column the build skipped, it extracts that</w:t>
      </w:r>
      <w:r>
        <w:t xml:space="preserve"> </w:t>
      </w:r>
      <w:r>
        <w:t xml:space="preserve">column</w:t>
      </w:r>
      <w:r>
        <w:t xml:space="preserve"> </w:t>
      </w:r>
      <w:r>
        <w:rPr>
          <w:i/>
        </w:rPr>
        <w:t xml:space="preserve">on demand</w:t>
      </w:r>
      <w:r>
        <w:t xml:space="preserve">, only for the documents the query can select, and keeps the result for later queries.</w:t>
      </w:r>
      <w:r>
        <w:t xml:space="preserve"> </w:t>
      </w:r>
      <w:r>
        <w:rPr>
          <w:i/>
        </w:rPr>
        <w:t xml:space="preserve">Workload</w:t>
      </w:r>
      <w:r>
        <w:rPr>
          <w:i/>
        </w:rPr>
        <w:t xml:space="preserve"> </w:t>
      </w:r>
      <w:r>
        <w:rPr>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p>
      <w:pPr>
        <w:pStyle w:val="Heading1"/>
      </w:pPr>
      <w:bookmarkStart w:id="21" w:name="why-does-an-extracted-value-depend-on-how-the-question-is-asked-but-not-on-when"/>
      <w:r>
        <w:t xml:space="preserve">Why does an extracted value depend on how the question is asked, but not on when?</w:t>
      </w:r>
      <w:bookmarkEnd w:id="21"/>
    </w:p>
    <w:p>
      <w:pPr>
        <w:pStyle w:val="FirstParagraph"/>
      </w:pPr>
      <w:r>
        <w:rPr>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1" name="Picture"/>
            <a:graphic>
              <a:graphicData uri="http://schemas.openxmlformats.org/drawingml/2006/picture">
                <pic:pic>
                  <pic:nvPicPr>
                    <pic:cNvPr descr="figures/w1_when_vs_how.png" id="0" name="Picture"/>
                    <pic:cNvPicPr>
                      <a:picLocks noChangeArrowheads="1" noChangeAspect="1"/>
                    </pic:cNvPicPr>
                  </pic:nvPicPr>
                  <pic:blipFill>
                    <a:blip r:embed="rId22"/>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t xml:space="preserve">We then intervened directly. For every column the drifted workload needs and the build lacks, the same thirty sampled</w:t>
      </w:r>
      <w:r>
        <w:t xml:space="preserve"> </w:t>
      </w:r>
      <w:r>
        <w:t xml:space="preserve">documents were read in five contexts: the column alone, with two random columns of its table, with six, in the build’s</w:t>
      </w:r>
      <w:r>
        <w:t xml:space="preserve"> </w:t>
      </w:r>
      <w:r>
        <w:t xml:space="preserve">natural group, and alone with a paraphrased description (39 columns, 5,005 prompts).</w:t>
      </w:r>
      <w:r>
        <w:t xml:space="preserve"> </w:t>
      </w:r>
      <w:r>
        <w:rPr>
          <w:b/>
        </w:rPr>
        <w:t xml:space="preserve">On average the context does not</w:t>
      </w:r>
      <w:r>
        <w:rPr>
          <w:b/>
        </w:rPr>
        <w:t xml:space="preserve"> </w:t>
      </w:r>
      <w:r>
        <w:rPr>
          <w:b/>
        </w:rPr>
        <w:t xml:space="preserve">move accuracy at all, 0.37 to 0.41 in every context, and the direction of its effect is the column’s own:</w:t>
      </w:r>
      <w:r>
        <w:t xml:space="preserve"> </w:t>
      </w:r>
      <w:r>
        <w:t xml:space="preserve">18 columns</w:t>
      </w:r>
      <w:r>
        <w:t xml:space="preserve"> </w:t>
      </w:r>
      <w:r>
        <w:t xml:space="preserve">are more accurate alone than in the group by 0.05 or more and 9 are less. How much a column’s value changes between</w:t>
      </w:r>
      <w:r>
        <w:t xml:space="preserve"> </w:t>
      </w:r>
      <w:r>
        <w:t xml:space="preserve">contexts is one property of the column: its sensitivity to adding two random columns, to adding six, to the natural</w:t>
      </w:r>
      <w:r>
        <w:t xml:space="preserve"> </w:t>
      </w:r>
      <w:r>
        <w:t xml:space="preserve">group and to a paraphrase rank the columns the same way (Spearman 0.82 to 0.93 between every pair), and so do the</w:t>
      </w:r>
      <w:r>
        <w:t xml:space="preserve"> </w:t>
      </w:r>
      <w:r>
        <w:t xml:space="preserve">changes we had already logged, removing the description, removing the workload-use phrase, regrouping, or cutting long</w:t>
      </w:r>
      <w:r>
        <w:t xml:space="preserve"> </w:t>
      </w:r>
      <w:r>
        <w:t xml:space="preserve">documents at the window (0.60 to 0.84 between kinds).</w:t>
      </w:r>
      <w:r>
        <w:t xml:space="preserve"> </w:t>
      </w:r>
      <w:r>
        <w:t xml:space="preserve">“</w:t>
      </w:r>
      <w:r>
        <w:t xml:space="preserve">Ask for fewer columns at once</w:t>
      </w:r>
      <w:r>
        <w:t xml:space="preserve">”</w:t>
      </w:r>
      <w:r>
        <w:t xml:space="preserve"> </w:t>
      </w:r>
      <w:r>
        <w:t xml:space="preserve">is therefore not a knob with a</w:t>
      </w:r>
      <w:r>
        <w:t xml:space="preserve"> </w:t>
      </w:r>
      <w:r>
        <w:t xml:space="preserve">direction; it is a per-column effect, and in Section 2 we show it is also the measure of how far the document</w:t>
      </w:r>
      <w:r>
        <w:t xml:space="preserve"> </w:t>
      </w:r>
      <w:r>
        <w:t xml:space="preserve">determines the value.</w:t>
      </w:r>
    </w:p>
    <w:p>
      <w:pPr>
        <w:pStyle w:val="CaptionedFigure"/>
      </w:pPr>
      <w:r>
        <w:drawing>
          <wp:inline>
            <wp:extent cx="5334000" cy="2032000"/>
            <wp:effectExtent b="0" l="0" r="0" t="0"/>
            <wp:docPr descr="Figure 2. The context intervention on fixed documents. (a) Mean accuracy and empty-answer rate in five contexts. (b) Each column’s accuracy alone against its accuracy in the build’s group." title="" id="1" name="Picture"/>
            <a:graphic>
              <a:graphicData uri="http://schemas.openxmlformats.org/drawingml/2006/picture">
                <pic:pic>
                  <pic:nvPicPr>
                    <pic:cNvPr descr="figures/w9_context_intervention.png" id="0" name="Picture"/>
                    <pic:cNvPicPr>
                      <a:picLocks noChangeArrowheads="1" noChangeAspect="1"/>
                    </pic:cNvPicPr>
                  </pic:nvPicPr>
                  <pic:blipFill>
                    <a:blip r:embed="rId2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context intervention on fixed documents. (a) Mean accuracy and empty-answer rate in five contexts. (b)</w:t>
      </w:r>
      <w:r>
        <w:t xml:space="preserve"> </w:t>
      </w:r>
      <w:r>
        <w:t xml:space="preserve">Each column’s accuracy alone against its accuracy in the build’s group.</w:t>
      </w:r>
    </w:p>
    <w:p>
      <w:pPr>
        <w:pStyle w:val="BodyText"/>
      </w:pPr>
      <w:r>
        <w:rPr>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The budget section below</w:t>
      </w:r>
      <w:r>
        <w:t xml:space="preserve"> </w:t>
      </w:r>
      <w:r>
        <w:t xml:space="preserve">shows what happens when this is ignored: delaying an extraction moves it into a different prompt and changes the</w:t>
      </w:r>
      <w:r>
        <w:t xml:space="preserve"> </w:t>
      </w:r>
      <w:r>
        <w:t xml:space="preserve">answers.</w:t>
      </w:r>
    </w:p>
    <w:p>
      <w:pPr>
        <w:pStyle w:val="Heading1"/>
      </w:pPr>
      <w:bookmarkStart w:id="24" w:name="why-can-a-columns-accuracy-be-predicted-without-any-gold-data"/>
      <w:r>
        <w:t xml:space="preserve">Why can a column’s accuracy be predicted without any gold data?</w:t>
      </w:r>
      <w:bookmarkEnd w:id="24"/>
    </w:p>
    <w:p>
      <w:pPr>
        <w:pStyle w:val="FirstParagraph"/>
      </w:pPr>
      <w:r>
        <w:t xml:space="preserve">When a document states a value plainly, as with a number or a yes/no answer, any reasonable prompt returns it.</w:t>
      </w:r>
      <w:r>
        <w:t xml:space="preserve"> </w:t>
      </w:r>
      <w:r>
        <w:rPr>
          <w:b/>
        </w:rPr>
        <w:t xml:space="preserve">When</w:t>
      </w:r>
      <w:r>
        <w:rPr>
          <w:b/>
        </w:rPr>
        <w:t xml:space="preserve"> </w:t>
      </w:r>
      <w:r>
        <w:rPr>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
        </w:rPr>
        <w:t xml:space="preserve">Across 41 columns this disagreement is a strong predictor of error</w:t>
      </w:r>
      <w:r>
        <w:rPr>
          <w:b/>
        </w:rPr>
        <w:t xml:space="preserve"> </w:t>
      </w:r>
      <w:r>
        <w:rPr>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3. Disagreement between two prompts against accuracy, one point per column." title="" id="1" name="Picture"/>
            <a:graphic>
              <a:graphicData uri="http://schemas.openxmlformats.org/drawingml/2006/picture">
                <pic:pic>
                  <pic:nvPicPr>
                    <pic:cNvPr descr="figures/w4_determinacy.png" id="0" name="Picture"/>
                    <pic:cNvPicPr>
                      <a:picLocks noChangeArrowheads="1" noChangeAspect="1"/>
                    </pic:cNvPicPr>
                  </pic:nvPicPr>
                  <pic:blipFill>
                    <a:blip r:embed="rId25"/>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3. Disagreement between two prompts against accuracy, one point per column.</w:t>
      </w:r>
    </w:p>
    <w:p>
      <w:pPr>
        <w:pStyle w:val="BodyText"/>
      </w:pPr>
      <w:r>
        <w:t xml:space="preserve">The signal is cheap: estimated from ten sampled documents per column it ranks the columns almost as well as the full</w:t>
      </w:r>
      <w:r>
        <w:t xml:space="preserve"> </w:t>
      </w:r>
      <w:r>
        <w:t xml:space="preserve">corpus does (Spearman −0.66 against −0.72; five documents give −0.62). The signal also works cell by cell. Where the two</w:t>
      </w:r>
      <w:r>
        <w:t xml:space="preserve"> </w:t>
      </w:r>
      <w:r>
        <w:t xml:space="preserve">prompts disagree, the served value is wrong 79% of the time; where 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
        </w:rPr>
        <w:t xml:space="preserve">The signal fails in one place, and the failure is</w:t>
      </w:r>
      <w:r>
        <w:rPr>
          <w:b/>
        </w:rPr>
        <w:t xml:space="preserve"> </w:t>
      </w:r>
      <w:r>
        <w:rPr>
          <w:b/>
        </w:rPr>
        <w:t xml:space="preserve">informative: on category columns, cells where the prompts agree are wrong more often (57%) than cells where they</w:t>
      </w:r>
      <w:r>
        <w:rPr>
          <w:b/>
        </w:rPr>
        <w:t xml:space="preserve"> </w:t>
      </w:r>
      <w:r>
        <w:rPr>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4. (a) Share of wrong cells where our two prompts agree or disagree, by kind of column. (b) Our two-prompt disagreement on a column against DocETL’s accuracy on the same column." title="" id="1" name="Picture"/>
            <a:graphic>
              <a:graphicData uri="http://schemas.openxmlformats.org/drawingml/2006/picture">
                <pic:pic>
                  <pic:nvPicPr>
                    <pic:cNvPr descr="figures/w7_transfer.png" id="0" name="Picture"/>
                    <pic:cNvPicPr>
                      <a:picLocks noChangeArrowheads="1" noChangeAspect="1"/>
                    </pic:cNvPicPr>
                  </pic:nvPicPr>
                  <pic:blipFill>
                    <a:blip r:embed="rId26"/>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4.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b/>
        </w:rPr>
        <w:t xml:space="preserve">A sensitive cell is one the document under-determines, and a stronger reader cannot determine it either.</w:t>
      </w:r>
      <w:r>
        <w:t xml:space="preserve"> </w:t>
      </w:r>
      <w:r>
        <w:t xml:space="preserve">We gave</w:t>
      </w:r>
      <w:r>
        <w:t xml:space="preserve"> </w:t>
      </w:r>
      <w:r>
        <w:t xml:space="preserve">a 32B model a second look at 1,719 cells the 7B had served, the column asked alone, and allocated a budget of 600 looks</w:t>
      </w:r>
      <w:r>
        <w:t xml:space="preserve"> </w:t>
      </w:r>
      <w:r>
        <w:t xml:space="preserve">three ways. Spending them on the most sensitive columns first fixed a net 110 errors per thousand looks; spreading them</w:t>
      </w:r>
      <w:r>
        <w:t xml:space="preserve"> </w:t>
      </w:r>
      <w:r>
        <w:t xml:space="preserve">evenly, 48; at random, 148. Sensitivity does not tell where a second look pays, in either direction (the 600 least</w:t>
      </w:r>
      <w:r>
        <w:t xml:space="preserve"> </w:t>
      </w:r>
      <w:r>
        <w:t xml:space="preserve">sensitive cells, chosen with hindsight, give 132). What it predicts is the 32B’s own accuracy on the column (−0.67,</w:t>
      </w:r>
      <w:r>
        <w:t xml:space="preserve"> </w:t>
      </w:r>
      <w:r>
        <w:t xml:space="preserve">as it predicts the 7B’s, Llama’s and DocETL’s): in the most sensitive band the 7B is right on 14% of cells and the 32B</w:t>
      </w:r>
      <w:r>
        <w:t xml:space="preserve"> </w:t>
      </w:r>
      <w:r>
        <w:t xml:space="preserve">on 24%; in the least sensitive band 59% and 80%. The cells a stronger reader repairs are determined ones the weaker</w:t>
      </w:r>
      <w:r>
        <w:t xml:space="preserve"> </w:t>
      </w:r>
      <w:r>
        <w:t xml:space="preserve">reader misread, which sit in low-sensitivity columns with poor accuracy, such as dates written in another format</w:t>
      </w:r>
      <w:r>
        <w:t xml:space="preserve"> </w:t>
      </w:r>
      <w:r>
        <w:t xml:space="preserve">(an artist’s death date: sensitivity 0.06, 84% of the 7B’s errors fixed; birth date 0.12 and 73%). So there are two</w:t>
      </w:r>
      <w:r>
        <w:t xml:space="preserve"> </w:t>
      </w:r>
      <w:r>
        <w:t xml:space="preserve">kinds of error.</w:t>
      </w:r>
      <w:r>
        <w:t xml:space="preserve"> </w:t>
      </w:r>
      <w:r>
        <w:rPr>
          <w:i/>
        </w:rPr>
        <w:t xml:space="preserve">Under-determination</w:t>
      </w:r>
      <w:r>
        <w:t xml:space="preserve"> </w:t>
      </w:r>
      <w:r>
        <w:t xml:space="preserve">shows as disagreement and is not repaired by asking again, whatever the model;</w:t>
      </w:r>
      <w:r>
        <w:t xml:space="preserve"> </w:t>
      </w:r>
      <w:r>
        <w:rPr>
          <w:i/>
        </w:rPr>
        <w:t xml:space="preserve">misreading</w:t>
      </w:r>
      <w:r>
        <w:t xml:space="preserve"> </w:t>
      </w:r>
      <w:r>
        <w:t xml:space="preserve">shows as agreement on a wrong value and is repaired by a different reader when the bias was the reader’s.</w:t>
      </w:r>
      <w:r>
        <w:t xml:space="preserve"> </w:t>
      </w:r>
      <w:r>
        <w:t xml:space="preserve">The category exception above is the same distinction: a shared label vocabulary is a bias no reader repairs. (On the</w:t>
      </w:r>
      <w:r>
        <w:t xml:space="preserve"> </w:t>
      </w:r>
      <w:r>
        <w:t xml:space="preserve">intervention’s own sample, which has only two choice-list columns, disagreement did predict error on categories too,</w:t>
      </w:r>
      <w:r>
        <w:t xml:space="preserve"> </w:t>
      </w:r>
      <w:r>
        <w:t xml:space="preserve">52% right when agreeing against 14% when not; the exception rests on the 41 logged columns.)</w:t>
      </w:r>
    </w:p>
    <w:p>
      <w:pPr>
        <w:pStyle w:val="CaptionedFigure"/>
      </w:pPr>
      <w:r>
        <w:drawing>
          <wp:inline>
            <wp:extent cx="5334000" cy="1981200"/>
            <wp:effectExtent b="0" l="0" r="0" t="0"/>
            <wp:docPr descr="Figure 5. Second looks by the 32B. (a) Accuracy of the served 7B value and of the 32B’s answer, by the column’s sensitivity. (b) Net errors fixed per thousand second looks under four allocations." title="" id="1" name="Picture"/>
            <a:graphic>
              <a:graphicData uri="http://schemas.openxmlformats.org/drawingml/2006/picture">
                <pic:pic>
                  <pic:nvPicPr>
                    <pic:cNvPr descr="figures/w10_second_looks.png" id="0" name="Picture"/>
                    <pic:cNvPicPr>
                      <a:picLocks noChangeArrowheads="1" noChangeAspect="1"/>
                    </pic:cNvPicPr>
                  </pic:nvPicPr>
                  <pic:blipFill>
                    <a:blip r:embed="rId27"/>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5. Second looks by the 32B. (a) Accuracy of the served 7B value and of the 32B’s answer, by the column’s</w:t>
      </w:r>
      <w:r>
        <w:t xml:space="preserve"> </w:t>
      </w:r>
      <w:r>
        <w:t xml:space="preserve">sensitivity. (b) Net errors fixed per thousand second looks under four allocations.</w:t>
      </w:r>
    </w:p>
    <w:p>
      <w:pPr>
        <w:pStyle w:val="BodyText"/>
      </w:pPr>
      <w:r>
        <w:rPr>
          <w:i/>
        </w:rPr>
        <w:t xml:space="preserve">What this lets you decide.</w:t>
      </w:r>
      <w:r>
        <w:t xml:space="preserve"> </w:t>
      </w:r>
      <w:r>
        <w:t xml:space="preserve">Before any gold data exists, asking a column twice with two cheap prompts on ten or so</w:t>
      </w:r>
      <w:r>
        <w:t xml:space="preserve"> </w:t>
      </w:r>
      <w:r>
        <w:t xml:space="preserve">documents tells you which columns the documents determine. Where they do not, re-asking is wasted, whatever the</w:t>
      </w:r>
      <w:r>
        <w:t xml:space="preserve"> </w:t>
      </w:r>
      <w:r>
        <w:t xml:space="preserve">model: change the specification, narrow the vocabulary, or ask a person. Where they do and the column is still wrong,</w:t>
      </w:r>
      <w:r>
        <w:t xml:space="preserve"> </w:t>
      </w:r>
      <w:r>
        <w:t xml:space="preserve">a different reader is the repair. For categories, agreement is not evidence of correctness, and the category</w:t>
      </w:r>
      <w:r>
        <w:t xml:space="preserve"> </w:t>
      </w:r>
      <w:r>
        <w:t xml:space="preserve">definitions themselves need checking.</w:t>
      </w:r>
    </w:p>
    <w:p>
      <w:pPr>
        <w:pStyle w:val="Heading1"/>
      </w:pPr>
      <w:bookmarkStart w:id="28" w:name="why-do-aggregate-queries-over-extracted-values-lose-their-groups"/>
      <w:r>
        <w:t xml:space="preserve">Why do aggregate queries over extracted values lose their groups?</w:t>
      </w:r>
      <w:bookmarkEnd w:id="28"/>
    </w:p>
    <w:p>
      <w:pPr>
        <w:pStyle w:val="FirstParagraph"/>
      </w:pPr>
      <w:r>
        <w:t xml:space="preserve">Looking at individual queries rather than averages,</w:t>
      </w:r>
      <w:r>
        <w:t xml:space="preserve"> </w:t>
      </w:r>
      <w:r>
        <w:rPr>
          <w:b/>
        </w:rPr>
        <w:t xml:space="preserve">most failures are the wrong set of groups, and almost always too</w:t>
      </w:r>
      <w:r>
        <w:rPr>
          <w:b/>
        </w:rPr>
        <w:t xml:space="preserve"> </w:t>
      </w:r>
      <w:r>
        <w:rPr>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6. (a) Distinct values in the extracted GROUP BY column relative to gold. (b) Share of queries returning too few groups, by the number of groups in the gold answer." title="" id="1" name="Picture"/>
            <a:graphic>
              <a:graphicData uri="http://schemas.openxmlformats.org/drawingml/2006/picture">
                <pic:pic>
                  <pic:nvPicPr>
                    <pic:cNvPr descr="figures/b7_label_collapse.png" id="0" name="Picture"/>
                    <pic:cNvPicPr>
                      <a:picLocks noChangeArrowheads="1" noChangeAspect="1"/>
                    </pic:cNvPicPr>
                  </pic:nvPicPr>
                  <pic:blipFill>
                    <a:blip r:embed="rId29"/>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6.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
        </w:rPr>
        <w:t xml:space="preserve">23% are merged into a label that mostly belongs to a different gold group, and only 9% are left</w:t>
      </w:r>
      <w:r>
        <w:rPr>
          <w:b/>
        </w:rPr>
        <w:t xml:space="preserve"> </w:t>
      </w:r>
      <w:r>
        <w:rPr>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7. Where each gold row of a GROUP BY column ends up in the extracted table, by kind of column (a) and by corpus (b), at 100% drift." title="" id="1" name="Picture"/>
            <a:graphic>
              <a:graphicData uri="http://schemas.openxmlformats.org/drawingml/2006/picture">
                <pic:pic>
                  <pic:nvPicPr>
                    <pic:cNvPr descr="figures/b8_label_fate.png" id="0" name="Picture"/>
                    <pic:cNvPicPr>
                      <a:picLocks noChangeArrowheads="1" noChangeAspect="1"/>
                    </pic:cNvPicPr>
                  </pic:nvPicPr>
                  <pic:blipFill>
                    <a:blip r:embed="rId3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7.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8. Mean score by aggregate across drift levels, with on-demand extraction (a) and the static build (b)." title="" id="1" name="Picture"/>
            <a:graphic>
              <a:graphicData uri="http://schemas.openxmlformats.org/drawingml/2006/picture">
                <pic:pic>
                  <pic:nvPicPr>
                    <pic:cNvPr descr="figures/b1_aggregate_drift.png" id="0" name="Picture"/>
                    <pic:cNvPicPr>
                      <a:picLocks noChangeArrowheads="1" noChangeAspect="1"/>
                    </pic:cNvPicPr>
                  </pic:nvPicPr>
                  <pic:blipFill>
                    <a:blip r:embed="rId31"/>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8.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9. Aggregate values in matched groups at 100% drift: too low, within 20% of gold, or too high." title="" id="1" name="Picture"/>
            <a:graphic>
              <a:graphicData uri="http://schemas.openxmlformats.org/drawingml/2006/picture">
                <pic:pic>
                  <pic:nvPicPr>
                    <pic:cNvPr descr="figures/b6_aggregate_direction.png" id="0" name="Picture"/>
                    <pic:cNvPicPr>
                      <a:picLocks noChangeArrowheads="1" noChangeAspect="1"/>
                    </pic:cNvPicPr>
                  </pic:nvPicPr>
                  <pic:blipFill>
                    <a:blip r:embed="rId32"/>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9.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
        </w:rPr>
        <w:t xml:space="preserve">Part of that ordering is a property of the aggregate and part is a property of which</w:t>
      </w:r>
      <w:r>
        <w:rPr>
          <w:b/>
        </w:rPr>
        <w:t xml:space="preserve"> </w:t>
      </w:r>
      <w:r>
        <w:rPr>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p>
      <w:pPr>
        <w:pStyle w:val="Heading1"/>
      </w:pPr>
      <w:bookmarkStart w:id="33" w:name="do-these-explanations-predict-where-another-system-fails"/>
      <w:r>
        <w:t xml:space="preserve">Do these explanations predict where another system fails?</w:t>
      </w:r>
      <w:bookmarkEnd w:id="33"/>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10. (a) Share of DocETL’s values that are wrong, split by whether our two prompts agree on the cell. (b) Share of GROUP BY rows that keep the exact gold label, by kind of column, in our system and in DocETL (non-empty rows, numbers compared as numbers)." title="" id="1" name="Picture"/>
            <a:graphic>
              <a:graphicData uri="http://schemas.openxmlformats.org/drawingml/2006/picture">
                <pic:pic>
                  <pic:nvPicPr>
                    <pic:cNvPr descr="figures/w8_docetl_predict.png" id="0" name="Picture"/>
                    <pic:cNvPicPr>
                      <a:picLocks noChangeArrowheads="1" noChangeAspect="1"/>
                    </pic:cNvPicPr>
                  </pic:nvPicPr>
                  <pic:blipFill>
                    <a:blip r:embed="rId3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10.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p>
      <w:pPr>
        <w:pStyle w:val="Heading1"/>
      </w:pPr>
      <w:bookmarkStart w:id="35" w:name="why-is-anticipating-a-column-cheap-and-when-is-it-worth-it"/>
      <w:r>
        <w:t xml:space="preserve">Why is anticipating a column cheap, and when is it worth it?</w:t>
      </w:r>
      <w:bookmarkEnd w:id="35"/>
    </w:p>
    <w:p>
      <w:pPr>
        <w:pStyle w:val="FirstParagraph"/>
      </w:pPr>
      <w:r>
        <w:t xml:space="preserve">Anticipating a column costs 2.7 to 5.9 times less than extracting it on demand, and the</w:t>
      </w:r>
      <w:r>
        <w:t xml:space="preserve"> </w:t>
      </w:r>
      <w:r>
        <w:rPr>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
        </w:rPr>
        <w:t xml:space="preserve">Both follow</w:t>
      </w:r>
      <w:r>
        <w:rPr>
          <w:b/>
        </w:rPr>
        <w:t xml:space="preserve"> </w:t>
      </w:r>
      <w:r>
        <w:rPr>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Corpus</w:t>
            </w:r>
          </w:p>
        </w:tc>
        <w:tc>
          <w:tcPr>
            <w:tcBorders>
              <w:bottom w:val="single"/>
            </w:tcBorders>
            <w:vAlign w:val="bottom"/>
          </w:tcPr>
          <w:p>
            <w:pPr>
              <w:pStyle w:val="Compact"/>
              <w:jc w:val="left"/>
            </w:pPr>
            <w:r>
              <w:t xml:space="preserve">Median document (tokens)</w:t>
            </w:r>
          </w:p>
        </w:tc>
        <w:tc>
          <w:tcPr>
            <w:tcBorders>
              <w:bottom w:val="single"/>
            </w:tcBorders>
            <w:vAlign w:val="bottom"/>
          </w:tcPr>
          <w:p>
            <w:pPr>
              <w:pStyle w:val="Compact"/>
              <w:jc w:val="left"/>
            </w:pPr>
            <w:r>
              <w:t xml:space="preserve">Predicted</w:t>
            </w:r>
          </w:p>
        </w:tc>
        <w:tc>
          <w:tcPr>
            <w:tcBorders>
              <w:bottom w:val="single"/>
            </w:tcBorders>
            <w:vAlign w:val="bottom"/>
          </w:tcPr>
          <w:p>
            <w:pPr>
              <w:pStyle w:val="Compact"/>
              <w:jc w:val="left"/>
            </w:pPr>
            <w:r>
              <w:t xml:space="preserve">Measured</w:t>
            </w:r>
          </w:p>
        </w:tc>
      </w:tr>
      <w:tr>
        <w:tc>
          <w:p>
            <w:pPr>
              <w:pStyle w:val="Compact"/>
              <w:jc w:val="left"/>
            </w:pPr>
            <w:r>
              <w:t xml:space="preserve">Research papers</w:t>
            </w:r>
          </w:p>
        </w:tc>
        <w:tc>
          <w:p>
            <w:pPr>
              <w:pStyle w:val="Compact"/>
              <w:jc w:val="left"/>
            </w:pPr>
            <w:r>
              <w:t xml:space="preserve">928</w:t>
            </w:r>
          </w:p>
        </w:tc>
        <w:tc>
          <w:p>
            <w:pPr>
              <w:pStyle w:val="Compact"/>
              <w:jc w:val="left"/>
            </w:pPr>
            <w:r>
              <w:t xml:space="preserve">9.9%</w:t>
            </w:r>
          </w:p>
        </w:tc>
        <w:tc>
          <w:p>
            <w:pPr>
              <w:pStyle w:val="Compact"/>
              <w:jc w:val="left"/>
            </w:pPr>
            <w:r>
              <w:t xml:space="preserve">13.1%</w:t>
            </w:r>
          </w:p>
        </w:tc>
      </w:tr>
      <w:tr>
        <w:tc>
          <w:p>
            <w:pPr>
              <w:pStyle w:val="Compact"/>
              <w:jc w:val="left"/>
            </w:pPr>
            <w:r>
              <w:t xml:space="preserve">Artists</w:t>
            </w:r>
          </w:p>
        </w:tc>
        <w:tc>
          <w:p>
            <w:pPr>
              <w:pStyle w:val="Compact"/>
              <w:jc w:val="left"/>
            </w:pPr>
            <w:r>
              <w:t xml:space="preserve">745</w:t>
            </w:r>
          </w:p>
        </w:tc>
        <w:tc>
          <w:p>
            <w:pPr>
              <w:pStyle w:val="Compact"/>
              <w:jc w:val="left"/>
            </w:pPr>
            <w:r>
              <w:t xml:space="preserve">9.3%</w:t>
            </w:r>
          </w:p>
        </w:tc>
        <w:tc>
          <w:p>
            <w:pPr>
              <w:pStyle w:val="Compact"/>
              <w:jc w:val="left"/>
            </w:pPr>
            <w:r>
              <w:t xml:space="preserve">12.2%</w:t>
            </w:r>
          </w:p>
        </w:tc>
      </w:tr>
      <w:tr>
        <w:tc>
          <w:p>
            <w:pPr>
              <w:pStyle w:val="Compact"/>
              <w:jc w:val="left"/>
            </w:pPr>
            <w:r>
              <w:t xml:space="preserve">Basketball players</w:t>
            </w:r>
          </w:p>
        </w:tc>
        <w:tc>
          <w:p>
            <w:pPr>
              <w:pStyle w:val="Compact"/>
              <w:jc w:val="left"/>
            </w:pPr>
            <w:r>
              <w:t xml:space="preserve">995</w:t>
            </w:r>
          </w:p>
        </w:tc>
        <w:tc>
          <w:p>
            <w:pPr>
              <w:pStyle w:val="Compact"/>
              <w:jc w:val="left"/>
            </w:pPr>
            <w:r>
              <w:t xml:space="preserve">1.7%</w:t>
            </w:r>
          </w:p>
        </w:tc>
        <w:tc>
          <w:p>
            <w:pPr>
              <w:pStyle w:val="Compact"/>
              <w:jc w:val="left"/>
            </w:pPr>
            <w:r>
              <w:t xml:space="preserve">1.3%</w:t>
            </w:r>
          </w:p>
        </w:tc>
      </w:tr>
      <w:tr>
        <w:tc>
          <w:p>
            <w:pPr>
              <w:pStyle w:val="Compact"/>
              <w:jc w:val="left"/>
            </w:pPr>
            <w:r>
              <w:t xml:space="preserve">Medical</w:t>
            </w:r>
          </w:p>
        </w:tc>
        <w:tc>
          <w:p>
            <w:pPr>
              <w:pStyle w:val="Compact"/>
              <w:jc w:val="left"/>
            </w:pPr>
            <w:r>
              <w:t xml:space="preserve">9,537</w:t>
            </w:r>
          </w:p>
        </w:tc>
        <w:tc>
          <w:p>
            <w:pPr>
              <w:pStyle w:val="Compact"/>
              <w:jc w:val="left"/>
            </w:pPr>
            <w:r>
              <w:t xml:space="preserve">1.7%</w:t>
            </w:r>
          </w:p>
        </w:tc>
        <w:tc>
          <w:p>
            <w:pPr>
              <w:pStyle w:val="Compact"/>
              <w:jc w:val="left"/>
            </w:pPr>
            <w:r>
              <w:t xml:space="preserve">1.9%</w:t>
            </w:r>
          </w:p>
        </w:tc>
      </w:tr>
      <w:tr>
        <w:tc>
          <w:p>
            <w:pPr>
              <w:pStyle w:val="Compact"/>
              <w:jc w:val="left"/>
            </w:pPr>
            <w:r>
              <w:t xml:space="preserve">Court judgments</w:t>
            </w:r>
          </w:p>
        </w:tc>
        <w:tc>
          <w:p>
            <w:pPr>
              <w:pStyle w:val="Compact"/>
              <w:jc w:val="left"/>
            </w:pPr>
            <w:r>
              <w:t xml:space="preserve">4,762</w:t>
            </w:r>
          </w:p>
        </w:tc>
        <w:tc>
          <w:p>
            <w:pPr>
              <w:pStyle w:val="Compact"/>
              <w:jc w:val="left"/>
            </w:pPr>
            <w:r>
              <w:t xml:space="preserve">2.0%</w:t>
            </w:r>
          </w:p>
        </w:tc>
        <w:tc>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11. Left: composition of one extraction prompt at each corpus’s median document length. Right: predicted and measured break-even probability." title="" id="1" name="Picture"/>
            <a:graphic>
              <a:graphicData uri="http://schemas.openxmlformats.org/drawingml/2006/picture">
                <pic:pic>
                  <pic:nvPicPr>
                    <pic:cNvPr descr="figures/w2_cost_mechanism.png" id="0" name="Picture"/>
                    <pic:cNvPicPr>
                      <a:picLocks noChangeArrowheads="1" noChangeAspect="1"/>
                    </pic:cNvPicPr>
                  </pic:nvPicPr>
                  <pic:blipFill>
                    <a:blip r:embed="rId36"/>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11.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p>
      <w:pPr>
        <w:pStyle w:val="Heading1"/>
      </w:pPr>
      <w:bookmarkStart w:id="37" w:name="why-cant-a-budget-policy-that-reasons-about-cost-and-timing-beat-first-come-first-served"/>
      <w:r>
        <w:t xml:space="preserve">Why can’t a budget policy that reasons about cost and timing beat first come, first served?</w:t>
      </w:r>
      <w:bookmarkEnd w:id="37"/>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2. Share of each extraction’s score gain that goes to its own query and to later queries." title="" id="1" name="Picture"/>
            <a:graphic>
              <a:graphicData uri="http://schemas.openxmlformats.org/drawingml/2006/picture">
                <pic:pic>
                  <pic:nvPicPr>
                    <pic:cNvPr descr="figures/w3_value_timing.png" id="0" name="Picture"/>
                    <pic:cNvPicPr>
                      <a:picLocks noChangeArrowheads="1" noChangeAspect="1"/>
                    </pic:cNvPicPr>
                  </pic:nvPicPr>
                  <pic:blipFill>
                    <a:blip r:embed="rId3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12. Share of each extraction’s score gain that goes to its own query and to later</w:t>
      </w:r>
      <w:r>
        <w:t xml:space="preserve"> </w:t>
      </w:r>
      <w:r>
        <w:t xml:space="preserve">queries.</w:t>
      </w:r>
    </w:p>
    <w:p>
      <w:pPr>
        <w:pStyle w:val="BodyText"/>
      </w:pPr>
      <w:r>
        <w:rPr>
          <w:b/>
        </w:rPr>
        <w:t xml:space="preserve">Capping the size of an extraction always loses (by 0.006 to 0.029), because the largest extractions are the most</w:t>
      </w:r>
      <w:r>
        <w:rPr>
          <w:b/>
        </w:rPr>
        <w:t xml:space="preserve"> </w:t>
      </w:r>
      <w:r>
        <w:rPr>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
        </w:rPr>
        <w:t xml:space="preserve">So pacing wins only when re-extracting a column in</w:t>
      </w:r>
      <w:r>
        <w:rPr>
          <w:b/>
        </w:rPr>
        <w:t xml:space="preserve"> </w:t>
      </w:r>
      <w:r>
        <w:rPr>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t xml:space="preserve">We do not yet have a true upper bound for budget policies, and we have not explained why the value effect turns</w:t>
      </w:r>
      <w:r>
        <w:t xml:space="preserve"> </w:t>
      </w:r>
      <w:r>
        <w:t xml:space="preserve">against pacing on basketball players.</w:t>
      </w:r>
    </w:p>
    <w:p>
      <w:pPr>
        <w:pStyle w:val="BodyText"/>
      </w:pPr>
      <w:r>
        <w:rPr>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A policy that forecasts column reuse from the workload, keeps each column’s</w:t>
      </w:r>
      <w:r>
        <w:t xml:space="preserve"> </w:t>
      </w:r>
      <w:r>
        <w:t xml:space="preserve">prompt fixed, and orders extractions so that filter columns come first addresses all three; we have not built it.</w:t>
      </w:r>
    </w:p>
    <w:p>
      <w:pPr>
        <w:pStyle w:val="Heading1"/>
      </w:pPr>
      <w:bookmarkStart w:id="39" w:name="why-does-extracting-a-column-for-more-documents-sometimes-make-answers-worse"/>
      <w:r>
        <w:t xml:space="preserve">Why does extracting a column for more documents sometimes make answers worse?</w:t>
      </w:r>
      <w:bookmarkEnd w:id="39"/>
    </w:p>
    <w:p>
      <w:pPr>
        <w:pStyle w:val="FirstParagraph"/>
      </w:pPr>
      <w:r>
        <w:rPr>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p>
      <w:pPr>
        <w:pStyle w:val="Heading1"/>
      </w:pPr>
      <w:bookmarkStart w:id="40" w:name="why-does-a-planner-that-trusts-its-own-extractions-stop-improving"/>
      <w:r>
        <w:t xml:space="preserve">Why does a planner that trusts its own extractions stop improving?</w:t>
      </w:r>
      <w:bookmarkEnd w:id="40"/>
    </w:p>
    <w:p>
      <w:pPr>
        <w:pStyle w:val="FirstParagraph"/>
      </w:pPr>
      <w:r>
        <w:rPr>
          <w:b/>
        </w:rPr>
        <w:t xml:space="preserve">The planner estimates its loss as disagreement with each query’s own extraction, which means it treats its own</w:t>
      </w:r>
      <w:r>
        <w:rPr>
          <w:b/>
        </w:rPr>
        <w:t xml:space="preserve"> </w:t>
      </w:r>
      <w:r>
        <w:rPr>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p>
      <w:pPr>
        <w:pStyle w:val="Heading1"/>
      </w:pPr>
      <w:bookmarkStart w:id="41" w:name="why-do-joins-fail-when-each-tables-keys-are-extracted-separately"/>
      <w:r>
        <w:t xml:space="preserve">Why do joins fail when each table’s keys are extracted separately?</w:t>
      </w:r>
      <w:bookmarkEnd w:id="41"/>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
        </w:rPr>
        <w:t xml:space="preserve">A join only matches rows whose keys agree, and keys</w:t>
      </w:r>
      <w:r>
        <w:rPr>
          <w:b/>
        </w:rPr>
        <w:t xml:space="preserve"> </w:t>
      </w:r>
      <w:r>
        <w:rPr>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3. Share of rows whose join key finds a partner in the joined table." title="" id="1" name="Picture"/>
            <a:graphic>
              <a:graphicData uri="http://schemas.openxmlformats.org/drawingml/2006/picture">
                <pic:pic>
                  <pic:nvPicPr>
                    <pic:cNvPr descr="figures/w5_join_keys.png" id="0" name="Picture"/>
                    <pic:cNvPicPr>
                      <a:picLocks noChangeArrowheads="1" noChangeAspect="1"/>
                    </pic:cNvPicPr>
                  </pic:nvPicPr>
                  <pic:blipFill>
                    <a:blip r:embed="rId42"/>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13. Share of rows whose join key finds a partner in the joined table.</w:t>
      </w:r>
    </w:p>
    <w:p>
      <w:pPr>
        <w:pStyle w:val="BodyText"/>
      </w:pPr>
      <w:r>
        <w:t xml:space="preserve">We then changed DocETL to find out. Each column is extracted once, by the first query that needs it and in that query’s</w:t>
      </w:r>
      <w:r>
        <w:t xml:space="preserve"> </w:t>
      </w:r>
      <w:r>
        <w:t xml:space="preserve">own prompt, and every later query reuses the value. On papers and players this cuts DocETL’s calls fifteen-fold but</w:t>
      </w:r>
      <w:r>
        <w:t xml:space="preserve"> </w:t>
      </w:r>
      <w:r>
        <w:t xml:space="preserve">loses accuracy (papers 0.122 → 0.059, players 0.108 → 0.054), and the per-column numbers show why: in DocETL’s</w:t>
      </w:r>
      <w:r>
        <w:t xml:space="preserve"> </w:t>
      </w:r>
      <w:r>
        <w:t xml:space="preserve">original run the share of documents for which a column is filled at all ranges from 1% to 100% depending on which</w:t>
      </w:r>
      <w:r>
        <w:t xml:space="preserve"> </w:t>
      </w:r>
      <w:r>
        <w:t xml:space="preserve">query’s prompt extracted it (paper name: 44 prompts, median fill 0.53, the first query’s 0.01).</w:t>
      </w:r>
      <w:r>
        <w:t xml:space="preserve"> </w:t>
      </w:r>
      <w:r>
        <w:rPr>
          <w:i/>
        </w:rPr>
        <w:t xml:space="preserve">Per-query extraction</w:t>
      </w:r>
      <w:r>
        <w:rPr>
          <w:i/>
        </w:rPr>
        <w:t xml:space="preserve"> </w:t>
      </w:r>
      <w:r>
        <w:rPr>
          <w:i/>
        </w:rPr>
        <w:t xml:space="preserve">is a lottery over contexts, and freezing on the first draw makes every later query hostage to it.</w:t>
      </w:r>
      <w:r>
        <w:t xml:space="preserve"> </w:t>
      </w:r>
      <w:r>
        <w:t xml:space="preserve">Joins still improve</w:t>
      </w:r>
      <w:r>
        <w:t xml:space="preserve"> </w:t>
      </w:r>
      <w:r>
        <w:t xml:space="preserve">(0.022 → 0.041; player–team keys matching 0.19 → 0.30), because even a poor key is the same key everywhere.</w:t>
      </w:r>
      <w:r>
        <w:t xml:space="preserve"> </w:t>
      </w:r>
      <w:r>
        <w:t xml:space="preserve">Freezing instead on the better of a column’s first two contexts, chosen without labels by the share of documents it</w:t>
      </w:r>
      <w:r>
        <w:t xml:space="preserve"> </w:t>
      </w:r>
      <w:r>
        <w:t xml:space="preserve">fills, recovers it:</w:t>
      </w:r>
      <w:r>
        <w:t xml:space="preserve"> </w:t>
      </w:r>
      <w:r>
        <w:rPr>
          <w:b/>
        </w:rPr>
        <w:t xml:space="preserve">on players DocETL then scores 0.164 against its own 0.108, with join queries at 0.055 against</w:t>
      </w:r>
      <w:r>
        <w:rPr>
          <w:b/>
        </w:rPr>
        <w:t xml:space="preserve"> </w:t>
      </w:r>
      <w:r>
        <w:rPr>
          <w:b/>
        </w:rPr>
        <w:t xml:space="preserve">0.022 and 66 queries better against 35 worse, at a twelfth of the calls</w:t>
      </w:r>
      <w:r>
        <w:t xml:space="preserve">; on papers 0.101 against 0.122 at an eighth.</w:t>
      </w:r>
      <w:r>
        <w:t xml:space="preserve"> </w:t>
      </w:r>
      <w:r>
        <w:t xml:space="preserve">The gain is largest where queries join and group and smallest where they filter single tables. And it comes despite</w:t>
      </w:r>
      <w:r>
        <w:t xml:space="preserve"> </w:t>
      </w:r>
      <w:r>
        <w:t xml:space="preserve">the frozen values being</w:t>
      </w:r>
      <w:r>
        <w:t xml:space="preserve"> </w:t>
      </w:r>
      <w:r>
        <w:rPr>
          <w:i/>
        </w:rPr>
        <w:t xml:space="preserve">less</w:t>
      </w:r>
      <w:r>
        <w:t xml:space="preserve"> </w:t>
      </w:r>
      <w:r>
        <w:t xml:space="preserve">accurate per column than the original’s pooled values (draft pick 0.95 → 0.63): one</w:t>
      </w:r>
      <w:r>
        <w:t xml:space="preserve"> </w:t>
      </w:r>
      <w:r>
        <w:t xml:space="preserve">value per cell, the same for every query and agreeing across tables, is worth more to a join or a GROUP BY than a</w:t>
      </w:r>
      <w:r>
        <w:t xml:space="preserve"> </w:t>
      </w:r>
      <w:r>
        <w:t xml:space="preserve">higher accuracy that differs from query to query.</w:t>
      </w:r>
    </w:p>
    <w:p>
      <w:pPr>
        <w:pStyle w:val="CaptionedFigure"/>
      </w:pPr>
      <w:r>
        <w:drawing>
          <wp:inline>
            <wp:extent cx="5334000" cy="1981200"/>
            <wp:effectExtent b="0" l="0" r="0" t="0"/>
            <wp:docPr descr="Figure 14. DocETL’s mean query score and number of model calls on the same queries: per-query extraction, every column frozen on its first context, and frozen on the better of its first two contexts." title="" id="1" name="Picture"/>
            <a:graphic>
              <a:graphicData uri="http://schemas.openxmlformats.org/drawingml/2006/picture">
                <pic:pic>
                  <pic:nvPicPr>
                    <pic:cNvPr descr="figures/w11_frozen_docetl.png" id="0" name="Picture"/>
                    <pic:cNvPicPr>
                      <a:picLocks noChangeArrowheads="1" noChangeAspect="1"/>
                    </pic:cNvPicPr>
                  </pic:nvPicPr>
                  <pic:blipFill>
                    <a:blip r:embed="rId4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14. DocETL’s mean query score and number of model calls on the same queries: per-query extraction, every</w:t>
      </w:r>
      <w:r>
        <w:t xml:space="preserve"> </w:t>
      </w:r>
      <w:r>
        <w:t xml:space="preserve">column frozen on its first context, and frozen on the better of its first two contexts.</w:t>
      </w:r>
    </w:p>
    <w:p>
      <w:pPr>
        <w:pStyle w:val="BodyText"/>
      </w:pPr>
      <w:r>
        <w:t xml:space="preserve">Basketball players is the only corpus with joins, so the join part rests on one corpus.</w:t>
      </w:r>
    </w:p>
    <w:p>
      <w:pPr>
        <w:pStyle w:val="BodyText"/>
      </w:pPr>
      <w:r>
        <w:rPr>
          <w:i/>
        </w:rPr>
        <w:t xml:space="preserve">What this lets you decide.</w:t>
      </w:r>
      <w:r>
        <w:t xml:space="preserve"> </w:t>
      </w:r>
      <w:r>
        <w:t xml:space="preserve">Join keys should be extracted once, with one definition, and shared by every query that</w:t>
      </w:r>
      <w:r>
        <w:t xml:space="preserve"> </w:t>
      </w:r>
      <w:r>
        <w:t xml:space="preserve">joins on them; more generally a stored value should be the same for every query that reads it, and the context it is</w:t>
      </w:r>
      <w:r>
        <w:t xml:space="preserve"> </w:t>
      </w:r>
      <w:r>
        <w:t xml:space="preserve">frozen on should be chosen for how well it determines the column, not for which query came first. This is the first</w:t>
      </w:r>
      <w:r>
        <w:t xml:space="preserve"> </w:t>
      </w:r>
      <w:r>
        <w:t xml:space="preserve">section’s finding applied to a store: consistency of a value across its uses matters more than the accuracy of any one</w:t>
      </w:r>
      <w:r>
        <w:t xml:space="preserve"> </w:t>
      </w:r>
      <w:r>
        <w:t xml:space="preserve">extraction of it.</w:t>
      </w:r>
    </w:p>
    <w:p>
      <w:pPr>
        <w:pStyle w:val="Heading1"/>
      </w:pPr>
      <w:bookmarkStart w:id="44" w:name="why-does-telling-the-model-what-a-column-means-matter-so-much"/>
      <w:r>
        <w:t xml:space="preserve">Why does telling the model what a column means matter so much?</w:t>
      </w:r>
      <w:bookmarkEnd w:id="44"/>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5. Share of cells correct with and without field descriptions." title="" id="1" name="Picture"/>
            <a:graphic>
              <a:graphicData uri="http://schemas.openxmlformats.org/drawingml/2006/picture">
                <pic:pic>
                  <pic:nvPicPr>
                    <pic:cNvPr descr="figures/w6_specification.png" id="0" name="Picture"/>
                    <pic:cNvPicPr>
                      <a:picLocks noChangeArrowheads="1" noChangeAspect="1"/>
                    </pic:cNvPicPr>
                  </pic:nvPicPr>
                  <pic:blipFill>
                    <a:blip r:embed="rId45"/>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15. Share of cells correct with and without field descriptions.</w:t>
      </w:r>
    </w:p>
    <w:p>
      <w:pPr>
        <w:pStyle w:val="BodyText"/>
      </w:pPr>
      <w:r>
        <w:rPr>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p>
      <w:pPr>
        <w:pStyle w:val="Heading1"/>
      </w:pPr>
      <w:bookmarkStart w:id="46" w:name="what-carries-over-to-other-problems"/>
      <w:r>
        <w:t xml:space="preserve">What carries over to other problems</w:t>
      </w:r>
      <w:bookmarkEnd w:id="46"/>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p>
      <w:pPr>
        <w:pStyle w:val="Heading1"/>
      </w:pPr>
      <w:bookmarkStart w:id="47" w:name="open-questions"/>
      <w:r>
        <w:t xml:space="preserve">Open questions</w:t>
      </w:r>
      <w:bookmarkEnd w:id="47"/>
    </w:p>
    <w:p>
      <w:pPr>
        <w:pStyle w:val="FirstParagraph"/>
      </w:pPr>
      <w:r>
        <w:t xml:space="preserve">Several things remain unexplained. With the 7B model, asking for fewer columns helps on papers and players and hurts</w:t>
      </w:r>
      <w:r>
        <w:t xml:space="preserve"> </w:t>
      </w:r>
      <w:r>
        <w:t xml:space="preserve">on artists, and we do not know why the direction depends on the corpus. Grouping columns matters for the 32B model</w:t>
      </w:r>
      <w:r>
        <w:t xml:space="preserve"> </w:t>
      </w:r>
      <w:r>
        <w:t xml:space="preserve">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Two changes to DocETL have been tested (freezing each column on one context); whether keeping drawing contexts until</w:t>
      </w:r>
      <w:r>
        <w:t xml:space="preserve"> </w:t>
      </w:r>
      <w:r>
        <w:t xml:space="preserve">one determines a column, a budget policy that forecasts reuse with frozen contexts, and choosing the build’s prompt</w:t>
      </w:r>
      <w:r>
        <w:t xml:space="preserve"> </w:t>
      </w:r>
      <w:r>
        <w:t xml:space="preserve">groups by each column’s measured context effect improve matters are running (I3c, I4, I5 in RESEARCH_DEPTH.md), as is</w:t>
      </w:r>
      <w:r>
        <w:t xml:space="preserve"> </w:t>
      </w:r>
      <w:r>
        <w:t xml:space="preserve">the context intervention on the 32B.</w:t>
      </w:r>
    </w:p>
    <w:p>
      <w:pPr>
        <w:pStyle w:val="Heading1"/>
      </w:pPr>
      <w:bookmarkStart w:id="48" w:name="methods"/>
      <w:r>
        <w:t xml:space="preserve">Methods</w:t>
      </w:r>
      <w:bookmarkEnd w:id="48"/>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The context intervention reads thirty sampled documents per table (those with a gold row and at most</w:t>
      </w:r>
      <w:r>
        <w:t xml:space="preserve"> </w:t>
      </w:r>
      <w:r>
        <w:t xml:space="preserve">9,000 tokens) in five contexts with the drift run’s prompt renderer and generation settings; sensitivity to a context</w:t>
      </w:r>
      <w:r>
        <w:t xml:space="preserve"> </w:t>
      </w:r>
      <w:r>
        <w:t xml:space="preserve">is the share of documents whose normalized value differs from the lone answer. The second looks re-ask the 32B, column</w:t>
      </w:r>
      <w:r>
        <w:t xml:space="preserve"> </w:t>
      </w:r>
      <w:r>
        <w:t xml:space="preserve">alone, for cells of the new columns at 100% drift in documents of at most 6,000 tokens; a look catches an error when the</w:t>
      </w:r>
      <w:r>
        <w:t xml:space="preserve"> </w:t>
      </w:r>
      <w:r>
        <w:t xml:space="preserve">served value is wrong and the new one right, and introduces one in the opposite case. The frozen DocETL runs keep</w:t>
      </w:r>
      <w:r>
        <w:t xml:space="preserve"> </w:t>
      </w:r>
      <w:r>
        <w:t xml:space="preserve">DocETL’s prompt, documents, model, scoring and query order, and only reuse a column’s values across queries once it has</w:t>
      </w:r>
      <w:r>
        <w:t xml:space="preserve"> </w:t>
      </w:r>
      <w:r>
        <w:t xml:space="preserve">been extracted by the first (or the better of the first two) queries that needed it.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p>
    <w:p>
      <w:pPr>
        <w:pStyle w:val="Heading1"/>
      </w:pPr>
      <w:bookmarkStart w:id="49" w:name="appendix-example-test-queries"/>
      <w:r>
        <w:t xml:space="preserve">Appendix: example test queries</w:t>
      </w:r>
      <w:bookmarkEnd w:id="49"/>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p>
      <w:pPr>
        <w:pStyle w:val="Heading2"/>
      </w:pPr>
      <w:bookmarkStart w:id="50" w:name="research-papers-59-test-queries"/>
      <w:r>
        <w:t xml:space="preserve">Research papers (59 test queries)</w:t>
      </w:r>
      <w:bookmarkEnd w:id="50"/>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 </w:t>
      </w:r>
      <w:r>
        <w:rPr>
          <w:rStyle w:val="StringTok"/>
        </w:rPr>
        <w:t xml:space="preserve">'No'</w:t>
      </w:r>
      <w:r>
        <w:rPr>
          <w:rStyle w:val="NormalTok"/>
        </w:rPr>
        <w:t xml:space="preserve"> </w:t>
      </w:r>
      <w:r>
        <w:rPr>
          <w:rStyle w:val="KeywordTok"/>
        </w:rPr>
        <w:t xml:space="preserve">OR</w:t>
      </w:r>
      <w:r>
        <w:rPr>
          <w:rStyle w:val="NormalTok"/>
        </w:rPr>
        <w:t xml:space="preserve"> performance_on_hotpotqa = </w:t>
      </w:r>
      <w:r>
        <w:rPr>
          <w:rStyle w:val="StringTok"/>
        </w:rPr>
        <w:t xml:space="preserve">'F1: 62.2'</w:t>
      </w:r>
      <w:r>
        <w:rPr>
          <w:rStyle w:val="NormalTok"/>
        </w:rPr>
        <w:t xml:space="preserve"> </w:t>
      </w:r>
      <w:r>
        <w:rPr>
          <w:rStyle w:val="KeywordTok"/>
        </w:rPr>
        <w:t xml:space="preserve">OR</w:t>
      </w:r>
      <w:r>
        <w:rPr>
          <w:rStyle w:val="NormalTok"/>
        </w:rPr>
        <w:t xml:space="preserve"> baseline =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KeywordTok"/>
        </w:rPr>
        <w:t xml:space="preserve">THEN</w:t>
      </w:r>
      <w:r>
        <w:rPr>
          <w:rStyle w:val="NormalTok"/>
        </w:rPr>
        <w:t xml:space="preserve"> </w:t>
      </w:r>
      <w:r>
        <w:rPr>
          <w:rStyle w:val="StringTok"/>
        </w:rPr>
        <w:t xml:space="preserve">'Hybrid'</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KeywordTok"/>
        </w:rPr>
        <w:t xml:space="preserve">THEN</w:t>
      </w:r>
      <w:r>
        <w:rPr>
          <w:rStyle w:val="NormalTok"/>
        </w:rPr>
        <w:t xml:space="preserve"> </w:t>
      </w:r>
      <w:r>
        <w:rPr>
          <w:rStyle w:val="StringTok"/>
        </w:rPr>
        <w:t xml:space="preserve">'Graph-based'</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KeywordTok"/>
        </w:rPr>
        <w:t xml:space="preserve">THEN</w:t>
      </w:r>
      <w:r>
        <w:rPr>
          <w:rStyle w:val="NormalTok"/>
        </w:rPr>
        <w:t xml:space="preserve"> </w:t>
      </w:r>
      <w:r>
        <w:rPr>
          <w:rStyle w:val="StringTok"/>
        </w:rPr>
        <w:t xml:space="preserve">'Dense'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KeywordTok"/>
        </w:rPr>
        <w:t xml:space="preserve">THEN</w:t>
      </w:r>
      <w:r>
        <w:rPr>
          <w:rStyle w:val="NormalTok"/>
        </w:rPr>
        <w:t xml:space="preserve"> </w:t>
      </w:r>
      <w:r>
        <w:rPr>
          <w:rStyle w:val="StringTok"/>
        </w:rPr>
        <w:t xml:space="preserve">'Sparse'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KeywordTok"/>
        </w:rPr>
        <w:t xml:space="preserve">THEN</w:t>
      </w:r>
      <w:r>
        <w:rPr>
          <w:rStyle w:val="NormalTok"/>
        </w:rPr>
        <w:t xml:space="preserve"> </w:t>
      </w:r>
      <w:r>
        <w:rPr>
          <w:rStyle w:val="StringTok"/>
        </w:rPr>
        <w:t xml:space="preserve">'Web Search'</w:t>
      </w:r>
      <w:r>
        <w:rPr>
          <w:rStyle w:val="NormalTok"/>
        </w:rPr>
        <w:t xml:space="preserve"> </w:t>
      </w:r>
      <w:r>
        <w:rPr>
          <w:rStyle w:val="KeywordTok"/>
        </w:rPr>
        <w:t xml:space="preserve">WHEN</w:t>
      </w:r>
      <w:r>
        <w:rPr>
          <w:rStyle w:val="NormalTok"/>
        </w:rPr>
        <w:t xml:space="preserve"> retrieval_method &lt;&gt; </w:t>
      </w:r>
      <w:r>
        <w:rPr>
          <w:rStyle w:val="StringTok"/>
        </w:rPr>
        <w:t xml:space="preserve">''</w:t>
      </w:r>
      <w:r>
        <w:rPr>
          <w:rStyle w:val="NormalTok"/>
        </w:rPr>
        <w:t xml:space="preserve"> </w:t>
      </w:r>
      <w:r>
        <w:rPr>
          <w:rStyle w:val="KeywordTok"/>
        </w:rPr>
        <w:t xml:space="preserve">THEN</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&lt;&gt;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p>
      <w:pPr>
        <w:pStyle w:val="Heading2"/>
      </w:pPr>
      <w:bookmarkStart w:id="51" w:name="basketball-players-118-test-queries"/>
      <w:r>
        <w:t xml:space="preserve">Basketball players (118 test queries)</w:t>
      </w:r>
      <w:bookmarkEnd w:id="51"/>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KeywordTok"/>
        </w:rPr>
        <w:t xml:space="preserve">CASE</w:t>
      </w:r>
      <w:r>
        <w:rPr>
          <w:rStyle w:val="NormalTok"/>
        </w:rPr>
        <w:t xml:space="preserve"> </w:t>
      </w:r>
      <w:r>
        <w:rPr>
          <w:rStyle w:val="Keyword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THEN</w:t>
      </w:r>
      <w:r>
        <w:rPr>
          <w:rStyle w:val="NormalTok"/>
        </w:rPr>
        <w:t xml:space="preserve"> p.olympic_gold_medals </w:t>
      </w:r>
      <w:r>
        <w:rPr>
          <w:rStyle w:val="KeywordTok"/>
        </w:rPr>
        <w:t xml:space="preserve">ELSE</w:t>
      </w:r>
      <w:r>
        <w:rPr>
          <w:rStyle w:val="NormalTok"/>
        </w:rPr>
        <w:t xml:space="preserve"> </w:t>
      </w:r>
      <w:r>
        <w:rPr>
          <w:rStyle w:val="DecValTok"/>
        </w:rPr>
        <w:t xml:space="preserve">0</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 &gt;=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WHERE</w:t>
      </w:r>
      <w:r>
        <w:rPr>
          <w:rStyle w:val="NormalTok"/>
        </w:rPr>
        <w:t xml:space="preserve"> player.age &gt;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WHERE</w:t>
      </w:r>
      <w:r>
        <w:rPr>
          <w:rStyle w:val="NormalTok"/>
        </w:rPr>
        <w:t xml:space="preserve"> (city.city_name = </w:t>
      </w:r>
      <w:r>
        <w:rPr>
          <w:rStyle w:val="StringTok"/>
        </w:rPr>
        <w:t xml:space="preserve">'Los Angeles'</w:t>
      </w:r>
      <w:r>
        <w:rPr>
          <w:rStyle w:val="NormalTok"/>
        </w:rPr>
        <w:t xml:space="preserve">) </w:t>
      </w:r>
      <w:r>
        <w:rPr>
          <w:rStyle w:val="KeywordTok"/>
        </w:rPr>
        <w:t xml:space="preserve">OR</w:t>
      </w:r>
      <w:r>
        <w:rPr>
          <w:rStyle w:val="NormalTok"/>
        </w:rPr>
        <w:t xml:space="preserve"> (player.mvp_awards &gt;=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Heading2"/>
      </w:pPr>
      <w:bookmarkStart w:id="52" w:name="artists-43-test-queries"/>
      <w:r>
        <w:t xml:space="preserve">Artists (43 test queries)</w:t>
      </w:r>
      <w:bookmarkEnd w:id="52"/>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 </w:t>
      </w:r>
      <w:r>
        <w:rPr>
          <w:rStyle w:val="StringTok"/>
        </w:rPr>
        <w:t xml:space="preserve">'British India'</w:t>
      </w:r>
      <w:r>
        <w:rPr>
          <w:rStyle w:val="NormalTok"/>
        </w:rPr>
        <w:t xml:space="preserve"> </w:t>
      </w:r>
      <w:r>
        <w:rPr>
          <w:rStyle w:val="KeywordTok"/>
        </w:rPr>
        <w:t xml:space="preserve">OR</w:t>
      </w:r>
      <w:r>
        <w:rPr>
          <w:rStyle w:val="NormalTok"/>
        </w:rPr>
        <w:t xml:space="preserve"> teaching &lt;&gt;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&lt;&gt;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 &gt;= </w:t>
      </w:r>
      <w:r>
        <w:rPr>
          <w:rStyle w:val="DecValTok"/>
        </w:rPr>
        <w:t xml:space="preserve">5</w:t>
      </w:r>
    </w:p>
    <w:p>
      <w:pPr>
        <w:pStyle w:val="Heading2"/>
      </w:pPr>
      <w:bookmarkStart w:id="53" w:name="medical-43-test-queries"/>
      <w:r>
        <w:t xml:space="preserve">Medical (43 test queries)</w:t>
      </w:r>
      <w:bookmarkEnd w:id="53"/>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&lt;&gt;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 </w:t>
      </w:r>
      <w:r>
        <w:rPr>
          <w:rStyle w:val="StringTok"/>
        </w:rPr>
        <w:t xml:space="preserve">'injection'</w:t>
      </w:r>
      <w:r>
        <w:rPr>
          <w:rStyle w:val="NormalTok"/>
        </w:rPr>
        <w:t xml:space="preserve">) </w:t>
      </w:r>
      <w:r>
        <w:rPr>
          <w:rStyle w:val="KeywordTok"/>
        </w:rPr>
        <w:t xml:space="preserve">AND</w:t>
      </w:r>
      <w:r>
        <w:rPr>
          <w:rStyle w:val="NormalTok"/>
        </w:rPr>
        <w:t xml:space="preserve"> (administration_route &lt;&gt;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Heading2"/>
      </w:pPr>
      <w:bookmarkStart w:id="54" w:name="court-judgments-27-test-queries"/>
      <w:r>
        <w:t xml:space="preserve">Court judgments (27 test queries)</w:t>
      </w:r>
      <w:bookmarkEnd w:id="54"/>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KeywordTok"/>
        </w:rPr>
        <w:t xml:space="preserve">THEN</w:t>
      </w:r>
      <w:r>
        <w:rPr>
          <w:rStyle w:val="NormalTok"/>
        </w:rPr>
        <w:t xml:space="preserve"> case_type </w:t>
      </w:r>
      <w:r>
        <w:rPr>
          <w:rStyle w:val="KeywordTok"/>
        </w:rPr>
        <w:t xml:space="preserve">ELSE</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KeywordTok"/>
        </w:rPr>
        <w:t xml:space="preserve">THEN</w:t>
      </w:r>
      <w:r>
        <w:rPr>
          <w:rStyle w:val="NormalTok"/>
        </w:rPr>
        <w:t xml:space="preserve"> verdict </w:t>
      </w:r>
      <w:r>
        <w:rPr>
          <w:rStyle w:val="KeywordTok"/>
        </w:rPr>
        <w:t xml:space="preserve">ELSE</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 </w:t>
      </w:r>
      <w:r>
        <w:rPr>
          <w:rStyle w:val="StringTok"/>
        </w:rPr>
        <w:t xml:space="preserve">'2009'</w:t>
      </w:r>
      <w:r>
        <w:rPr>
          <w:rStyle w:val="NormalTok"/>
        </w:rPr>
        <w:t xml:space="preserve"> </w:t>
      </w:r>
      <w:r>
        <w:rPr>
          <w:rStyle w:val="KeywordTok"/>
        </w:rPr>
        <w:t xml:space="preserve">AND</w:t>
      </w:r>
      <w:r>
        <w:rPr>
          <w:rStyle w:val="NormalTok"/>
        </w:rPr>
        <w:t xml:space="preserve"> case_number &gt;=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 </w:t>
      </w:r>
      <w:r>
        <w:rPr>
          <w:rStyle w:val="StringTok"/>
        </w:rPr>
        <w:t xml:space="preserve">'20000'</w:t>
      </w:r>
      <w:r>
        <w:rPr>
          <w:rStyle w:val="NormalTok"/>
        </w:rPr>
        <w:t xml:space="preserve"> </w:t>
      </w:r>
      <w:r>
        <w:rPr>
          <w:rStyle w:val="KeywordTok"/>
        </w:rPr>
        <w:t xml:space="preserve">AND</w:t>
      </w:r>
      <w:r>
        <w:rPr>
          <w:rStyle w:val="NormalTok"/>
        </w:rPr>
        <w:t xml:space="preserve"> defendant &lt;&gt;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&lt;&gt;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ebf02ba4"/>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43" Target="media/rId43.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23" Target="media/rId2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2026-10-09T08:48:45Z</dcterms:created>
  <dcterms:modified xsi:type="dcterms:W3CDTF">2026-10-09T08:48:45Z</dcterms:modified>
</cp:coreProperties>
</file>