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CEDB8" w14:textId="77777777" w:rsidR="00B61EA5" w:rsidRPr="00843EB0" w:rsidRDefault="000F294C">
      <w:pPr>
        <w:rPr>
          <w:b/>
        </w:rPr>
      </w:pPr>
      <w:r w:rsidRPr="00843EB0">
        <w:rPr>
          <w:b/>
        </w:rPr>
        <w:t>Sludging the Safety Net</w:t>
      </w:r>
      <w:r w:rsidR="00D63E23" w:rsidRPr="00843EB0">
        <w:rPr>
          <w:b/>
        </w:rPr>
        <w:t xml:space="preserve"> 1</w:t>
      </w:r>
      <w:r w:rsidRPr="00843EB0">
        <w:rPr>
          <w:b/>
        </w:rPr>
        <w:t>: The Public Charge Rule</w:t>
      </w:r>
    </w:p>
    <w:p w14:paraId="50B87D84" w14:textId="77777777" w:rsidR="00B94808" w:rsidRDefault="00B94808"/>
    <w:p w14:paraId="0C2F42FC" w14:textId="766A8285" w:rsidR="00701697" w:rsidRPr="0083615A" w:rsidRDefault="00701697">
      <w:pPr>
        <w:rPr>
          <w:b/>
        </w:rPr>
      </w:pPr>
      <w:r w:rsidRPr="0083615A">
        <w:rPr>
          <w:b/>
        </w:rPr>
        <w:t>Outline:</w:t>
      </w:r>
    </w:p>
    <w:p w14:paraId="633153D8" w14:textId="77777777" w:rsidR="00701697" w:rsidRDefault="00701697"/>
    <w:p w14:paraId="6F1E2E96" w14:textId="3138FC59" w:rsidR="00701697" w:rsidRDefault="00701697" w:rsidP="00701697">
      <w:pPr>
        <w:pStyle w:val="Prrafodelista"/>
        <w:numPr>
          <w:ilvl w:val="0"/>
          <w:numId w:val="1"/>
        </w:numPr>
        <w:rPr>
          <w:b/>
        </w:rPr>
      </w:pPr>
      <w:r w:rsidRPr="00701697">
        <w:rPr>
          <w:b/>
        </w:rPr>
        <w:t xml:space="preserve">What happened </w:t>
      </w:r>
    </w:p>
    <w:p w14:paraId="1C3E84C5" w14:textId="77777777" w:rsidR="00701697" w:rsidRDefault="00701697" w:rsidP="00701697">
      <w:pPr>
        <w:rPr>
          <w:b/>
        </w:rPr>
      </w:pPr>
    </w:p>
    <w:p w14:paraId="51043886" w14:textId="1581A42E" w:rsidR="00701697" w:rsidRPr="00701697" w:rsidRDefault="00701697" w:rsidP="00701697">
      <w:r>
        <w:t>On October 10, 2018</w:t>
      </w:r>
      <w:r w:rsidR="0083615A">
        <w:t>,</w:t>
      </w:r>
      <w:r>
        <w:t xml:space="preserve"> the U.S. federal government proposed </w:t>
      </w:r>
      <w:r w:rsidR="00260F51">
        <w:t xml:space="preserve">to change how noncitizens applications for </w:t>
      </w:r>
      <w:r>
        <w:t xml:space="preserve">legal permanent residence or a temporary visa </w:t>
      </w:r>
      <w:r w:rsidR="00260F51">
        <w:t xml:space="preserve">are evaluated. This so-called ‘public charge’ rule would include penalize immigrants that use safety programs such as Medicaid and SNAP (food stamps). </w:t>
      </w:r>
      <w:r w:rsidR="007F2706">
        <w:t>Although</w:t>
      </w:r>
      <w:r w:rsidR="00260F51">
        <w:t xml:space="preserve"> the proposed rule </w:t>
      </w:r>
      <w:r w:rsidR="007F2706">
        <w:t xml:space="preserve">exempts certain groups like children of noncitizen families and refugees would be exempt. In addition, the WIC program is exempt since it provides formula and other support to mothers with citizen children under 5. However, previous research shows clearly that the change will significantly reduce access to crucial safety net programs for low-income immigrant adults and their citizen children. In August 2019, the public charge rule change was instituted and, although subject to multiple lawsuits, is set to take effect October 15, 2019. </w:t>
      </w:r>
    </w:p>
    <w:p w14:paraId="29F94A57" w14:textId="77777777" w:rsidR="00701697" w:rsidRPr="00701697" w:rsidRDefault="00701697" w:rsidP="00701697">
      <w:pPr>
        <w:rPr>
          <w:b/>
        </w:rPr>
      </w:pPr>
    </w:p>
    <w:p w14:paraId="4EEDAC8F" w14:textId="515972B6" w:rsidR="00701697" w:rsidRDefault="00701697" w:rsidP="00701697">
      <w:pPr>
        <w:pStyle w:val="Prrafodelista"/>
        <w:numPr>
          <w:ilvl w:val="0"/>
          <w:numId w:val="1"/>
        </w:numPr>
        <w:rPr>
          <w:b/>
        </w:rPr>
      </w:pPr>
      <w:r>
        <w:rPr>
          <w:b/>
        </w:rPr>
        <w:t xml:space="preserve">How others have reacted? </w:t>
      </w:r>
    </w:p>
    <w:p w14:paraId="18DF9C4A" w14:textId="77777777" w:rsidR="00B07626" w:rsidRDefault="00B07626" w:rsidP="00B07626">
      <w:pPr>
        <w:rPr>
          <w:b/>
        </w:rPr>
      </w:pPr>
    </w:p>
    <w:p w14:paraId="5A80ACE3" w14:textId="0CABB02E" w:rsidR="003E0645" w:rsidRPr="00B07626" w:rsidRDefault="00B07626" w:rsidP="00B07626">
      <w:r w:rsidRPr="00701697">
        <w:t>Most</w:t>
      </w:r>
      <w:r>
        <w:t xml:space="preserve"> social scientists and immigrant advoc</w:t>
      </w:r>
      <w:r w:rsidR="00260F51">
        <w:t>ates predict</w:t>
      </w:r>
      <w:r w:rsidR="0083615A">
        <w:t xml:space="preserve"> that the proposed </w:t>
      </w:r>
      <w:r w:rsidR="00260F51">
        <w:t xml:space="preserve">change </w:t>
      </w:r>
      <w:r>
        <w:t>will lead to a chilling effect on access to safety net services fo</w:t>
      </w:r>
      <w:r w:rsidR="00260F51">
        <w:t>r immigrants and their families, many of whom are U.S. citizens (Kenney et al. 2018)</w:t>
      </w:r>
      <w:r>
        <w:t xml:space="preserve">. There is of course much uncertainty and misinformation about the rule. For example, although the WIC program is not technically part of the rule, </w:t>
      </w:r>
      <w:r w:rsidR="00413F98">
        <w:t xml:space="preserve">many health providers </w:t>
      </w:r>
      <w:r>
        <w:t xml:space="preserve">suggest that </w:t>
      </w:r>
      <w:r w:rsidR="00413F98">
        <w:t xml:space="preserve">WIC enrollment is </w:t>
      </w:r>
      <w:r w:rsidR="00FC32C6">
        <w:t>declining</w:t>
      </w:r>
      <w:r w:rsidR="00413F98">
        <w:t xml:space="preserve"> because of </w:t>
      </w:r>
      <w:r w:rsidR="004F647E">
        <w:t xml:space="preserve">the public charge rule even though the program is not included in it. </w:t>
      </w:r>
    </w:p>
    <w:p w14:paraId="4CEAB264" w14:textId="77777777" w:rsidR="00B07626" w:rsidRPr="00B07626" w:rsidRDefault="00B07626" w:rsidP="00B07626">
      <w:pPr>
        <w:rPr>
          <w:b/>
        </w:rPr>
      </w:pPr>
    </w:p>
    <w:p w14:paraId="308080F1" w14:textId="74EA3AB4" w:rsidR="00701697" w:rsidRDefault="00B07626" w:rsidP="00701697">
      <w:pPr>
        <w:pStyle w:val="Prrafodelista"/>
        <w:numPr>
          <w:ilvl w:val="0"/>
          <w:numId w:val="1"/>
        </w:numPr>
        <w:rPr>
          <w:b/>
        </w:rPr>
      </w:pPr>
      <w:r>
        <w:rPr>
          <w:b/>
        </w:rPr>
        <w:t>What did we do?</w:t>
      </w:r>
    </w:p>
    <w:p w14:paraId="3A199644" w14:textId="77777777" w:rsidR="0083615A" w:rsidRDefault="0083615A" w:rsidP="0083615A">
      <w:pPr>
        <w:rPr>
          <w:b/>
        </w:rPr>
      </w:pPr>
    </w:p>
    <w:p w14:paraId="255CDADB" w14:textId="6F158BD2" w:rsidR="0083615A" w:rsidRPr="00B07626" w:rsidRDefault="0083615A" w:rsidP="0083615A">
      <w:r w:rsidRPr="00B07626">
        <w:t xml:space="preserve">We </w:t>
      </w:r>
      <w:r>
        <w:t xml:space="preserve">took publicly available data at the county level from CA and TX and investigated how changes in enrollment in three of the most effective anti-poverty safety net programs correlate with the proportion of undocumented </w:t>
      </w:r>
      <w:r w:rsidR="004F647E">
        <w:t>immigrants</w:t>
      </w:r>
      <w:r>
        <w:t xml:space="preserve"> in the county. </w:t>
      </w:r>
    </w:p>
    <w:p w14:paraId="16325E6B" w14:textId="77777777" w:rsidR="0083615A" w:rsidRDefault="0083615A" w:rsidP="0083615A">
      <w:pPr>
        <w:rPr>
          <w:b/>
        </w:rPr>
      </w:pPr>
    </w:p>
    <w:p w14:paraId="29074016" w14:textId="77777777" w:rsidR="0083615A" w:rsidRPr="0083615A" w:rsidRDefault="0083615A" w:rsidP="0083615A">
      <w:pPr>
        <w:rPr>
          <w:b/>
        </w:rPr>
      </w:pPr>
    </w:p>
    <w:p w14:paraId="6D4FDCC2" w14:textId="330E2E2D" w:rsidR="00B07626" w:rsidRDefault="0083615A" w:rsidP="00701697">
      <w:pPr>
        <w:pStyle w:val="Prrafodelista"/>
        <w:numPr>
          <w:ilvl w:val="0"/>
          <w:numId w:val="1"/>
        </w:numPr>
        <w:rPr>
          <w:b/>
        </w:rPr>
      </w:pPr>
      <w:r>
        <w:rPr>
          <w:b/>
        </w:rPr>
        <w:t xml:space="preserve">What did we find? </w:t>
      </w:r>
    </w:p>
    <w:p w14:paraId="0F01C118" w14:textId="77777777" w:rsidR="00701697" w:rsidRDefault="00701697" w:rsidP="00701697">
      <w:pPr>
        <w:rPr>
          <w:b/>
        </w:rPr>
      </w:pPr>
    </w:p>
    <w:p w14:paraId="12C18C94" w14:textId="263AB3F4" w:rsidR="0083615A" w:rsidRPr="0083615A" w:rsidRDefault="0083615A" w:rsidP="00701697">
      <w:r w:rsidRPr="0083615A">
        <w:t>We find X, Y, Z.</w:t>
      </w:r>
    </w:p>
    <w:p w14:paraId="56B83457" w14:textId="77777777" w:rsidR="00701697" w:rsidRPr="00B07626" w:rsidRDefault="00701697" w:rsidP="00701697"/>
    <w:p w14:paraId="7235BE1E" w14:textId="77777777" w:rsidR="00701697" w:rsidRDefault="00701697" w:rsidP="00701697">
      <w:pPr>
        <w:rPr>
          <w:b/>
        </w:rPr>
      </w:pPr>
    </w:p>
    <w:p w14:paraId="59446E8F" w14:textId="673F5670" w:rsidR="0083615A" w:rsidRPr="00B07626" w:rsidRDefault="0083615A" w:rsidP="0083615A">
      <w:pPr>
        <w:rPr>
          <w:b/>
        </w:rPr>
      </w:pPr>
      <w:r w:rsidRPr="00B07626">
        <w:rPr>
          <w:b/>
        </w:rPr>
        <w:t>Figure</w:t>
      </w:r>
      <w:r>
        <w:rPr>
          <w:b/>
        </w:rPr>
        <w:t xml:space="preserve"> 1</w:t>
      </w:r>
      <w:r w:rsidRPr="00B07626">
        <w:rPr>
          <w:b/>
        </w:rPr>
        <w:t xml:space="preserve">: Change (%) in enrollment on </w:t>
      </w:r>
      <w:r w:rsidR="00C14BBF">
        <w:rPr>
          <w:b/>
        </w:rPr>
        <w:t xml:space="preserve">WIC </w:t>
      </w:r>
      <w:r w:rsidR="00655BBF">
        <w:rPr>
          <w:b/>
        </w:rPr>
        <w:t xml:space="preserve">vs </w:t>
      </w:r>
      <w:r w:rsidR="00737227">
        <w:rPr>
          <w:b/>
        </w:rPr>
        <w:t>% of c</w:t>
      </w:r>
      <w:bookmarkStart w:id="0" w:name="_GoBack"/>
      <w:bookmarkEnd w:id="0"/>
      <w:r w:rsidR="00737227">
        <w:rPr>
          <w:b/>
        </w:rPr>
        <w:t>ounty population undocumented immigrants</w:t>
      </w:r>
    </w:p>
    <w:p w14:paraId="34D09E1D" w14:textId="77777777" w:rsidR="0083615A" w:rsidRDefault="0083615A" w:rsidP="00701697">
      <w:pPr>
        <w:rPr>
          <w:b/>
        </w:rPr>
      </w:pPr>
    </w:p>
    <w:p w14:paraId="424E84AB" w14:textId="77777777" w:rsidR="0083615A" w:rsidRDefault="0083615A" w:rsidP="00701697">
      <w:pPr>
        <w:rPr>
          <w:b/>
        </w:rPr>
      </w:pPr>
    </w:p>
    <w:p w14:paraId="38DC8100" w14:textId="32763B56" w:rsidR="0083615A" w:rsidRPr="00B07626" w:rsidRDefault="0083615A" w:rsidP="0083615A">
      <w:pPr>
        <w:rPr>
          <w:b/>
        </w:rPr>
      </w:pPr>
      <w:r w:rsidRPr="00B07626">
        <w:rPr>
          <w:b/>
        </w:rPr>
        <w:t>Figure</w:t>
      </w:r>
      <w:r w:rsidR="00C14BBF">
        <w:rPr>
          <w:b/>
        </w:rPr>
        <w:t xml:space="preserve"> 2</w:t>
      </w:r>
      <w:r w:rsidRPr="00B07626">
        <w:rPr>
          <w:b/>
        </w:rPr>
        <w:t xml:space="preserve">: Change </w:t>
      </w:r>
      <w:r w:rsidR="00737227">
        <w:rPr>
          <w:b/>
        </w:rPr>
        <w:t>(%) in SNAP enrollment vs % of county population undocumented immigrants</w:t>
      </w:r>
    </w:p>
    <w:p w14:paraId="0836C97D" w14:textId="77777777" w:rsidR="0083615A" w:rsidRPr="00701697" w:rsidRDefault="0083615A" w:rsidP="00701697">
      <w:pPr>
        <w:rPr>
          <w:b/>
        </w:rPr>
      </w:pPr>
    </w:p>
    <w:p w14:paraId="2DAC94FD" w14:textId="70615894" w:rsidR="00737227" w:rsidRPr="00B07626" w:rsidRDefault="00737227" w:rsidP="00737227">
      <w:pPr>
        <w:rPr>
          <w:b/>
        </w:rPr>
      </w:pPr>
      <w:r w:rsidRPr="00B07626">
        <w:rPr>
          <w:b/>
        </w:rPr>
        <w:t>Figure</w:t>
      </w:r>
      <w:r>
        <w:rPr>
          <w:b/>
        </w:rPr>
        <w:t xml:space="preserve"> 3</w:t>
      </w:r>
      <w:r w:rsidRPr="00B07626">
        <w:rPr>
          <w:b/>
        </w:rPr>
        <w:t xml:space="preserve">: Change </w:t>
      </w:r>
      <w:r>
        <w:rPr>
          <w:b/>
        </w:rPr>
        <w:t>(%) in Medicaid enrollment vs % of county population undocumented immigrants</w:t>
      </w:r>
    </w:p>
    <w:p w14:paraId="0C296F74" w14:textId="77777777" w:rsidR="00701697" w:rsidRDefault="00701697"/>
    <w:p w14:paraId="32EF9ED1" w14:textId="3FE6A2EA" w:rsidR="00737227" w:rsidRPr="003E0645" w:rsidRDefault="00602C9F">
      <w:pPr>
        <w:rPr>
          <w:b/>
        </w:rPr>
      </w:pPr>
      <w:r w:rsidRPr="003E0645">
        <w:rPr>
          <w:b/>
        </w:rPr>
        <w:t xml:space="preserve">Map – Maybe show </w:t>
      </w:r>
      <w:r w:rsidR="003E0645">
        <w:rPr>
          <w:b/>
        </w:rPr>
        <w:t>changes in enrollment in SNAP over time by county</w:t>
      </w:r>
    </w:p>
    <w:p w14:paraId="4E979F40" w14:textId="77777777" w:rsidR="00E4758C" w:rsidRDefault="00E4758C"/>
    <w:p w14:paraId="29C533CA" w14:textId="7207CDDF" w:rsidR="00E4758C" w:rsidRPr="00E4758C" w:rsidRDefault="00E4758C">
      <w:pPr>
        <w:rPr>
          <w:b/>
          <w:u w:val="single"/>
        </w:rPr>
      </w:pPr>
      <w:r w:rsidRPr="00E4758C">
        <w:rPr>
          <w:b/>
          <w:u w:val="single"/>
        </w:rPr>
        <w:t xml:space="preserve">Data sources: </w:t>
      </w:r>
    </w:p>
    <w:p w14:paraId="2826FA72" w14:textId="66A933E4" w:rsidR="00E4758C" w:rsidRDefault="00737227" w:rsidP="00E4758C">
      <w:pPr>
        <w:rPr>
          <w:rFonts w:eastAsia="Times New Roman"/>
        </w:rPr>
      </w:pPr>
      <w:r>
        <w:t xml:space="preserve">Unauthorized population estimates by county for the counties with the </w:t>
      </w:r>
      <w:r w:rsidR="00E4758C">
        <w:t xml:space="preserve">Migration Policy Institute, </w:t>
      </w:r>
      <w:hyperlink r:id="rId5" w:history="1">
        <w:r w:rsidR="00E4758C">
          <w:rPr>
            <w:rStyle w:val="Hipervnculo"/>
            <w:rFonts w:eastAsia="Times New Roman"/>
          </w:rPr>
          <w:t>https://www.migrationpolicy.org/programs/us-immigration-policy-program-data-hub/unauthorized-immigrant-population-profiles</w:t>
        </w:r>
      </w:hyperlink>
      <w:r w:rsidR="00E4758C">
        <w:rPr>
          <w:rFonts w:eastAsia="Times New Roman"/>
        </w:rPr>
        <w:t>, Accessed 9/27/2019.</w:t>
      </w:r>
    </w:p>
    <w:p w14:paraId="3466E84B" w14:textId="77777777" w:rsidR="00E4758C" w:rsidRDefault="00E4758C" w:rsidP="00E4758C">
      <w:pPr>
        <w:rPr>
          <w:rFonts w:eastAsia="Times New Roman"/>
        </w:rPr>
      </w:pPr>
    </w:p>
    <w:p w14:paraId="11261A25" w14:textId="355912B3" w:rsidR="00737227" w:rsidRDefault="00737227" w:rsidP="00737227">
      <w:pPr>
        <w:rPr>
          <w:rFonts w:eastAsia="Times New Roman"/>
        </w:rPr>
      </w:pPr>
      <w:r>
        <w:rPr>
          <w:rFonts w:eastAsia="Times New Roman"/>
        </w:rPr>
        <w:t xml:space="preserve">US Census Data, County Level Population Estimates for the U.S. 2010-2018, </w:t>
      </w:r>
      <w:hyperlink r:id="rId6" w:history="1">
        <w:r>
          <w:rPr>
            <w:rStyle w:val="Hipervnculo"/>
            <w:rFonts w:eastAsia="Times New Roman"/>
          </w:rPr>
          <w:t>https://factfinder.census.gov/faces/tableservices/jsf/pages/productview.xhtml?src=bkmk</w:t>
        </w:r>
      </w:hyperlink>
      <w:r>
        <w:rPr>
          <w:rFonts w:eastAsia="Times New Roman"/>
        </w:rPr>
        <w:t>, Accessed 9/27/2019.</w:t>
      </w:r>
    </w:p>
    <w:p w14:paraId="3B5D2B87" w14:textId="2CC5BA18" w:rsidR="00E4758C" w:rsidRDefault="00E4758C" w:rsidP="00E4758C">
      <w:pPr>
        <w:rPr>
          <w:rFonts w:eastAsia="Times New Roman"/>
        </w:rPr>
      </w:pPr>
    </w:p>
    <w:p w14:paraId="3071D8AD" w14:textId="18455DD5" w:rsidR="00E4758C" w:rsidRDefault="00737227">
      <w:r>
        <w:t>--- Add WIC, SNAP, Medicaid data source references here. ----</w:t>
      </w:r>
    </w:p>
    <w:p w14:paraId="1A9237A5" w14:textId="77777777" w:rsidR="00E4758C" w:rsidRDefault="00E4758C"/>
    <w:p w14:paraId="0D60A88C" w14:textId="19738B3D" w:rsidR="00E4758C" w:rsidRDefault="00E4758C">
      <w:r>
        <w:t xml:space="preserve"> </w:t>
      </w:r>
      <w:r w:rsidR="00590DDE">
        <w:t>References:</w:t>
      </w:r>
    </w:p>
    <w:p w14:paraId="1DE29B7B" w14:textId="77777777" w:rsidR="00590DDE" w:rsidRDefault="00590DDE"/>
    <w:p w14:paraId="00B15691" w14:textId="325E7FF7" w:rsidR="00590DDE" w:rsidRDefault="00590DDE">
      <w:r>
        <w:t>Urban Institute</w:t>
      </w:r>
    </w:p>
    <w:p w14:paraId="7E1F5133" w14:textId="77777777" w:rsidR="00590DDE" w:rsidRDefault="003C65C4" w:rsidP="00590DDE">
      <w:pPr>
        <w:rPr>
          <w:rFonts w:eastAsia="Times New Roman"/>
        </w:rPr>
      </w:pPr>
      <w:hyperlink r:id="rId7" w:history="1">
        <w:r w:rsidR="00590DDE">
          <w:rPr>
            <w:rStyle w:val="Hipervnculo"/>
            <w:rFonts w:eastAsia="Times New Roman"/>
          </w:rPr>
          <w:t>https://www.citylab.com/equity/2019/09/immigration-public-charge-rule-lawsuits-immigrant-benefits/598711/</w:t>
        </w:r>
      </w:hyperlink>
    </w:p>
    <w:p w14:paraId="3E2C7576" w14:textId="77777777" w:rsidR="00590DDE" w:rsidRDefault="00590DDE" w:rsidP="00590DDE">
      <w:pPr>
        <w:rPr>
          <w:rFonts w:eastAsia="Times New Roman"/>
        </w:rPr>
      </w:pPr>
      <w:r>
        <w:t xml:space="preserve">Medicaid welcome-mat: </w:t>
      </w:r>
      <w:hyperlink r:id="rId8" w:history="1">
        <w:r>
          <w:rPr>
            <w:rStyle w:val="Hipervnculo"/>
            <w:rFonts w:eastAsia="Times New Roman"/>
          </w:rPr>
          <w:t>https://www.healthaffairs.org/doi/10.1377/hlthaff.2013.0360</w:t>
        </w:r>
      </w:hyperlink>
    </w:p>
    <w:p w14:paraId="2E529D04" w14:textId="4AA2F3FA" w:rsidR="00590DDE" w:rsidRDefault="00590DDE">
      <w:r>
        <w:t xml:space="preserve">Public Comments </w:t>
      </w:r>
    </w:p>
    <w:p w14:paraId="6E600014" w14:textId="77777777" w:rsidR="00590DDE" w:rsidRDefault="00590DDE"/>
    <w:p w14:paraId="65D72A30" w14:textId="6B62D228" w:rsidR="005962AB" w:rsidRDefault="005962AB"/>
    <w:p w14:paraId="10D8C480" w14:textId="77777777" w:rsidR="00601A45" w:rsidRDefault="00601A45"/>
    <w:sectPr w:rsidR="00601A45" w:rsidSect="00DC6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24C8D"/>
    <w:multiLevelType w:val="hybridMultilevel"/>
    <w:tmpl w:val="C8CCD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83B"/>
    <w:rsid w:val="000F294C"/>
    <w:rsid w:val="00113315"/>
    <w:rsid w:val="001D7C7B"/>
    <w:rsid w:val="00260F51"/>
    <w:rsid w:val="00355884"/>
    <w:rsid w:val="003C383B"/>
    <w:rsid w:val="003C65C4"/>
    <w:rsid w:val="003E0645"/>
    <w:rsid w:val="00413F98"/>
    <w:rsid w:val="0045080F"/>
    <w:rsid w:val="004D6941"/>
    <w:rsid w:val="004F647E"/>
    <w:rsid w:val="00590DDE"/>
    <w:rsid w:val="005962AB"/>
    <w:rsid w:val="00601A45"/>
    <w:rsid w:val="00602C9F"/>
    <w:rsid w:val="00655BBF"/>
    <w:rsid w:val="00701697"/>
    <w:rsid w:val="00713133"/>
    <w:rsid w:val="00737227"/>
    <w:rsid w:val="007F2706"/>
    <w:rsid w:val="0083615A"/>
    <w:rsid w:val="00843EB0"/>
    <w:rsid w:val="0085562C"/>
    <w:rsid w:val="008F6CB1"/>
    <w:rsid w:val="00B07626"/>
    <w:rsid w:val="00B94808"/>
    <w:rsid w:val="00BA5F02"/>
    <w:rsid w:val="00BA7E64"/>
    <w:rsid w:val="00C14BBF"/>
    <w:rsid w:val="00C177D3"/>
    <w:rsid w:val="00CD175E"/>
    <w:rsid w:val="00D075BC"/>
    <w:rsid w:val="00D63E23"/>
    <w:rsid w:val="00D93999"/>
    <w:rsid w:val="00DC6465"/>
    <w:rsid w:val="00E4758C"/>
    <w:rsid w:val="00EA522E"/>
    <w:rsid w:val="00EB7316"/>
    <w:rsid w:val="00FB1B68"/>
    <w:rsid w:val="00FC3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C893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D7C7B"/>
    <w:rPr>
      <w:color w:val="0000FF"/>
      <w:u w:val="single"/>
    </w:rPr>
  </w:style>
  <w:style w:type="paragraph" w:styleId="Prrafodelista">
    <w:name w:val="List Paragraph"/>
    <w:basedOn w:val="Normal"/>
    <w:uiPriority w:val="34"/>
    <w:qFormat/>
    <w:rsid w:val="00701697"/>
    <w:pPr>
      <w:ind w:left="720"/>
      <w:contextualSpacing/>
    </w:pPr>
  </w:style>
  <w:style w:type="character" w:styleId="Hipervnculovisitado">
    <w:name w:val="FollowedHyperlink"/>
    <w:basedOn w:val="Fuentedeprrafopredeter"/>
    <w:uiPriority w:val="99"/>
    <w:semiHidden/>
    <w:unhideWhenUsed/>
    <w:rsid w:val="003C65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96164">
      <w:bodyDiv w:val="1"/>
      <w:marLeft w:val="0"/>
      <w:marRight w:val="0"/>
      <w:marTop w:val="0"/>
      <w:marBottom w:val="0"/>
      <w:divBdr>
        <w:top w:val="none" w:sz="0" w:space="0" w:color="auto"/>
        <w:left w:val="none" w:sz="0" w:space="0" w:color="auto"/>
        <w:bottom w:val="none" w:sz="0" w:space="0" w:color="auto"/>
        <w:right w:val="none" w:sz="0" w:space="0" w:color="auto"/>
      </w:divBdr>
    </w:div>
    <w:div w:id="585530189">
      <w:bodyDiv w:val="1"/>
      <w:marLeft w:val="0"/>
      <w:marRight w:val="0"/>
      <w:marTop w:val="0"/>
      <w:marBottom w:val="0"/>
      <w:divBdr>
        <w:top w:val="none" w:sz="0" w:space="0" w:color="auto"/>
        <w:left w:val="none" w:sz="0" w:space="0" w:color="auto"/>
        <w:bottom w:val="none" w:sz="0" w:space="0" w:color="auto"/>
        <w:right w:val="none" w:sz="0" w:space="0" w:color="auto"/>
      </w:divBdr>
    </w:div>
    <w:div w:id="855316413">
      <w:bodyDiv w:val="1"/>
      <w:marLeft w:val="0"/>
      <w:marRight w:val="0"/>
      <w:marTop w:val="0"/>
      <w:marBottom w:val="0"/>
      <w:divBdr>
        <w:top w:val="none" w:sz="0" w:space="0" w:color="auto"/>
        <w:left w:val="none" w:sz="0" w:space="0" w:color="auto"/>
        <w:bottom w:val="none" w:sz="0" w:space="0" w:color="auto"/>
        <w:right w:val="none" w:sz="0" w:space="0" w:color="auto"/>
      </w:divBdr>
    </w:div>
    <w:div w:id="1135098036">
      <w:bodyDiv w:val="1"/>
      <w:marLeft w:val="0"/>
      <w:marRight w:val="0"/>
      <w:marTop w:val="0"/>
      <w:marBottom w:val="0"/>
      <w:divBdr>
        <w:top w:val="none" w:sz="0" w:space="0" w:color="auto"/>
        <w:left w:val="none" w:sz="0" w:space="0" w:color="auto"/>
        <w:bottom w:val="none" w:sz="0" w:space="0" w:color="auto"/>
        <w:right w:val="none" w:sz="0" w:space="0" w:color="auto"/>
      </w:divBdr>
    </w:div>
    <w:div w:id="1210848431">
      <w:bodyDiv w:val="1"/>
      <w:marLeft w:val="0"/>
      <w:marRight w:val="0"/>
      <w:marTop w:val="0"/>
      <w:marBottom w:val="0"/>
      <w:divBdr>
        <w:top w:val="none" w:sz="0" w:space="0" w:color="auto"/>
        <w:left w:val="none" w:sz="0" w:space="0" w:color="auto"/>
        <w:bottom w:val="none" w:sz="0" w:space="0" w:color="auto"/>
        <w:right w:val="none" w:sz="0" w:space="0" w:color="auto"/>
      </w:divBdr>
    </w:div>
    <w:div w:id="1223251395">
      <w:bodyDiv w:val="1"/>
      <w:marLeft w:val="0"/>
      <w:marRight w:val="0"/>
      <w:marTop w:val="0"/>
      <w:marBottom w:val="0"/>
      <w:divBdr>
        <w:top w:val="none" w:sz="0" w:space="0" w:color="auto"/>
        <w:left w:val="none" w:sz="0" w:space="0" w:color="auto"/>
        <w:bottom w:val="none" w:sz="0" w:space="0" w:color="auto"/>
        <w:right w:val="none" w:sz="0" w:space="0" w:color="auto"/>
      </w:divBdr>
    </w:div>
    <w:div w:id="1544634788">
      <w:bodyDiv w:val="1"/>
      <w:marLeft w:val="0"/>
      <w:marRight w:val="0"/>
      <w:marTop w:val="0"/>
      <w:marBottom w:val="0"/>
      <w:divBdr>
        <w:top w:val="none" w:sz="0" w:space="0" w:color="auto"/>
        <w:left w:val="none" w:sz="0" w:space="0" w:color="auto"/>
        <w:bottom w:val="none" w:sz="0" w:space="0" w:color="auto"/>
        <w:right w:val="none" w:sz="0" w:space="0" w:color="auto"/>
      </w:divBdr>
    </w:div>
    <w:div w:id="1740640067">
      <w:bodyDiv w:val="1"/>
      <w:marLeft w:val="0"/>
      <w:marRight w:val="0"/>
      <w:marTop w:val="0"/>
      <w:marBottom w:val="0"/>
      <w:divBdr>
        <w:top w:val="none" w:sz="0" w:space="0" w:color="auto"/>
        <w:left w:val="none" w:sz="0" w:space="0" w:color="auto"/>
        <w:bottom w:val="none" w:sz="0" w:space="0" w:color="auto"/>
        <w:right w:val="none" w:sz="0" w:space="0" w:color="auto"/>
      </w:divBdr>
    </w:div>
    <w:div w:id="1743061284">
      <w:bodyDiv w:val="1"/>
      <w:marLeft w:val="0"/>
      <w:marRight w:val="0"/>
      <w:marTop w:val="0"/>
      <w:marBottom w:val="0"/>
      <w:divBdr>
        <w:top w:val="none" w:sz="0" w:space="0" w:color="auto"/>
        <w:left w:val="none" w:sz="0" w:space="0" w:color="auto"/>
        <w:bottom w:val="none" w:sz="0" w:space="0" w:color="auto"/>
        <w:right w:val="none" w:sz="0" w:space="0" w:color="auto"/>
      </w:divBdr>
    </w:div>
    <w:div w:id="2036692032">
      <w:bodyDiv w:val="1"/>
      <w:marLeft w:val="0"/>
      <w:marRight w:val="0"/>
      <w:marTop w:val="0"/>
      <w:marBottom w:val="0"/>
      <w:divBdr>
        <w:top w:val="none" w:sz="0" w:space="0" w:color="auto"/>
        <w:left w:val="none" w:sz="0" w:space="0" w:color="auto"/>
        <w:bottom w:val="none" w:sz="0" w:space="0" w:color="auto"/>
        <w:right w:val="none" w:sz="0" w:space="0" w:color="auto"/>
      </w:divBdr>
    </w:div>
    <w:div w:id="20440916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affairs.org/doi/10.1377/hlthaff.2013.0360" TargetMode="External"/><Relationship Id="rId3" Type="http://schemas.openxmlformats.org/officeDocument/2006/relationships/settings" Target="settings.xml"/><Relationship Id="rId7" Type="http://schemas.openxmlformats.org/officeDocument/2006/relationships/hyperlink" Target="https://www.citylab.com/equity/2019/09/immigration-public-charge-rule-lawsuits-immigrant-benefits/5987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ctfinder.census.gov/faces/tableservices/jsf/pages/productview.xhtml?src=bkmk" TargetMode="External"/><Relationship Id="rId5" Type="http://schemas.openxmlformats.org/officeDocument/2006/relationships/hyperlink" Target="https://www.migrationpolicy.org/programs/us-immigration-policy-program-data-hub/unauthorized-immigrant-population-profi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Barofsky</dc:creator>
  <cp:keywords/>
  <dc:description/>
  <cp:lastModifiedBy>Ariadna Vargas</cp:lastModifiedBy>
  <cp:revision>2</cp:revision>
  <dcterms:created xsi:type="dcterms:W3CDTF">2019-09-27T19:06:00Z</dcterms:created>
  <dcterms:modified xsi:type="dcterms:W3CDTF">2019-09-27T19:06:00Z</dcterms:modified>
</cp:coreProperties>
</file>