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32"/>
          <w:sz w:val="40"/>
          <w:szCs w:val="40"/>
        </w:rPr>
        <w:t xml:space="preserve">Reporte de Resultados de Pruebas</w:t>
      </w:r>
    </w:p>
    <w:p>
      <w:pPr>
        <w:spacing w:after="300"/>
      </w:pPr>
      <w:r>
        <w:rPr>
          <w:color w:val="595959"/>
          <w:sz w:val="26"/>
          <w:szCs w:val="26"/>
        </w:rPr>
        <w:t xml:space="preserve">Tienda Shopify — Proyecto de Portafolio QA</w:t>
      </w:r>
    </w:p>
    <w:p>
      <w:pPr>
        <w:pStyle w:val="Heading1"/>
        <w:spacing w:after="150" w:before="300"/>
      </w:pPr>
      <w:r>
        <w:t xml:space="preserve">1. Resumen ejecutivo</w:t>
      </w:r>
    </w:p>
    <w:p>
      <w:pPr>
        <w:spacing w:after="120"/>
      </w:pPr>
      <w:r>
        <w:t xml:space="preserve">Se ejecutaron los 18 casos de prueba definidos en el Plan de Pruebas sobre la tienda de desarrollo qa-andrea-rivera.myshopify.com, cubriendo los módulos de catálogo, carrito de compras y proceso de checkout. El 100% de los casos (18/18) cumplió su resultado esperado. Durante la ejecución se identificaron 3 hallazgos adicionales que no constituyen fallos funcionales del checkout, pero se documentan por su relevancia para la calidad general de la experiencia de usuario y la configuración de la tienda.</w:t>
      </w:r>
    </w:p>
    <w:p>
      <w:pPr>
        <w:pStyle w:val="Heading1"/>
        <w:spacing w:after="150" w:before="300"/>
      </w:pPr>
      <w:r>
        <w:t xml:space="preserve">2. Resumen por módulo</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3200"/>
      </w:tblGrid>
      <w:tr>
        <w:trPr>
          <w:tblHeader/>
        </w:trPr>
        <w:tc>
          <w:tcPr>
            <w:tcW w:type="dxa" w:w="3000"/>
            <w:shd w:fill="2E7D32" w:val="clear"/>
            <w:tcMar>
              <w:top w:type="dxa" w:w="80"/>
              <w:left w:type="dxa" w:w="100"/>
              <w:bottom w:type="dxa" w:w="80"/>
              <w:right w:type="dxa" w:w="100"/>
            </w:tcMar>
          </w:tcPr>
          <w:p>
            <w:r>
              <w:rPr>
                <w:b/>
                <w:bCs/>
                <w:color w:val="FFFFFF"/>
                <w:sz w:val="18"/>
                <w:szCs w:val="18"/>
              </w:rPr>
              <w:t xml:space="preserve">Módulo</w:t>
            </w:r>
          </w:p>
        </w:tc>
        <w:tc>
          <w:tcPr>
            <w:tcW w:type="dxa" w:w="1600"/>
            <w:shd w:fill="2E7D32" w:val="clear"/>
            <w:tcMar>
              <w:top w:type="dxa" w:w="80"/>
              <w:left w:type="dxa" w:w="100"/>
              <w:bottom w:type="dxa" w:w="80"/>
              <w:right w:type="dxa" w:w="100"/>
            </w:tcMar>
          </w:tcPr>
          <w:p>
            <w:r>
              <w:rPr>
                <w:b/>
                <w:bCs/>
                <w:color w:val="FFFFFF"/>
                <w:sz w:val="18"/>
                <w:szCs w:val="18"/>
              </w:rPr>
              <w:t xml:space="preserve">Casos planeados</w:t>
            </w:r>
          </w:p>
        </w:tc>
        <w:tc>
          <w:tcPr>
            <w:tcW w:type="dxa" w:w="1600"/>
            <w:shd w:fill="2E7D32" w:val="clear"/>
            <w:tcMar>
              <w:top w:type="dxa" w:w="80"/>
              <w:left w:type="dxa" w:w="100"/>
              <w:bottom w:type="dxa" w:w="80"/>
              <w:right w:type="dxa" w:w="100"/>
            </w:tcMar>
          </w:tcPr>
          <w:p>
            <w:r>
              <w:rPr>
                <w:b/>
                <w:bCs/>
                <w:color w:val="FFFFFF"/>
                <w:sz w:val="18"/>
                <w:szCs w:val="18"/>
              </w:rPr>
              <w:t xml:space="preserve">Casos ejecutados / pasan</w:t>
            </w:r>
          </w:p>
        </w:tc>
        <w:tc>
          <w:tcPr>
            <w:tcW w:type="dxa" w:w="1600"/>
            <w:shd w:fill="2E7D32" w:val="clear"/>
            <w:tcMar>
              <w:top w:type="dxa" w:w="80"/>
              <w:left w:type="dxa" w:w="100"/>
              <w:bottom w:type="dxa" w:w="80"/>
              <w:right w:type="dxa" w:w="100"/>
            </w:tcMar>
          </w:tcPr>
          <w:p>
            <w:r>
              <w:rPr>
                <w:b/>
                <w:bCs/>
                <w:color w:val="FFFFFF"/>
                <w:sz w:val="18"/>
                <w:szCs w:val="18"/>
              </w:rPr>
              <w:t xml:space="preserve">Casos fallidos</w:t>
            </w:r>
          </w:p>
        </w:tc>
        <w:tc>
          <w:tcPr>
            <w:tcW w:type="dxa" w:w="3200"/>
            <w:shd w:fill="2E7D32" w:val="clear"/>
            <w:tcMar>
              <w:top w:type="dxa" w:w="80"/>
              <w:left w:type="dxa" w:w="100"/>
              <w:bottom w:type="dxa" w:w="80"/>
              <w:right w:type="dxa" w:w="100"/>
            </w:tcMar>
          </w:tcPr>
          <w:p>
            <w:r>
              <w:rPr>
                <w:b/>
                <w:bCs/>
                <w:color w:val="FFFFFF"/>
                <w:sz w:val="18"/>
                <w:szCs w:val="18"/>
              </w:rPr>
              <w:t xml:space="preserve">% de éxito</w:t>
            </w:r>
          </w:p>
        </w:tc>
      </w:tr>
      <w:tr>
        <w:tc>
          <w:tcPr>
            <w:tcW w:type="dxa" w:w="3000"/>
            <w:tcMar>
              <w:top w:type="dxa" w:w="80"/>
              <w:left w:type="dxa" w:w="100"/>
              <w:bottom w:type="dxa" w:w="80"/>
              <w:right w:type="dxa" w:w="100"/>
            </w:tcMar>
          </w:tcPr>
          <w:p>
            <w:r>
              <w:rPr>
                <w:b w:val="false"/>
                <w:bCs w:val="false"/>
                <w:color w:val="000000"/>
                <w:sz w:val="18"/>
                <w:szCs w:val="18"/>
              </w:rPr>
              <w:t xml:space="preserve">Catálogo y búsqueda</w:t>
            </w:r>
          </w:p>
        </w:tc>
        <w:tc>
          <w:tcPr>
            <w:tcW w:type="dxa" w:w="1600"/>
            <w:tcMar>
              <w:top w:type="dxa" w:w="80"/>
              <w:left w:type="dxa" w:w="100"/>
              <w:bottom w:type="dxa" w:w="80"/>
              <w:right w:type="dxa" w:w="100"/>
            </w:tcMar>
          </w:tcPr>
          <w:p>
            <w:r>
              <w:rPr>
                <w:b w:val="false"/>
                <w:bCs w:val="false"/>
                <w:color w:val="000000"/>
                <w:sz w:val="18"/>
                <w:szCs w:val="18"/>
              </w:rPr>
              <w:t xml:space="preserve">5</w:t>
            </w:r>
          </w:p>
        </w:tc>
        <w:tc>
          <w:tcPr>
            <w:tcW w:type="dxa" w:w="1600"/>
            <w:tcMar>
              <w:top w:type="dxa" w:w="80"/>
              <w:left w:type="dxa" w:w="100"/>
              <w:bottom w:type="dxa" w:w="80"/>
              <w:right w:type="dxa" w:w="100"/>
            </w:tcMar>
          </w:tcPr>
          <w:p>
            <w:r>
              <w:rPr>
                <w:b w:val="false"/>
                <w:bCs w:val="false"/>
                <w:color w:val="000000"/>
                <w:sz w:val="18"/>
                <w:szCs w:val="18"/>
              </w:rPr>
              <w:t xml:space="preserve">5</w:t>
            </w:r>
          </w:p>
        </w:tc>
        <w:tc>
          <w:tcPr>
            <w:tcW w:type="dxa" w:w="1600"/>
            <w:tcMar>
              <w:top w:type="dxa" w:w="80"/>
              <w:left w:type="dxa" w:w="100"/>
              <w:bottom w:type="dxa" w:w="80"/>
              <w:right w:type="dxa" w:w="100"/>
            </w:tcMar>
          </w:tcPr>
          <w:p>
            <w:r>
              <w:rPr>
                <w:b w:val="false"/>
                <w:bCs w:val="false"/>
                <w:color w:val="000000"/>
                <w:sz w:val="18"/>
                <w:szCs w:val="18"/>
              </w:rPr>
              <w:t xml:space="preserve">0</w:t>
            </w:r>
          </w:p>
        </w:tc>
        <w:tc>
          <w:tcPr>
            <w:tcW w:type="dxa" w:w="3200"/>
            <w:tcMar>
              <w:top w:type="dxa" w:w="80"/>
              <w:left w:type="dxa" w:w="100"/>
              <w:bottom w:type="dxa" w:w="80"/>
              <w:right w:type="dxa" w:w="100"/>
            </w:tcMar>
          </w:tcPr>
          <w:p>
            <w:r>
              <w:rPr>
                <w:b w:val="false"/>
                <w:bCs w:val="false"/>
                <w:color w:val="000000"/>
                <w:sz w:val="18"/>
                <w:szCs w:val="18"/>
              </w:rPr>
              <w:t xml:space="preserve">100%</w:t>
            </w:r>
          </w:p>
        </w:tc>
      </w:tr>
      <w:tr>
        <w:tc>
          <w:tcPr>
            <w:tcW w:type="dxa" w:w="3000"/>
            <w:tcMar>
              <w:top w:type="dxa" w:w="80"/>
              <w:left w:type="dxa" w:w="100"/>
              <w:bottom w:type="dxa" w:w="80"/>
              <w:right w:type="dxa" w:w="100"/>
            </w:tcMar>
          </w:tcPr>
          <w:p>
            <w:r>
              <w:rPr>
                <w:b w:val="false"/>
                <w:bCs w:val="false"/>
                <w:color w:val="000000"/>
                <w:sz w:val="18"/>
                <w:szCs w:val="18"/>
              </w:rPr>
              <w:t xml:space="preserve">Carrito de compras</w:t>
            </w:r>
          </w:p>
        </w:tc>
        <w:tc>
          <w:tcPr>
            <w:tcW w:type="dxa" w:w="1600"/>
            <w:tcMar>
              <w:top w:type="dxa" w:w="80"/>
              <w:left w:type="dxa" w:w="100"/>
              <w:bottom w:type="dxa" w:w="80"/>
              <w:right w:type="dxa" w:w="100"/>
            </w:tcMar>
          </w:tcPr>
          <w:p>
            <w:r>
              <w:rPr>
                <w:b w:val="false"/>
                <w:bCs w:val="false"/>
                <w:color w:val="000000"/>
                <w:sz w:val="18"/>
                <w:szCs w:val="18"/>
              </w:rPr>
              <w:t xml:space="preserve">6</w:t>
            </w:r>
          </w:p>
        </w:tc>
        <w:tc>
          <w:tcPr>
            <w:tcW w:type="dxa" w:w="1600"/>
            <w:tcMar>
              <w:top w:type="dxa" w:w="80"/>
              <w:left w:type="dxa" w:w="100"/>
              <w:bottom w:type="dxa" w:w="80"/>
              <w:right w:type="dxa" w:w="100"/>
            </w:tcMar>
          </w:tcPr>
          <w:p>
            <w:r>
              <w:rPr>
                <w:b w:val="false"/>
                <w:bCs w:val="false"/>
                <w:color w:val="000000"/>
                <w:sz w:val="18"/>
                <w:szCs w:val="18"/>
              </w:rPr>
              <w:t xml:space="preserve">6</w:t>
            </w:r>
          </w:p>
        </w:tc>
        <w:tc>
          <w:tcPr>
            <w:tcW w:type="dxa" w:w="1600"/>
            <w:tcMar>
              <w:top w:type="dxa" w:w="80"/>
              <w:left w:type="dxa" w:w="100"/>
              <w:bottom w:type="dxa" w:w="80"/>
              <w:right w:type="dxa" w:w="100"/>
            </w:tcMar>
          </w:tcPr>
          <w:p>
            <w:r>
              <w:rPr>
                <w:b w:val="false"/>
                <w:bCs w:val="false"/>
                <w:color w:val="000000"/>
                <w:sz w:val="18"/>
                <w:szCs w:val="18"/>
              </w:rPr>
              <w:t xml:space="preserve">0</w:t>
            </w:r>
          </w:p>
        </w:tc>
        <w:tc>
          <w:tcPr>
            <w:tcW w:type="dxa" w:w="3200"/>
            <w:tcMar>
              <w:top w:type="dxa" w:w="80"/>
              <w:left w:type="dxa" w:w="100"/>
              <w:bottom w:type="dxa" w:w="80"/>
              <w:right w:type="dxa" w:w="100"/>
            </w:tcMar>
          </w:tcPr>
          <w:p>
            <w:r>
              <w:rPr>
                <w:b w:val="false"/>
                <w:bCs w:val="false"/>
                <w:color w:val="000000"/>
                <w:sz w:val="18"/>
                <w:szCs w:val="18"/>
              </w:rPr>
              <w:t xml:space="preserve">100%</w:t>
            </w:r>
          </w:p>
        </w:tc>
      </w:tr>
      <w:tr>
        <w:tc>
          <w:tcPr>
            <w:tcW w:type="dxa" w:w="3000"/>
            <w:tcMar>
              <w:top w:type="dxa" w:w="80"/>
              <w:left w:type="dxa" w:w="100"/>
              <w:bottom w:type="dxa" w:w="80"/>
              <w:right w:type="dxa" w:w="100"/>
            </w:tcMar>
          </w:tcPr>
          <w:p>
            <w:r>
              <w:rPr>
                <w:b w:val="false"/>
                <w:bCs w:val="false"/>
                <w:color w:val="000000"/>
                <w:sz w:val="18"/>
                <w:szCs w:val="18"/>
              </w:rPr>
              <w:t xml:space="preserve">Proceso de checkout</w:t>
            </w:r>
          </w:p>
        </w:tc>
        <w:tc>
          <w:tcPr>
            <w:tcW w:type="dxa" w:w="1600"/>
            <w:tcMar>
              <w:top w:type="dxa" w:w="80"/>
              <w:left w:type="dxa" w:w="100"/>
              <w:bottom w:type="dxa" w:w="80"/>
              <w:right w:type="dxa" w:w="100"/>
            </w:tcMar>
          </w:tcPr>
          <w:p>
            <w:r>
              <w:rPr>
                <w:b w:val="false"/>
                <w:bCs w:val="false"/>
                <w:color w:val="000000"/>
                <w:sz w:val="18"/>
                <w:szCs w:val="18"/>
              </w:rPr>
              <w:t xml:space="preserve">7</w:t>
            </w:r>
          </w:p>
        </w:tc>
        <w:tc>
          <w:tcPr>
            <w:tcW w:type="dxa" w:w="1600"/>
            <w:tcMar>
              <w:top w:type="dxa" w:w="80"/>
              <w:left w:type="dxa" w:w="100"/>
              <w:bottom w:type="dxa" w:w="80"/>
              <w:right w:type="dxa" w:w="100"/>
            </w:tcMar>
          </w:tcPr>
          <w:p>
            <w:r>
              <w:rPr>
                <w:b w:val="false"/>
                <w:bCs w:val="false"/>
                <w:color w:val="000000"/>
                <w:sz w:val="18"/>
                <w:szCs w:val="18"/>
              </w:rPr>
              <w:t xml:space="preserve">7</w:t>
            </w:r>
          </w:p>
        </w:tc>
        <w:tc>
          <w:tcPr>
            <w:tcW w:type="dxa" w:w="1600"/>
            <w:tcMar>
              <w:top w:type="dxa" w:w="80"/>
              <w:left w:type="dxa" w:w="100"/>
              <w:bottom w:type="dxa" w:w="80"/>
              <w:right w:type="dxa" w:w="100"/>
            </w:tcMar>
          </w:tcPr>
          <w:p>
            <w:r>
              <w:rPr>
                <w:b w:val="false"/>
                <w:bCs w:val="false"/>
                <w:color w:val="000000"/>
                <w:sz w:val="18"/>
                <w:szCs w:val="18"/>
              </w:rPr>
              <w:t xml:space="preserve">0</w:t>
            </w:r>
          </w:p>
        </w:tc>
        <w:tc>
          <w:tcPr>
            <w:tcW w:type="dxa" w:w="3200"/>
            <w:tcMar>
              <w:top w:type="dxa" w:w="80"/>
              <w:left w:type="dxa" w:w="100"/>
              <w:bottom w:type="dxa" w:w="80"/>
              <w:right w:type="dxa" w:w="100"/>
            </w:tcMar>
          </w:tcPr>
          <w:p>
            <w:r>
              <w:rPr>
                <w:b w:val="false"/>
                <w:bCs w:val="false"/>
                <w:color w:val="000000"/>
                <w:sz w:val="18"/>
                <w:szCs w:val="18"/>
              </w:rPr>
              <w:t xml:space="preserve">100%</w:t>
            </w:r>
          </w:p>
        </w:tc>
      </w:tr>
      <w:tr>
        <w:tc>
          <w:tcPr>
            <w:tcW w:type="dxa" w:w="3000"/>
            <w:tcMar>
              <w:top w:type="dxa" w:w="80"/>
              <w:left w:type="dxa" w:w="100"/>
              <w:bottom w:type="dxa" w:w="80"/>
              <w:right w:type="dxa" w:w="100"/>
            </w:tcMar>
          </w:tcPr>
          <w:p>
            <w:r>
              <w:rPr>
                <w:b w:val="false"/>
                <w:bCs w:val="false"/>
                <w:color w:val="000000"/>
                <w:sz w:val="18"/>
                <w:szCs w:val="18"/>
              </w:rPr>
              <w:t xml:space="preserve">TOTAL</w:t>
            </w:r>
          </w:p>
        </w:tc>
        <w:tc>
          <w:tcPr>
            <w:tcW w:type="dxa" w:w="1600"/>
            <w:tcMar>
              <w:top w:type="dxa" w:w="80"/>
              <w:left w:type="dxa" w:w="100"/>
              <w:bottom w:type="dxa" w:w="80"/>
              <w:right w:type="dxa" w:w="100"/>
            </w:tcMar>
          </w:tcPr>
          <w:p>
            <w:r>
              <w:rPr>
                <w:b w:val="false"/>
                <w:bCs w:val="false"/>
                <w:color w:val="000000"/>
                <w:sz w:val="18"/>
                <w:szCs w:val="18"/>
              </w:rPr>
              <w:t xml:space="preserve">18</w:t>
            </w:r>
          </w:p>
        </w:tc>
        <w:tc>
          <w:tcPr>
            <w:tcW w:type="dxa" w:w="1600"/>
            <w:tcMar>
              <w:top w:type="dxa" w:w="80"/>
              <w:left w:type="dxa" w:w="100"/>
              <w:bottom w:type="dxa" w:w="80"/>
              <w:right w:type="dxa" w:w="100"/>
            </w:tcMar>
          </w:tcPr>
          <w:p>
            <w:r>
              <w:rPr>
                <w:b w:val="false"/>
                <w:bCs w:val="false"/>
                <w:color w:val="000000"/>
                <w:sz w:val="18"/>
                <w:szCs w:val="18"/>
              </w:rPr>
              <w:t xml:space="preserve">18</w:t>
            </w:r>
          </w:p>
        </w:tc>
        <w:tc>
          <w:tcPr>
            <w:tcW w:type="dxa" w:w="1600"/>
            <w:tcMar>
              <w:top w:type="dxa" w:w="80"/>
              <w:left w:type="dxa" w:w="100"/>
              <w:bottom w:type="dxa" w:w="80"/>
              <w:right w:type="dxa" w:w="100"/>
            </w:tcMar>
          </w:tcPr>
          <w:p>
            <w:r>
              <w:rPr>
                <w:b w:val="false"/>
                <w:bCs w:val="false"/>
                <w:color w:val="000000"/>
                <w:sz w:val="18"/>
                <w:szCs w:val="18"/>
              </w:rPr>
              <w:t xml:space="preserve">0</w:t>
            </w:r>
          </w:p>
        </w:tc>
        <w:tc>
          <w:tcPr>
            <w:tcW w:type="dxa" w:w="3200"/>
            <w:tcMar>
              <w:top w:type="dxa" w:w="80"/>
              <w:left w:type="dxa" w:w="100"/>
              <w:bottom w:type="dxa" w:w="80"/>
              <w:right w:type="dxa" w:w="100"/>
            </w:tcMar>
          </w:tcPr>
          <w:p>
            <w:r>
              <w:rPr>
                <w:b w:val="false"/>
                <w:bCs w:val="false"/>
                <w:color w:val="000000"/>
                <w:sz w:val="18"/>
                <w:szCs w:val="18"/>
              </w:rPr>
              <w:t xml:space="preserve">100%</w:t>
            </w:r>
          </w:p>
        </w:tc>
      </w:tr>
    </w:tbl>
    <w:p>
      <w:pPr>
        <w:pStyle w:val="Heading1"/>
        <w:spacing w:after="150" w:before="300"/>
      </w:pPr>
      <w:r>
        <w:t xml:space="preserve">3. Resultados detallados</w:t>
      </w:r>
    </w:p>
    <w:p>
      <w:pPr>
        <w:pStyle w:val="Heading2"/>
        <w:spacing w:after="100" w:before="200"/>
      </w:pPr>
      <w:r>
        <w:t xml:space="preserve">3.1 Catálogo y búsqueda de productos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gridCol w:w="1600"/>
      </w:tblGrid>
      <w:tr>
        <w:trPr>
          <w:tblHeader/>
        </w:trPr>
        <w:tc>
          <w:tcPr>
            <w:tcW w:type="dxa" w:w="700"/>
            <w:shd w:fill="2E7D32" w:val="clear"/>
            <w:tcMar>
              <w:top w:type="dxa" w:w="80"/>
              <w:left w:type="dxa" w:w="100"/>
              <w:bottom w:type="dxa" w:w="80"/>
              <w:right w:type="dxa" w:w="100"/>
            </w:tcMar>
          </w:tcPr>
          <w:p>
            <w:r>
              <w:rPr>
                <w:b/>
                <w:bCs/>
                <w:color w:val="FFFFFF"/>
                <w:sz w:val="18"/>
                <w:szCs w:val="18"/>
              </w:rPr>
              <w:t xml:space="preserve">ID</w:t>
            </w:r>
          </w:p>
        </w:tc>
        <w:tc>
          <w:tcPr>
            <w:tcW w:type="dxa" w:w="2600"/>
            <w:shd w:fill="2E7D32" w:val="clear"/>
            <w:tcMar>
              <w:top w:type="dxa" w:w="80"/>
              <w:left w:type="dxa" w:w="100"/>
              <w:bottom w:type="dxa" w:w="80"/>
              <w:right w:type="dxa" w:w="100"/>
            </w:tcMar>
          </w:tcPr>
          <w:p>
            <w:r>
              <w:rPr>
                <w:b/>
                <w:bCs/>
                <w:color w:val="FFFFFF"/>
                <w:sz w:val="18"/>
                <w:szCs w:val="18"/>
              </w:rPr>
              <w:t xml:space="preserve">Título</w:t>
            </w:r>
          </w:p>
        </w:tc>
        <w:tc>
          <w:tcPr>
            <w:tcW w:type="dxa" w:w="5700"/>
            <w:shd w:fill="2E7D32" w:val="clear"/>
            <w:tcMar>
              <w:top w:type="dxa" w:w="80"/>
              <w:left w:type="dxa" w:w="100"/>
              <w:bottom w:type="dxa" w:w="80"/>
              <w:right w:type="dxa" w:w="100"/>
            </w:tcMar>
          </w:tcPr>
          <w:p>
            <w:r>
              <w:rPr>
                <w:b/>
                <w:bCs/>
                <w:color w:val="FFFFFF"/>
                <w:sz w:val="18"/>
                <w:szCs w:val="18"/>
              </w:rPr>
              <w:t xml:space="preserve">Observaciones</w:t>
            </w:r>
          </w:p>
        </w:tc>
        <w:tc>
          <w:tcPr>
            <w:tcW w:type="dxa" w:w="1600"/>
            <w:shd w:fill="2E7D32" w:val="clear"/>
            <w:tcMar>
              <w:top w:type="dxa" w:w="80"/>
              <w:left w:type="dxa" w:w="100"/>
              <w:bottom w:type="dxa" w:w="80"/>
              <w:right w:type="dxa" w:w="100"/>
            </w:tcMar>
          </w:tcPr>
          <w:p>
            <w:r>
              <w:rPr>
                <w:b/>
                <w:bCs/>
                <w:color w:val="FFFFFF"/>
                <w:sz w:val="18"/>
                <w:szCs w:val="18"/>
              </w:rPr>
              <w:t xml:space="preserve">Resultado</w:t>
            </w:r>
          </w:p>
        </w:tc>
      </w:tr>
      <w:tr>
        <w:tc>
          <w:tcPr>
            <w:tcW w:type="dxa" w:w="700"/>
            <w:tcMar>
              <w:top w:type="dxa" w:w="80"/>
              <w:left w:type="dxa" w:w="100"/>
              <w:bottom w:type="dxa" w:w="80"/>
              <w:right w:type="dxa" w:w="100"/>
            </w:tcMar>
          </w:tcPr>
          <w:p>
            <w:r>
              <w:rPr>
                <w:b w:val="false"/>
                <w:bCs w:val="false"/>
                <w:color w:val="000000"/>
                <w:sz w:val="18"/>
                <w:szCs w:val="18"/>
              </w:rPr>
              <w:t xml:space="preserve">CP-01</w:t>
            </w:r>
          </w:p>
        </w:tc>
        <w:tc>
          <w:tcPr>
            <w:tcW w:type="dxa" w:w="2600"/>
            <w:tcMar>
              <w:top w:type="dxa" w:w="80"/>
              <w:left w:type="dxa" w:w="100"/>
              <w:bottom w:type="dxa" w:w="80"/>
              <w:right w:type="dxa" w:w="100"/>
            </w:tcMar>
          </w:tcPr>
          <w:p>
            <w:r>
              <w:rPr>
                <w:b w:val="false"/>
                <w:bCs w:val="false"/>
                <w:color w:val="000000"/>
                <w:sz w:val="18"/>
                <w:szCs w:val="18"/>
              </w:rPr>
              <w:t xml:space="preserve">Visualizar catálogo completo</w:t>
            </w:r>
          </w:p>
        </w:tc>
        <w:tc>
          <w:tcPr>
            <w:tcW w:type="dxa" w:w="5700"/>
            <w:tcMar>
              <w:top w:type="dxa" w:w="80"/>
              <w:left w:type="dxa" w:w="100"/>
              <w:bottom w:type="dxa" w:w="80"/>
              <w:right w:type="dxa" w:w="100"/>
            </w:tcMar>
          </w:tcPr>
          <w:p>
            <w:r>
              <w:rPr>
                <w:b w:val="false"/>
                <w:bCs w:val="false"/>
                <w:color w:val="000000"/>
                <w:sz w:val="18"/>
                <w:szCs w:val="18"/>
              </w:rPr>
              <w:t xml:space="preserve">13 productos listados correctamente con imagen, nombre y precio.</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CP-02</w:t>
            </w:r>
          </w:p>
        </w:tc>
        <w:tc>
          <w:tcPr>
            <w:tcW w:type="dxa" w:w="2600"/>
            <w:tcMar>
              <w:top w:type="dxa" w:w="80"/>
              <w:left w:type="dxa" w:w="100"/>
              <w:bottom w:type="dxa" w:w="80"/>
              <w:right w:type="dxa" w:w="100"/>
            </w:tcMar>
          </w:tcPr>
          <w:p>
            <w:r>
              <w:rPr>
                <w:b w:val="false"/>
                <w:bCs w:val="false"/>
                <w:color w:val="000000"/>
                <w:sz w:val="18"/>
                <w:szCs w:val="18"/>
              </w:rPr>
              <w:t xml:space="preserve">Buscar producto existente</w:t>
            </w:r>
          </w:p>
        </w:tc>
        <w:tc>
          <w:tcPr>
            <w:tcW w:type="dxa" w:w="5700"/>
            <w:tcMar>
              <w:top w:type="dxa" w:w="80"/>
              <w:left w:type="dxa" w:w="100"/>
              <w:bottom w:type="dxa" w:w="80"/>
              <w:right w:type="dxa" w:w="100"/>
            </w:tcMar>
          </w:tcPr>
          <w:p>
            <w:r>
              <w:rPr>
                <w:b w:val="false"/>
                <w:bCs w:val="false"/>
                <w:color w:val="000000"/>
                <w:sz w:val="18"/>
                <w:szCs w:val="18"/>
              </w:rPr>
              <w:t xml:space="preserve">El producto buscado aparece correctamente en los resultados.</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CP-03</w:t>
            </w:r>
          </w:p>
        </w:tc>
        <w:tc>
          <w:tcPr>
            <w:tcW w:type="dxa" w:w="2600"/>
            <w:tcMar>
              <w:top w:type="dxa" w:w="80"/>
              <w:left w:type="dxa" w:w="100"/>
              <w:bottom w:type="dxa" w:w="80"/>
              <w:right w:type="dxa" w:w="100"/>
            </w:tcMar>
          </w:tcPr>
          <w:p>
            <w:r>
              <w:rPr>
                <w:b w:val="false"/>
                <w:bCs w:val="false"/>
                <w:color w:val="000000"/>
                <w:sz w:val="18"/>
                <w:szCs w:val="18"/>
              </w:rPr>
              <w:t xml:space="preserve">Buscar producto inexistente</w:t>
            </w:r>
          </w:p>
        </w:tc>
        <w:tc>
          <w:tcPr>
            <w:tcW w:type="dxa" w:w="5700"/>
            <w:tcMar>
              <w:top w:type="dxa" w:w="80"/>
              <w:left w:type="dxa" w:w="100"/>
              <w:bottom w:type="dxa" w:w="80"/>
              <w:right w:type="dxa" w:w="100"/>
            </w:tcMar>
          </w:tcPr>
          <w:p>
            <w:r>
              <w:rPr>
                <w:b w:val="false"/>
                <w:bCs w:val="false"/>
                <w:color w:val="000000"/>
                <w:sz w:val="18"/>
                <w:szCs w:val="18"/>
              </w:rPr>
              <w:t xml:space="preserve">Mensaje claro: "No se encontraron resultados... Compruebe la ortografía".</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CP-04</w:t>
            </w:r>
          </w:p>
        </w:tc>
        <w:tc>
          <w:tcPr>
            <w:tcW w:type="dxa" w:w="2600"/>
            <w:tcMar>
              <w:top w:type="dxa" w:w="80"/>
              <w:left w:type="dxa" w:w="100"/>
              <w:bottom w:type="dxa" w:w="80"/>
              <w:right w:type="dxa" w:w="100"/>
            </w:tcMar>
          </w:tcPr>
          <w:p>
            <w:r>
              <w:rPr>
                <w:b w:val="false"/>
                <w:bCs w:val="false"/>
                <w:color w:val="000000"/>
                <w:sz w:val="18"/>
                <w:szCs w:val="18"/>
              </w:rPr>
              <w:t xml:space="preserve">Búsqueda con campo vacío</w:t>
            </w:r>
          </w:p>
        </w:tc>
        <w:tc>
          <w:tcPr>
            <w:tcW w:type="dxa" w:w="5700"/>
            <w:tcMar>
              <w:top w:type="dxa" w:w="80"/>
              <w:left w:type="dxa" w:w="100"/>
              <w:bottom w:type="dxa" w:w="80"/>
              <w:right w:type="dxa" w:w="100"/>
            </w:tcMar>
          </w:tcPr>
          <w:p>
            <w:r>
              <w:rPr>
                <w:b w:val="false"/>
                <w:bCs w:val="false"/>
                <w:color w:val="000000"/>
                <w:sz w:val="18"/>
                <w:szCs w:val="18"/>
              </w:rPr>
              <w:t xml:space="preserve">No arroja error. Ver UX-01: el botón no da feedback visual.</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CP-05</w:t>
            </w:r>
          </w:p>
        </w:tc>
        <w:tc>
          <w:tcPr>
            <w:tcW w:type="dxa" w:w="2600"/>
            <w:tcMar>
              <w:top w:type="dxa" w:w="80"/>
              <w:left w:type="dxa" w:w="100"/>
              <w:bottom w:type="dxa" w:w="80"/>
              <w:right w:type="dxa" w:w="100"/>
            </w:tcMar>
          </w:tcPr>
          <w:p>
            <w:r>
              <w:rPr>
                <w:b w:val="false"/>
                <w:bCs w:val="false"/>
                <w:color w:val="000000"/>
                <w:sz w:val="18"/>
                <w:szCs w:val="18"/>
              </w:rPr>
              <w:t xml:space="preserve">Ver detalle de producto</w:t>
            </w:r>
          </w:p>
        </w:tc>
        <w:tc>
          <w:tcPr>
            <w:tcW w:type="dxa" w:w="5700"/>
            <w:tcMar>
              <w:top w:type="dxa" w:w="80"/>
              <w:left w:type="dxa" w:w="100"/>
              <w:bottom w:type="dxa" w:w="80"/>
              <w:right w:type="dxa" w:w="100"/>
            </w:tcMar>
          </w:tcPr>
          <w:p>
            <w:r>
              <w:rPr>
                <w:b w:val="false"/>
                <w:bCs w:val="false"/>
                <w:color w:val="000000"/>
                <w:sz w:val="18"/>
                <w:szCs w:val="18"/>
              </w:rPr>
              <w:t xml:space="preserve">Página de detalle completa: imagen, descripción, precio y variantes.</w:t>
            </w:r>
          </w:p>
        </w:tc>
        <w:tc>
          <w:tcPr>
            <w:tcW w:type="dxa" w:w="1600"/>
            <w:tcMar>
              <w:top w:type="dxa" w:w="80"/>
              <w:left w:type="dxa" w:w="100"/>
              <w:bottom w:type="dxa" w:w="80"/>
              <w:right w:type="dxa" w:w="100"/>
            </w:tcMar>
          </w:tcPr>
          <w:p>
            <w:r>
              <w:rPr>
                <w:b w:val="false"/>
                <w:bCs w:val="false"/>
                <w:color w:val="2E7D32"/>
                <w:sz w:val="18"/>
                <w:szCs w:val="18"/>
              </w:rPr>
              <w:t xml:space="preserve">Pasa</w:t>
            </w:r>
          </w:p>
        </w:tc>
      </w:tr>
    </w:tbl>
    <w:p>
      <w:pPr>
        <w:pStyle w:val="Heading2"/>
        <w:spacing w:after="100" w:before="200"/>
      </w:pPr>
      <w:r>
        <w:t xml:space="preserve">3.2 Carrito de compras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gridCol w:w="1600"/>
      </w:tblGrid>
      <w:tr>
        <w:trPr>
          <w:tblHeader/>
        </w:trPr>
        <w:tc>
          <w:tcPr>
            <w:tcW w:type="dxa" w:w="700"/>
            <w:shd w:fill="2E7D32" w:val="clear"/>
            <w:tcMar>
              <w:top w:type="dxa" w:w="80"/>
              <w:left w:type="dxa" w:w="100"/>
              <w:bottom w:type="dxa" w:w="80"/>
              <w:right w:type="dxa" w:w="100"/>
            </w:tcMar>
          </w:tcPr>
          <w:p>
            <w:r>
              <w:rPr>
                <w:b/>
                <w:bCs/>
                <w:color w:val="FFFFFF"/>
                <w:sz w:val="18"/>
                <w:szCs w:val="18"/>
              </w:rPr>
              <w:t xml:space="preserve">ID</w:t>
            </w:r>
          </w:p>
        </w:tc>
        <w:tc>
          <w:tcPr>
            <w:tcW w:type="dxa" w:w="2600"/>
            <w:shd w:fill="2E7D32" w:val="clear"/>
            <w:tcMar>
              <w:top w:type="dxa" w:w="80"/>
              <w:left w:type="dxa" w:w="100"/>
              <w:bottom w:type="dxa" w:w="80"/>
              <w:right w:type="dxa" w:w="100"/>
            </w:tcMar>
          </w:tcPr>
          <w:p>
            <w:r>
              <w:rPr>
                <w:b/>
                <w:bCs/>
                <w:color w:val="FFFFFF"/>
                <w:sz w:val="18"/>
                <w:szCs w:val="18"/>
              </w:rPr>
              <w:t xml:space="preserve">Título</w:t>
            </w:r>
          </w:p>
        </w:tc>
        <w:tc>
          <w:tcPr>
            <w:tcW w:type="dxa" w:w="5700"/>
            <w:shd w:fill="2E7D32" w:val="clear"/>
            <w:tcMar>
              <w:top w:type="dxa" w:w="80"/>
              <w:left w:type="dxa" w:w="100"/>
              <w:bottom w:type="dxa" w:w="80"/>
              <w:right w:type="dxa" w:w="100"/>
            </w:tcMar>
          </w:tcPr>
          <w:p>
            <w:r>
              <w:rPr>
                <w:b/>
                <w:bCs/>
                <w:color w:val="FFFFFF"/>
                <w:sz w:val="18"/>
                <w:szCs w:val="18"/>
              </w:rPr>
              <w:t xml:space="preserve">Observaciones</w:t>
            </w:r>
          </w:p>
        </w:tc>
        <w:tc>
          <w:tcPr>
            <w:tcW w:type="dxa" w:w="1600"/>
            <w:shd w:fill="2E7D32" w:val="clear"/>
            <w:tcMar>
              <w:top w:type="dxa" w:w="80"/>
              <w:left w:type="dxa" w:w="100"/>
              <w:bottom w:type="dxa" w:w="80"/>
              <w:right w:type="dxa" w:w="100"/>
            </w:tcMar>
          </w:tcPr>
          <w:p>
            <w:r>
              <w:rPr>
                <w:b/>
                <w:bCs/>
                <w:color w:val="FFFFFF"/>
                <w:sz w:val="18"/>
                <w:szCs w:val="18"/>
              </w:rPr>
              <w:t xml:space="preserve">Resultado</w:t>
            </w:r>
          </w:p>
        </w:tc>
      </w:tr>
      <w:tr>
        <w:tc>
          <w:tcPr>
            <w:tcW w:type="dxa" w:w="700"/>
            <w:tcMar>
              <w:top w:type="dxa" w:w="80"/>
              <w:left w:type="dxa" w:w="100"/>
              <w:bottom w:type="dxa" w:w="80"/>
              <w:right w:type="dxa" w:w="100"/>
            </w:tcMar>
          </w:tcPr>
          <w:p>
            <w:r>
              <w:rPr>
                <w:b w:val="false"/>
                <w:bCs w:val="false"/>
                <w:color w:val="000000"/>
                <w:sz w:val="18"/>
                <w:szCs w:val="18"/>
              </w:rPr>
              <w:t xml:space="preserve">CA-01</w:t>
            </w:r>
          </w:p>
        </w:tc>
        <w:tc>
          <w:tcPr>
            <w:tcW w:type="dxa" w:w="2600"/>
            <w:tcMar>
              <w:top w:type="dxa" w:w="80"/>
              <w:left w:type="dxa" w:w="100"/>
              <w:bottom w:type="dxa" w:w="80"/>
              <w:right w:type="dxa" w:w="100"/>
            </w:tcMar>
          </w:tcPr>
          <w:p>
            <w:r>
              <w:rPr>
                <w:b w:val="false"/>
                <w:bCs w:val="false"/>
                <w:color w:val="000000"/>
                <w:sz w:val="18"/>
                <w:szCs w:val="18"/>
              </w:rPr>
              <w:t xml:space="preserve">Agregar producto al carrito</w:t>
            </w:r>
          </w:p>
        </w:tc>
        <w:tc>
          <w:tcPr>
            <w:tcW w:type="dxa" w:w="5700"/>
            <w:tcMar>
              <w:top w:type="dxa" w:w="80"/>
              <w:left w:type="dxa" w:w="100"/>
              <w:bottom w:type="dxa" w:w="80"/>
              <w:right w:type="dxa" w:w="100"/>
            </w:tcMar>
          </w:tcPr>
          <w:p>
            <w:r>
              <w:rPr>
                <w:b w:val="false"/>
                <w:bCs w:val="false"/>
                <w:color w:val="000000"/>
                <w:sz w:val="18"/>
                <w:szCs w:val="18"/>
              </w:rPr>
              <w:t xml:space="preserve">El producto se agrega y el contador se actualiza.</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CA-02</w:t>
            </w:r>
          </w:p>
        </w:tc>
        <w:tc>
          <w:tcPr>
            <w:tcW w:type="dxa" w:w="2600"/>
            <w:tcMar>
              <w:top w:type="dxa" w:w="80"/>
              <w:left w:type="dxa" w:w="100"/>
              <w:bottom w:type="dxa" w:w="80"/>
              <w:right w:type="dxa" w:w="100"/>
            </w:tcMar>
          </w:tcPr>
          <w:p>
            <w:r>
              <w:rPr>
                <w:b w:val="false"/>
                <w:bCs w:val="false"/>
                <w:color w:val="000000"/>
                <w:sz w:val="18"/>
                <w:szCs w:val="18"/>
              </w:rPr>
              <w:t xml:space="preserve">Modificar cantidad</w:t>
            </w:r>
          </w:p>
        </w:tc>
        <w:tc>
          <w:tcPr>
            <w:tcW w:type="dxa" w:w="5700"/>
            <w:tcMar>
              <w:top w:type="dxa" w:w="80"/>
              <w:left w:type="dxa" w:w="100"/>
              <w:bottom w:type="dxa" w:w="80"/>
              <w:right w:type="dxa" w:w="100"/>
            </w:tcMar>
          </w:tcPr>
          <w:p>
            <w:r>
              <w:rPr>
                <w:b w:val="false"/>
                <w:bCs w:val="false"/>
                <w:color w:val="000000"/>
                <w:sz w:val="18"/>
                <w:szCs w:val="18"/>
              </w:rPr>
              <w:t xml:space="preserve">Subtotal verificado matemáticamente: 699.95 × 2 = 1,399.90 (correcto).</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CA-03</w:t>
            </w:r>
          </w:p>
        </w:tc>
        <w:tc>
          <w:tcPr>
            <w:tcW w:type="dxa" w:w="2600"/>
            <w:tcMar>
              <w:top w:type="dxa" w:w="80"/>
              <w:left w:type="dxa" w:w="100"/>
              <w:bottom w:type="dxa" w:w="80"/>
              <w:right w:type="dxa" w:w="100"/>
            </w:tcMar>
          </w:tcPr>
          <w:p>
            <w:r>
              <w:rPr>
                <w:b w:val="false"/>
                <w:bCs w:val="false"/>
                <w:color w:val="000000"/>
                <w:sz w:val="18"/>
                <w:szCs w:val="18"/>
              </w:rPr>
              <w:t xml:space="preserve">Eliminar producto</w:t>
            </w:r>
          </w:p>
        </w:tc>
        <w:tc>
          <w:tcPr>
            <w:tcW w:type="dxa" w:w="5700"/>
            <w:tcMar>
              <w:top w:type="dxa" w:w="80"/>
              <w:left w:type="dxa" w:w="100"/>
              <w:bottom w:type="dxa" w:w="80"/>
              <w:right w:type="dxa" w:w="100"/>
            </w:tcMar>
          </w:tcPr>
          <w:p>
            <w:r>
              <w:rPr>
                <w:b w:val="false"/>
                <w:bCs w:val="false"/>
                <w:color w:val="000000"/>
                <w:sz w:val="18"/>
                <w:szCs w:val="18"/>
              </w:rPr>
              <w:t xml:space="preserve">El producto se elimina; el carrito queda en $0.00.</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CA-04</w:t>
            </w:r>
          </w:p>
        </w:tc>
        <w:tc>
          <w:tcPr>
            <w:tcW w:type="dxa" w:w="2600"/>
            <w:tcMar>
              <w:top w:type="dxa" w:w="80"/>
              <w:left w:type="dxa" w:w="100"/>
              <w:bottom w:type="dxa" w:w="80"/>
              <w:right w:type="dxa" w:w="100"/>
            </w:tcMar>
          </w:tcPr>
          <w:p>
            <w:r>
              <w:rPr>
                <w:b w:val="false"/>
                <w:bCs w:val="false"/>
                <w:color w:val="000000"/>
                <w:sz w:val="18"/>
                <w:szCs w:val="18"/>
              </w:rPr>
              <w:t xml:space="preserve">Carrito vacío</w:t>
            </w:r>
          </w:p>
        </w:tc>
        <w:tc>
          <w:tcPr>
            <w:tcW w:type="dxa" w:w="5700"/>
            <w:tcMar>
              <w:top w:type="dxa" w:w="80"/>
              <w:left w:type="dxa" w:w="100"/>
              <w:bottom w:type="dxa" w:w="80"/>
              <w:right w:type="dxa" w:w="100"/>
            </w:tcMar>
          </w:tcPr>
          <w:p>
            <w:r>
              <w:rPr>
                <w:b w:val="false"/>
                <w:bCs w:val="false"/>
                <w:color w:val="000000"/>
                <w:sz w:val="18"/>
                <w:szCs w:val="18"/>
              </w:rPr>
              <w:t xml:space="preserve">Mensaje claro de carrito vacío, sin errores de cálculo.</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CA-05</w:t>
            </w:r>
          </w:p>
        </w:tc>
        <w:tc>
          <w:tcPr>
            <w:tcW w:type="dxa" w:w="2600"/>
            <w:tcMar>
              <w:top w:type="dxa" w:w="80"/>
              <w:left w:type="dxa" w:w="100"/>
              <w:bottom w:type="dxa" w:w="80"/>
              <w:right w:type="dxa" w:w="100"/>
            </w:tcMar>
          </w:tcPr>
          <w:p>
            <w:r>
              <w:rPr>
                <w:b w:val="false"/>
                <w:bCs w:val="false"/>
                <w:color w:val="000000"/>
                <w:sz w:val="18"/>
                <w:szCs w:val="18"/>
              </w:rPr>
              <w:t xml:space="preserve">Cantidad igual a cero</w:t>
            </w:r>
          </w:p>
        </w:tc>
        <w:tc>
          <w:tcPr>
            <w:tcW w:type="dxa" w:w="5700"/>
            <w:tcMar>
              <w:top w:type="dxa" w:w="80"/>
              <w:left w:type="dxa" w:w="100"/>
              <w:bottom w:type="dxa" w:w="80"/>
              <w:right w:type="dxa" w:w="100"/>
            </w:tcMar>
          </w:tcPr>
          <w:p>
            <w:r>
              <w:rPr>
                <w:b w:val="false"/>
                <w:bCs w:val="false"/>
                <w:color w:val="000000"/>
                <w:sz w:val="18"/>
                <w:szCs w:val="18"/>
              </w:rPr>
              <w:t xml:space="preserve">El sistema bloquea el valor 0, no permite llegar a ese estado.</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CA-06</w:t>
            </w:r>
          </w:p>
        </w:tc>
        <w:tc>
          <w:tcPr>
            <w:tcW w:type="dxa" w:w="2600"/>
            <w:tcMar>
              <w:top w:type="dxa" w:w="80"/>
              <w:left w:type="dxa" w:w="100"/>
              <w:bottom w:type="dxa" w:w="80"/>
              <w:right w:type="dxa" w:w="100"/>
            </w:tcMar>
          </w:tcPr>
          <w:p>
            <w:r>
              <w:rPr>
                <w:b w:val="false"/>
                <w:bCs w:val="false"/>
                <w:color w:val="000000"/>
                <w:sz w:val="18"/>
                <w:szCs w:val="18"/>
              </w:rPr>
              <w:t xml:space="preserve">Cantidad excesiva</w:t>
            </w:r>
          </w:p>
        </w:tc>
        <w:tc>
          <w:tcPr>
            <w:tcW w:type="dxa" w:w="5700"/>
            <w:tcMar>
              <w:top w:type="dxa" w:w="80"/>
              <w:left w:type="dxa" w:w="100"/>
              <w:bottom w:type="dxa" w:w="80"/>
              <w:right w:type="dxa" w:w="100"/>
            </w:tcMar>
          </w:tcPr>
          <w:p>
            <w:r>
              <w:rPr>
                <w:b w:val="false"/>
                <w:bCs w:val="false"/>
                <w:color w:val="000000"/>
                <w:sz w:val="18"/>
                <w:szCs w:val="18"/>
              </w:rPr>
              <w:t xml:space="preserve">Mensaje: "La cantidad máxima de este artículo ya está en tu carrito".</w:t>
            </w:r>
          </w:p>
        </w:tc>
        <w:tc>
          <w:tcPr>
            <w:tcW w:type="dxa" w:w="1600"/>
            <w:tcMar>
              <w:top w:type="dxa" w:w="80"/>
              <w:left w:type="dxa" w:w="100"/>
              <w:bottom w:type="dxa" w:w="80"/>
              <w:right w:type="dxa" w:w="100"/>
            </w:tcMar>
          </w:tcPr>
          <w:p>
            <w:r>
              <w:rPr>
                <w:b w:val="false"/>
                <w:bCs w:val="false"/>
                <w:color w:val="2E7D32"/>
                <w:sz w:val="18"/>
                <w:szCs w:val="18"/>
              </w:rPr>
              <w:t xml:space="preserve">Pasa</w:t>
            </w:r>
          </w:p>
        </w:tc>
      </w:tr>
    </w:tbl>
    <w:p>
      <w:pPr>
        <w:pStyle w:val="Heading2"/>
        <w:spacing w:after="100" w:before="200"/>
      </w:pPr>
      <w:r>
        <w:t xml:space="preserve">3.3 Proceso de checkout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00"/>
        <w:gridCol w:w="1600"/>
      </w:tblGrid>
      <w:tr>
        <w:trPr>
          <w:tblHeader/>
        </w:trPr>
        <w:tc>
          <w:tcPr>
            <w:tcW w:type="dxa" w:w="700"/>
            <w:shd w:fill="2E7D32" w:val="clear"/>
            <w:tcMar>
              <w:top w:type="dxa" w:w="80"/>
              <w:left w:type="dxa" w:w="100"/>
              <w:bottom w:type="dxa" w:w="80"/>
              <w:right w:type="dxa" w:w="100"/>
            </w:tcMar>
          </w:tcPr>
          <w:p>
            <w:r>
              <w:rPr>
                <w:b/>
                <w:bCs/>
                <w:color w:val="FFFFFF"/>
                <w:sz w:val="18"/>
                <w:szCs w:val="18"/>
              </w:rPr>
              <w:t xml:space="preserve">ID</w:t>
            </w:r>
          </w:p>
        </w:tc>
        <w:tc>
          <w:tcPr>
            <w:tcW w:type="dxa" w:w="2600"/>
            <w:shd w:fill="2E7D32" w:val="clear"/>
            <w:tcMar>
              <w:top w:type="dxa" w:w="80"/>
              <w:left w:type="dxa" w:w="100"/>
              <w:bottom w:type="dxa" w:w="80"/>
              <w:right w:type="dxa" w:w="100"/>
            </w:tcMar>
          </w:tcPr>
          <w:p>
            <w:r>
              <w:rPr>
                <w:b/>
                <w:bCs/>
                <w:color w:val="FFFFFF"/>
                <w:sz w:val="18"/>
                <w:szCs w:val="18"/>
              </w:rPr>
              <w:t xml:space="preserve">Título</w:t>
            </w:r>
          </w:p>
        </w:tc>
        <w:tc>
          <w:tcPr>
            <w:tcW w:type="dxa" w:w="5700"/>
            <w:shd w:fill="2E7D32" w:val="clear"/>
            <w:tcMar>
              <w:top w:type="dxa" w:w="80"/>
              <w:left w:type="dxa" w:w="100"/>
              <w:bottom w:type="dxa" w:w="80"/>
              <w:right w:type="dxa" w:w="100"/>
            </w:tcMar>
          </w:tcPr>
          <w:p>
            <w:r>
              <w:rPr>
                <w:b/>
                <w:bCs/>
                <w:color w:val="FFFFFF"/>
                <w:sz w:val="18"/>
                <w:szCs w:val="18"/>
              </w:rPr>
              <w:t xml:space="preserve">Observaciones</w:t>
            </w:r>
          </w:p>
        </w:tc>
        <w:tc>
          <w:tcPr>
            <w:tcW w:type="dxa" w:w="1600"/>
            <w:shd w:fill="2E7D32" w:val="clear"/>
            <w:tcMar>
              <w:top w:type="dxa" w:w="80"/>
              <w:left w:type="dxa" w:w="100"/>
              <w:bottom w:type="dxa" w:w="80"/>
              <w:right w:type="dxa" w:w="100"/>
            </w:tcMar>
          </w:tcPr>
          <w:p>
            <w:r>
              <w:rPr>
                <w:b/>
                <w:bCs/>
                <w:color w:val="FFFFFF"/>
                <w:sz w:val="18"/>
                <w:szCs w:val="18"/>
              </w:rPr>
              <w:t xml:space="preserve">Resultado</w:t>
            </w:r>
          </w:p>
        </w:tc>
      </w:tr>
      <w:tr>
        <w:tc>
          <w:tcPr>
            <w:tcW w:type="dxa" w:w="700"/>
            <w:tcMar>
              <w:top w:type="dxa" w:w="80"/>
              <w:left w:type="dxa" w:w="100"/>
              <w:bottom w:type="dxa" w:w="80"/>
              <w:right w:type="dxa" w:w="100"/>
            </w:tcMar>
          </w:tcPr>
          <w:p>
            <w:r>
              <w:rPr>
                <w:b w:val="false"/>
                <w:bCs w:val="false"/>
                <w:color w:val="000000"/>
                <w:sz w:val="18"/>
                <w:szCs w:val="18"/>
              </w:rPr>
              <w:t xml:space="preserve">CH-01</w:t>
            </w:r>
          </w:p>
        </w:tc>
        <w:tc>
          <w:tcPr>
            <w:tcW w:type="dxa" w:w="2600"/>
            <w:tcMar>
              <w:top w:type="dxa" w:w="80"/>
              <w:left w:type="dxa" w:w="100"/>
              <w:bottom w:type="dxa" w:w="80"/>
              <w:right w:type="dxa" w:w="100"/>
            </w:tcMar>
          </w:tcPr>
          <w:p>
            <w:r>
              <w:rPr>
                <w:b w:val="false"/>
                <w:bCs w:val="false"/>
                <w:color w:val="000000"/>
                <w:sz w:val="18"/>
                <w:szCs w:val="18"/>
              </w:rPr>
              <w:t xml:space="preserve">Iniciar checkout</w:t>
            </w:r>
          </w:p>
        </w:tc>
        <w:tc>
          <w:tcPr>
            <w:tcW w:type="dxa" w:w="5700"/>
            <w:tcMar>
              <w:top w:type="dxa" w:w="80"/>
              <w:left w:type="dxa" w:w="100"/>
              <w:bottom w:type="dxa" w:w="80"/>
              <w:right w:type="dxa" w:w="100"/>
            </w:tcMar>
          </w:tcPr>
          <w:p>
            <w:r>
              <w:rPr>
                <w:b w:val="false"/>
                <w:bCs w:val="false"/>
                <w:color w:val="000000"/>
                <w:sz w:val="18"/>
                <w:szCs w:val="18"/>
              </w:rPr>
              <w:t xml:space="preserve">Acceso correcto a la pantalla de datos de compra.</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CH-02</w:t>
            </w:r>
          </w:p>
        </w:tc>
        <w:tc>
          <w:tcPr>
            <w:tcW w:type="dxa" w:w="2600"/>
            <w:tcMar>
              <w:top w:type="dxa" w:w="80"/>
              <w:left w:type="dxa" w:w="100"/>
              <w:bottom w:type="dxa" w:w="80"/>
              <w:right w:type="dxa" w:w="100"/>
            </w:tcMar>
          </w:tcPr>
          <w:p>
            <w:r>
              <w:rPr>
                <w:b w:val="false"/>
                <w:bCs w:val="false"/>
                <w:color w:val="000000"/>
                <w:sz w:val="18"/>
                <w:szCs w:val="18"/>
              </w:rPr>
              <w:t xml:space="preserve">Completar datos de envío válidos</w:t>
            </w:r>
          </w:p>
        </w:tc>
        <w:tc>
          <w:tcPr>
            <w:tcW w:type="dxa" w:w="5700"/>
            <w:tcMar>
              <w:top w:type="dxa" w:w="80"/>
              <w:left w:type="dxa" w:w="100"/>
              <w:bottom w:type="dxa" w:w="80"/>
              <w:right w:type="dxa" w:w="100"/>
            </w:tcMar>
          </w:tcPr>
          <w:p>
            <w:r>
              <w:rPr>
                <w:b w:val="false"/>
                <w:bCs w:val="false"/>
                <w:color w:val="000000"/>
                <w:sz w:val="18"/>
                <w:szCs w:val="18"/>
              </w:rPr>
              <w:t xml:space="preserve">Ver BUG-01: Colombia no disponible; se completó con dirección de EE. UU.</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CH-03</w:t>
            </w:r>
          </w:p>
        </w:tc>
        <w:tc>
          <w:tcPr>
            <w:tcW w:type="dxa" w:w="2600"/>
            <w:tcMar>
              <w:top w:type="dxa" w:w="80"/>
              <w:left w:type="dxa" w:w="100"/>
              <w:bottom w:type="dxa" w:w="80"/>
              <w:right w:type="dxa" w:w="100"/>
            </w:tcMar>
          </w:tcPr>
          <w:p>
            <w:r>
              <w:rPr>
                <w:b w:val="false"/>
                <w:bCs w:val="false"/>
                <w:color w:val="000000"/>
                <w:sz w:val="18"/>
                <w:szCs w:val="18"/>
              </w:rPr>
              <w:t xml:space="preserve">Campos obligatorios vacíos</w:t>
            </w:r>
          </w:p>
        </w:tc>
        <w:tc>
          <w:tcPr>
            <w:tcW w:type="dxa" w:w="5700"/>
            <w:tcMar>
              <w:top w:type="dxa" w:w="80"/>
              <w:left w:type="dxa" w:w="100"/>
              <w:bottom w:type="dxa" w:w="80"/>
              <w:right w:type="dxa" w:w="100"/>
            </w:tcMar>
          </w:tcPr>
          <w:p>
            <w:r>
              <w:rPr>
                <w:b w:val="false"/>
                <w:bCs w:val="false"/>
                <w:color w:val="000000"/>
                <w:sz w:val="18"/>
                <w:szCs w:val="18"/>
              </w:rPr>
              <w:t xml:space="preserve">Campo se resalta en rojo; bloquea el avance.</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CH-04</w:t>
            </w:r>
          </w:p>
        </w:tc>
        <w:tc>
          <w:tcPr>
            <w:tcW w:type="dxa" w:w="2600"/>
            <w:tcMar>
              <w:top w:type="dxa" w:w="80"/>
              <w:left w:type="dxa" w:w="100"/>
              <w:bottom w:type="dxa" w:w="80"/>
              <w:right w:type="dxa" w:w="100"/>
            </w:tcMar>
          </w:tcPr>
          <w:p>
            <w:r>
              <w:rPr>
                <w:b w:val="false"/>
                <w:bCs w:val="false"/>
                <w:color w:val="000000"/>
                <w:sz w:val="18"/>
                <w:szCs w:val="18"/>
              </w:rPr>
              <w:t xml:space="preserve">Email con formato inválido</w:t>
            </w:r>
          </w:p>
        </w:tc>
        <w:tc>
          <w:tcPr>
            <w:tcW w:type="dxa" w:w="5700"/>
            <w:tcMar>
              <w:top w:type="dxa" w:w="80"/>
              <w:left w:type="dxa" w:w="100"/>
              <w:bottom w:type="dxa" w:w="80"/>
              <w:right w:type="dxa" w:w="100"/>
            </w:tcMar>
          </w:tcPr>
          <w:p>
            <w:r>
              <w:rPr>
                <w:b w:val="false"/>
                <w:bCs w:val="false"/>
                <w:color w:val="000000"/>
                <w:sz w:val="18"/>
                <w:szCs w:val="18"/>
              </w:rPr>
              <w:t xml:space="preserve">Sistema valida el formato y marca el campo como inválido.</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CH-05</w:t>
            </w:r>
          </w:p>
        </w:tc>
        <w:tc>
          <w:tcPr>
            <w:tcW w:type="dxa" w:w="2600"/>
            <w:tcMar>
              <w:top w:type="dxa" w:w="80"/>
              <w:left w:type="dxa" w:w="100"/>
              <w:bottom w:type="dxa" w:w="80"/>
              <w:right w:type="dxa" w:w="100"/>
            </w:tcMar>
          </w:tcPr>
          <w:p>
            <w:r>
              <w:rPr>
                <w:b w:val="false"/>
                <w:bCs w:val="false"/>
                <w:color w:val="000000"/>
                <w:sz w:val="18"/>
                <w:szCs w:val="18"/>
              </w:rPr>
              <w:t xml:space="preserve">Pago aprobado (Bogus Gateway)</w:t>
            </w:r>
          </w:p>
        </w:tc>
        <w:tc>
          <w:tcPr>
            <w:tcW w:type="dxa" w:w="5700"/>
            <w:tcMar>
              <w:top w:type="dxa" w:w="80"/>
              <w:left w:type="dxa" w:w="100"/>
              <w:bottom w:type="dxa" w:w="80"/>
              <w:right w:type="dxa" w:w="100"/>
            </w:tcMar>
          </w:tcPr>
          <w:p>
            <w:r>
              <w:rPr>
                <w:b w:val="false"/>
                <w:bCs w:val="false"/>
                <w:color w:val="000000"/>
                <w:sz w:val="18"/>
                <w:szCs w:val="18"/>
              </w:rPr>
              <w:t xml:space="preserve">Pedido confirmado #UVT7QDLJV. Total correcto: $1,025.00 USD.</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CH-06</w:t>
            </w:r>
          </w:p>
        </w:tc>
        <w:tc>
          <w:tcPr>
            <w:tcW w:type="dxa" w:w="2600"/>
            <w:tcMar>
              <w:top w:type="dxa" w:w="80"/>
              <w:left w:type="dxa" w:w="100"/>
              <w:bottom w:type="dxa" w:w="80"/>
              <w:right w:type="dxa" w:w="100"/>
            </w:tcMar>
          </w:tcPr>
          <w:p>
            <w:r>
              <w:rPr>
                <w:b w:val="false"/>
                <w:bCs w:val="false"/>
                <w:color w:val="000000"/>
                <w:sz w:val="18"/>
                <w:szCs w:val="18"/>
              </w:rPr>
              <w:t xml:space="preserve">Pago rechazado (Bogus Gateway)</w:t>
            </w:r>
          </w:p>
        </w:tc>
        <w:tc>
          <w:tcPr>
            <w:tcW w:type="dxa" w:w="5700"/>
            <w:tcMar>
              <w:top w:type="dxa" w:w="80"/>
              <w:left w:type="dxa" w:w="100"/>
              <w:bottom w:type="dxa" w:w="80"/>
              <w:right w:type="dxa" w:w="100"/>
            </w:tcMar>
          </w:tcPr>
          <w:p>
            <w:r>
              <w:rPr>
                <w:b w:val="false"/>
                <w:bCs w:val="false"/>
                <w:color w:val="000000"/>
                <w:sz w:val="18"/>
                <w:szCs w:val="18"/>
              </w:rPr>
              <w:t xml:space="preserve">Mensaje de error de pago mostrado; permite reintentar.</w:t>
            </w:r>
          </w:p>
        </w:tc>
        <w:tc>
          <w:tcPr>
            <w:tcW w:type="dxa" w:w="1600"/>
            <w:tcMar>
              <w:top w:type="dxa" w:w="80"/>
              <w:left w:type="dxa" w:w="100"/>
              <w:bottom w:type="dxa" w:w="80"/>
              <w:right w:type="dxa" w:w="100"/>
            </w:tcMar>
          </w:tcPr>
          <w:p>
            <w:r>
              <w:rPr>
                <w:b w:val="false"/>
                <w:bCs w:val="false"/>
                <w:color w:val="2E7D32"/>
                <w:sz w:val="18"/>
                <w:szCs w:val="18"/>
              </w:rPr>
              <w:t xml:space="preserve">Pasa</w:t>
            </w:r>
          </w:p>
        </w:tc>
      </w:tr>
      <w:tr>
        <w:tc>
          <w:tcPr>
            <w:tcW w:type="dxa" w:w="700"/>
            <w:tcMar>
              <w:top w:type="dxa" w:w="80"/>
              <w:left w:type="dxa" w:w="100"/>
              <w:bottom w:type="dxa" w:w="80"/>
              <w:right w:type="dxa" w:w="100"/>
            </w:tcMar>
          </w:tcPr>
          <w:p>
            <w:r>
              <w:rPr>
                <w:b w:val="false"/>
                <w:bCs w:val="false"/>
                <w:color w:val="000000"/>
                <w:sz w:val="18"/>
                <w:szCs w:val="18"/>
              </w:rPr>
              <w:t xml:space="preserve">CH-07</w:t>
            </w:r>
          </w:p>
        </w:tc>
        <w:tc>
          <w:tcPr>
            <w:tcW w:type="dxa" w:w="2600"/>
            <w:tcMar>
              <w:top w:type="dxa" w:w="80"/>
              <w:left w:type="dxa" w:w="100"/>
              <w:bottom w:type="dxa" w:w="80"/>
              <w:right w:type="dxa" w:w="100"/>
            </w:tcMar>
          </w:tcPr>
          <w:p>
            <w:r>
              <w:rPr>
                <w:b w:val="false"/>
                <w:bCs w:val="false"/>
                <w:color w:val="000000"/>
                <w:sz w:val="18"/>
                <w:szCs w:val="18"/>
              </w:rPr>
              <w:t xml:space="preserve">Regresar del checkout al carrito</w:t>
            </w:r>
          </w:p>
        </w:tc>
        <w:tc>
          <w:tcPr>
            <w:tcW w:type="dxa" w:w="5700"/>
            <w:tcMar>
              <w:top w:type="dxa" w:w="80"/>
              <w:left w:type="dxa" w:w="100"/>
              <w:bottom w:type="dxa" w:w="80"/>
              <w:right w:type="dxa" w:w="100"/>
            </w:tcMar>
          </w:tcPr>
          <w:p>
            <w:r>
              <w:rPr>
                <w:b w:val="false"/>
                <w:bCs w:val="false"/>
                <w:color w:val="000000"/>
                <w:sz w:val="18"/>
                <w:szCs w:val="18"/>
              </w:rPr>
              <w:t xml:space="preserve">Carrito conserva el producto. Ver UX-02: no hay enlace interno "volver".</w:t>
            </w:r>
          </w:p>
        </w:tc>
        <w:tc>
          <w:tcPr>
            <w:tcW w:type="dxa" w:w="1600"/>
            <w:tcMar>
              <w:top w:type="dxa" w:w="80"/>
              <w:left w:type="dxa" w:w="100"/>
              <w:bottom w:type="dxa" w:w="80"/>
              <w:right w:type="dxa" w:w="100"/>
            </w:tcMar>
          </w:tcPr>
          <w:p>
            <w:r>
              <w:rPr>
                <w:b w:val="false"/>
                <w:bCs w:val="false"/>
                <w:color w:val="2E7D32"/>
                <w:sz w:val="18"/>
                <w:szCs w:val="18"/>
              </w:rPr>
              <w:t xml:space="preserve">Pasa</w:t>
            </w:r>
          </w:p>
        </w:tc>
      </w:tr>
    </w:tbl>
    <w:p>
      <w:pPr>
        <w:pStyle w:val="Heading1"/>
        <w:spacing w:after="150" w:before="300"/>
      </w:pPr>
      <w:r>
        <w:t xml:space="preserve">4. Hallazgos adicionales</w:t>
      </w:r>
    </w:p>
    <w:p>
      <w:pPr>
        <w:spacing w:after="120"/>
      </w:pPr>
      <w:r>
        <w:t xml:space="preserve">Los siguientes hallazgos no impidieron completar los casos de prueba, pero se documentan como observaciones relevantes de configuración y experiencia de usuario: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200"/>
        <w:gridCol w:w="1400"/>
        <w:gridCol w:w="1400"/>
      </w:tblGrid>
      <w:tr>
        <w:trPr>
          <w:tblHeader/>
        </w:trPr>
        <w:tc>
          <w:tcPr>
            <w:tcW w:type="dxa" w:w="1200"/>
            <w:shd w:fill="2E7D32" w:val="clear"/>
            <w:tcMar>
              <w:top w:type="dxa" w:w="80"/>
              <w:left w:type="dxa" w:w="100"/>
              <w:bottom w:type="dxa" w:w="80"/>
              <w:right w:type="dxa" w:w="100"/>
            </w:tcMar>
          </w:tcPr>
          <w:p>
            <w:r>
              <w:rPr>
                <w:b/>
                <w:bCs/>
                <w:color w:val="FFFFFF"/>
                <w:sz w:val="18"/>
                <w:szCs w:val="18"/>
              </w:rPr>
              <w:t xml:space="preserve">ID</w:t>
            </w:r>
          </w:p>
        </w:tc>
        <w:tc>
          <w:tcPr>
            <w:tcW w:type="dxa" w:w="2400"/>
            <w:shd w:fill="2E7D32" w:val="clear"/>
            <w:tcMar>
              <w:top w:type="dxa" w:w="80"/>
              <w:left w:type="dxa" w:w="100"/>
              <w:bottom w:type="dxa" w:w="80"/>
              <w:right w:type="dxa" w:w="100"/>
            </w:tcMar>
          </w:tcPr>
          <w:p>
            <w:r>
              <w:rPr>
                <w:b/>
                <w:bCs/>
                <w:color w:val="FFFFFF"/>
                <w:sz w:val="18"/>
                <w:szCs w:val="18"/>
              </w:rPr>
              <w:t xml:space="preserve">Título</w:t>
            </w:r>
          </w:p>
        </w:tc>
        <w:tc>
          <w:tcPr>
            <w:tcW w:type="dxa" w:w="4200"/>
            <w:shd w:fill="2E7D32" w:val="clear"/>
            <w:tcMar>
              <w:top w:type="dxa" w:w="80"/>
              <w:left w:type="dxa" w:w="100"/>
              <w:bottom w:type="dxa" w:w="80"/>
              <w:right w:type="dxa" w:w="100"/>
            </w:tcMar>
          </w:tcPr>
          <w:p>
            <w:r>
              <w:rPr>
                <w:b/>
                <w:bCs/>
                <w:color w:val="FFFFFF"/>
                <w:sz w:val="18"/>
                <w:szCs w:val="18"/>
              </w:rPr>
              <w:t xml:space="preserve">Descripción</w:t>
            </w:r>
          </w:p>
        </w:tc>
        <w:tc>
          <w:tcPr>
            <w:tcW w:type="dxa" w:w="1400"/>
            <w:shd w:fill="2E7D32" w:val="clear"/>
            <w:tcMar>
              <w:top w:type="dxa" w:w="80"/>
              <w:left w:type="dxa" w:w="100"/>
              <w:bottom w:type="dxa" w:w="80"/>
              <w:right w:type="dxa" w:w="100"/>
            </w:tcMar>
          </w:tcPr>
          <w:p>
            <w:r>
              <w:rPr>
                <w:b/>
                <w:bCs/>
                <w:color w:val="FFFFFF"/>
                <w:sz w:val="18"/>
                <w:szCs w:val="18"/>
              </w:rPr>
              <w:t xml:space="preserve">Severidad</w:t>
            </w:r>
          </w:p>
        </w:tc>
        <w:tc>
          <w:tcPr>
            <w:tcW w:type="dxa" w:w="1400"/>
            <w:shd w:fill="2E7D32" w:val="clear"/>
            <w:tcMar>
              <w:top w:type="dxa" w:w="80"/>
              <w:left w:type="dxa" w:w="100"/>
              <w:bottom w:type="dxa" w:w="80"/>
              <w:right w:type="dxa" w:w="100"/>
            </w:tcMar>
          </w:tcPr>
          <w:p>
            <w:r>
              <w:rPr>
                <w:b/>
                <w:bCs/>
                <w:color w:val="FFFFFF"/>
                <w:sz w:val="18"/>
                <w:szCs w:val="18"/>
              </w:rPr>
              <w:t xml:space="preserve">Tipo</w:t>
            </w:r>
          </w:p>
        </w:tc>
      </w:tr>
      <w:tr>
        <w:tc>
          <w:tcPr>
            <w:tcW w:type="dxa" w:w="1200"/>
            <w:tcMar>
              <w:top w:type="dxa" w:w="80"/>
              <w:left w:type="dxa" w:w="100"/>
              <w:bottom w:type="dxa" w:w="80"/>
              <w:right w:type="dxa" w:w="100"/>
            </w:tcMar>
          </w:tcPr>
          <w:p>
            <w:r>
              <w:rPr>
                <w:b w:val="false"/>
                <w:bCs w:val="false"/>
                <w:color w:val="000000"/>
                <w:sz w:val="18"/>
                <w:szCs w:val="18"/>
              </w:rPr>
              <w:t xml:space="preserve">BUG-01</w:t>
            </w:r>
          </w:p>
        </w:tc>
        <w:tc>
          <w:tcPr>
            <w:tcW w:type="dxa" w:w="2400"/>
            <w:tcMar>
              <w:top w:type="dxa" w:w="80"/>
              <w:left w:type="dxa" w:w="100"/>
              <w:bottom w:type="dxa" w:w="80"/>
              <w:right w:type="dxa" w:w="100"/>
            </w:tcMar>
          </w:tcPr>
          <w:p>
            <w:r>
              <w:rPr>
                <w:b w:val="false"/>
                <w:bCs w:val="false"/>
                <w:color w:val="000000"/>
                <w:sz w:val="18"/>
                <w:szCs w:val="18"/>
              </w:rPr>
              <w:t xml:space="preserve">Colombia no disponible como país de envío</w:t>
            </w:r>
          </w:p>
        </w:tc>
        <w:tc>
          <w:tcPr>
            <w:tcW w:type="dxa" w:w="4200"/>
            <w:tcMar>
              <w:top w:type="dxa" w:w="80"/>
              <w:left w:type="dxa" w:w="100"/>
              <w:bottom w:type="dxa" w:w="80"/>
              <w:right w:type="dxa" w:w="100"/>
            </w:tcMar>
          </w:tcPr>
          <w:p>
            <w:r>
              <w:rPr>
                <w:b w:val="false"/>
                <w:bCs w:val="false"/>
                <w:color w:val="000000"/>
                <w:sz w:val="18"/>
                <w:szCs w:val="18"/>
              </w:rPr>
              <w:t xml:space="preserve">La tienda de desarrollo no tiene a Colombia habilitada como destino de envío en la configuración de Mercados (Markets). Esto bloqueó completar CH-02 con datos de un cliente colombiano y obligó a usar una dirección de Estados Unidos para continuar la prueba.</w:t>
            </w:r>
          </w:p>
        </w:tc>
        <w:tc>
          <w:tcPr>
            <w:tcW w:type="dxa" w:w="1400"/>
            <w:tcMar>
              <w:top w:type="dxa" w:w="80"/>
              <w:left w:type="dxa" w:w="100"/>
              <w:bottom w:type="dxa" w:w="80"/>
              <w:right w:type="dxa" w:w="100"/>
            </w:tcMar>
          </w:tcPr>
          <w:p>
            <w:r>
              <w:rPr>
                <w:b w:val="false"/>
                <w:bCs w:val="false"/>
                <w:color w:val="000000"/>
                <w:sz w:val="18"/>
                <w:szCs w:val="18"/>
              </w:rPr>
              <w:t xml:space="preserve">Media</w:t>
            </w:r>
          </w:p>
        </w:tc>
        <w:tc>
          <w:tcPr>
            <w:tcW w:type="dxa" w:w="1400"/>
            <w:tcMar>
              <w:top w:type="dxa" w:w="80"/>
              <w:left w:type="dxa" w:w="100"/>
              <w:bottom w:type="dxa" w:w="80"/>
              <w:right w:type="dxa" w:w="100"/>
            </w:tcMar>
          </w:tcPr>
          <w:p>
            <w:r>
              <w:rPr>
                <w:b w:val="false"/>
                <w:bCs w:val="false"/>
                <w:color w:val="000000"/>
                <w:sz w:val="18"/>
                <w:szCs w:val="18"/>
              </w:rPr>
              <w:t xml:space="preserve">Configuración</w:t>
            </w:r>
          </w:p>
        </w:tc>
      </w:tr>
      <w:tr>
        <w:tc>
          <w:tcPr>
            <w:tcW w:type="dxa" w:w="1200"/>
            <w:tcMar>
              <w:top w:type="dxa" w:w="80"/>
              <w:left w:type="dxa" w:w="100"/>
              <w:bottom w:type="dxa" w:w="80"/>
              <w:right w:type="dxa" w:w="100"/>
            </w:tcMar>
          </w:tcPr>
          <w:p>
            <w:r>
              <w:rPr>
                <w:b w:val="false"/>
                <w:bCs w:val="false"/>
                <w:color w:val="000000"/>
                <w:sz w:val="18"/>
                <w:szCs w:val="18"/>
              </w:rPr>
              <w:t xml:space="preserve">UX-01</w:t>
            </w:r>
          </w:p>
        </w:tc>
        <w:tc>
          <w:tcPr>
            <w:tcW w:type="dxa" w:w="2400"/>
            <w:tcMar>
              <w:top w:type="dxa" w:w="80"/>
              <w:left w:type="dxa" w:w="100"/>
              <w:bottom w:type="dxa" w:w="80"/>
              <w:right w:type="dxa" w:w="100"/>
            </w:tcMar>
          </w:tcPr>
          <w:p>
            <w:r>
              <w:rPr>
                <w:b w:val="false"/>
                <w:bCs w:val="false"/>
                <w:color w:val="000000"/>
                <w:sz w:val="18"/>
                <w:szCs w:val="18"/>
              </w:rPr>
              <w:t xml:space="preserve">Búsqueda vacía sin feedback</w:t>
            </w:r>
          </w:p>
        </w:tc>
        <w:tc>
          <w:tcPr>
            <w:tcW w:type="dxa" w:w="4200"/>
            <w:tcMar>
              <w:top w:type="dxa" w:w="80"/>
              <w:left w:type="dxa" w:w="100"/>
              <w:bottom w:type="dxa" w:w="80"/>
              <w:right w:type="dxa" w:w="100"/>
            </w:tcMar>
          </w:tcPr>
          <w:p>
            <w:r>
              <w:rPr>
                <w:b w:val="false"/>
                <w:bCs w:val="false"/>
                <w:color w:val="000000"/>
                <w:sz w:val="18"/>
                <w:szCs w:val="18"/>
              </w:rPr>
              <w:t xml:space="preserve">Al presionar el botón de búsqueda sin escribir ningún término, el sistema no reacciona visualmente ni informa al usuario. No rompe nada, pero puede dar la impresión de que el buscador no funciona.</w:t>
            </w:r>
          </w:p>
        </w:tc>
        <w:tc>
          <w:tcPr>
            <w:tcW w:type="dxa" w:w="1400"/>
            <w:tcMar>
              <w:top w:type="dxa" w:w="80"/>
              <w:left w:type="dxa" w:w="100"/>
              <w:bottom w:type="dxa" w:w="80"/>
              <w:right w:type="dxa" w:w="100"/>
            </w:tcMar>
          </w:tcPr>
          <w:p>
            <w:r>
              <w:rPr>
                <w:b w:val="false"/>
                <w:bCs w:val="false"/>
                <w:color w:val="000000"/>
                <w:sz w:val="18"/>
                <w:szCs w:val="18"/>
              </w:rPr>
              <w:t xml:space="preserve">Baja</w:t>
            </w:r>
          </w:p>
        </w:tc>
        <w:tc>
          <w:tcPr>
            <w:tcW w:type="dxa" w:w="1400"/>
            <w:tcMar>
              <w:top w:type="dxa" w:w="80"/>
              <w:left w:type="dxa" w:w="100"/>
              <w:bottom w:type="dxa" w:w="80"/>
              <w:right w:type="dxa" w:w="100"/>
            </w:tcMar>
          </w:tcPr>
          <w:p>
            <w:r>
              <w:rPr>
                <w:b w:val="false"/>
                <w:bCs w:val="false"/>
                <w:color w:val="000000"/>
                <w:sz w:val="18"/>
                <w:szCs w:val="18"/>
              </w:rPr>
              <w:t xml:space="preserve">UX</w:t>
            </w:r>
          </w:p>
        </w:tc>
      </w:tr>
      <w:tr>
        <w:tc>
          <w:tcPr>
            <w:tcW w:type="dxa" w:w="1200"/>
            <w:tcMar>
              <w:top w:type="dxa" w:w="80"/>
              <w:left w:type="dxa" w:w="100"/>
              <w:bottom w:type="dxa" w:w="80"/>
              <w:right w:type="dxa" w:w="100"/>
            </w:tcMar>
          </w:tcPr>
          <w:p>
            <w:r>
              <w:rPr>
                <w:b w:val="false"/>
                <w:bCs w:val="false"/>
                <w:color w:val="000000"/>
                <w:sz w:val="18"/>
                <w:szCs w:val="18"/>
              </w:rPr>
              <w:t xml:space="preserve">UX-02</w:t>
            </w:r>
          </w:p>
        </w:tc>
        <w:tc>
          <w:tcPr>
            <w:tcW w:type="dxa" w:w="2400"/>
            <w:tcMar>
              <w:top w:type="dxa" w:w="80"/>
              <w:left w:type="dxa" w:w="100"/>
              <w:bottom w:type="dxa" w:w="80"/>
              <w:right w:type="dxa" w:w="100"/>
            </w:tcMar>
          </w:tcPr>
          <w:p>
            <w:r>
              <w:rPr>
                <w:b w:val="false"/>
                <w:bCs w:val="false"/>
                <w:color w:val="000000"/>
                <w:sz w:val="18"/>
                <w:szCs w:val="18"/>
              </w:rPr>
              <w:t xml:space="preserve">Sin enlace interno para volver al carrito</w:t>
            </w:r>
          </w:p>
        </w:tc>
        <w:tc>
          <w:tcPr>
            <w:tcW w:type="dxa" w:w="4200"/>
            <w:tcMar>
              <w:top w:type="dxa" w:w="80"/>
              <w:left w:type="dxa" w:w="100"/>
              <w:bottom w:type="dxa" w:w="80"/>
              <w:right w:type="dxa" w:w="100"/>
            </w:tcMar>
          </w:tcPr>
          <w:p>
            <w:r>
              <w:rPr>
                <w:b w:val="false"/>
                <w:bCs w:val="false"/>
                <w:color w:val="000000"/>
                <w:sz w:val="18"/>
                <w:szCs w:val="18"/>
              </w:rPr>
              <w:t xml:space="preserve">El checkout no ofrece un botón o enlace propio para regresar al carrito; el usuario depende del botón "atrás" del navegador. Funciona correctamente (los datos se conservan), pero no es evidente para todos los usuarios.</w:t>
            </w:r>
          </w:p>
        </w:tc>
        <w:tc>
          <w:tcPr>
            <w:tcW w:type="dxa" w:w="1400"/>
            <w:tcMar>
              <w:top w:type="dxa" w:w="80"/>
              <w:left w:type="dxa" w:w="100"/>
              <w:bottom w:type="dxa" w:w="80"/>
              <w:right w:type="dxa" w:w="100"/>
            </w:tcMar>
          </w:tcPr>
          <w:p>
            <w:r>
              <w:rPr>
                <w:b w:val="false"/>
                <w:bCs w:val="false"/>
                <w:color w:val="000000"/>
                <w:sz w:val="18"/>
                <w:szCs w:val="18"/>
              </w:rPr>
              <w:t xml:space="preserve">Baja</w:t>
            </w:r>
          </w:p>
        </w:tc>
        <w:tc>
          <w:tcPr>
            <w:tcW w:type="dxa" w:w="1400"/>
            <w:tcMar>
              <w:top w:type="dxa" w:w="80"/>
              <w:left w:type="dxa" w:w="100"/>
              <w:bottom w:type="dxa" w:w="80"/>
              <w:right w:type="dxa" w:w="100"/>
            </w:tcMar>
          </w:tcPr>
          <w:p>
            <w:r>
              <w:rPr>
                <w:b w:val="false"/>
                <w:bCs w:val="false"/>
                <w:color w:val="000000"/>
                <w:sz w:val="18"/>
                <w:szCs w:val="18"/>
              </w:rPr>
              <w:t xml:space="preserve">UX</w:t>
            </w:r>
          </w:p>
        </w:tc>
      </w:tr>
    </w:tbl>
    <w:p>
      <w:pPr>
        <w:pStyle w:val="Heading1"/>
        <w:spacing w:after="150" w:before="300"/>
      </w:pPr>
      <w:r>
        <w:t xml:space="preserve">5. Conclusión</w:t>
      </w:r>
    </w:p>
    <w:p>
      <w:pPr>
        <w:spacing w:after="120"/>
      </w:pPr>
      <w:r>
        <w:t xml:space="preserve">La tienda evaluada muestra un comportamiento sólido y consistente en sus flujos principales de catálogo, carrito y checkout, con validaciones correctas de datos, cálculos precisos y manejo adecuado de errores. Los hallazgos reportados son de severidad baja a media y no representan bloqueos críticos para la operación de la tienda. Se recomienda revisar la configuración de Mercados para habilitar Colombia como destino de envío si la tienda está orientada a ese mercado, y considerar mejoras menores de UX en el buscador y la navegación del checkout.</w:t>
      </w:r>
    </w:p>
    <w:p>
      <w:pPr>
        <w:spacing w:before="400"/>
      </w:pPr>
      <w:r>
        <w:rPr>
          <w:i/>
          <w:iCs/>
          <w:color w:val="595959"/>
          <w:sz w:val="20"/>
          <w:szCs w:val="20"/>
        </w:rPr>
        <w:t xml:space="preserve">Andrea Rivera Amador — QA Engineer Jr.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2026-08-25T20:52:55.915Z</dcterms:created>
  <dcterms:modified xsi:type="dcterms:W3CDTF">2026-08-25T20:52:55.928Z</dcterms:modified>
</cp:coreProperties>
</file>

<file path=docProps/custom.xml><?xml version="1.0" encoding="utf-8"?>
<Properties xmlns="http://schemas.openxmlformats.org/officeDocument/2006/custom-properties" xmlns:vt="http://schemas.openxmlformats.org/officeDocument/2006/docPropsVTypes"/>
</file>