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senador_name senador_last_name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varias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662/000056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Gobierno a desarrollar la Estrategia Nacional de Inteligencia Artificial.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Enmienda 1 de Adición</w:t>
        <w:br/>
        <w:t>Se propone la adición de un nuevo punto redactado de la siguiente manera:</w:t>
        <w:br/>
        <w:t>5. Explorar e incorporar las distintas aplicaciones que pueda tener la IA con respecto a los procesos democráticos, acceso a la información, educación, formación, prevención del delito y sistema judicial penal.</w:t>
        <w:br/>
        <w:br/>
        <w:t>Enmienda 2 de Adición</w:t>
        <w:br/>
        <w:t>Se propone la adición de un nuevo punto redactado de la siguiente manera:</w:t>
        <w:br/>
        <w:t xml:space="preserve">6. Garantizar que el desarrollo y la implementación de la IA se asienten sobre los principios de transparencia, seguridad y estricto respeto a los valores y derechos fundamentales, especialmente: la dignidad humana y la protección de la privacidad. </w:t>
        <w:br/>
        <w:br/>
        <w:t>Enmienda 3 de Adición</w:t>
        <w:br/>
        <w:t>Se propone la adición de un nuevo punto redactado de la siguiente manera:</w:t>
        <w:br/>
        <w:t>7.Establecer un marco jurídico claro y garantista en materia de responsabilidad civil que otorgue a los consumidores y ciudadanos destinatarios de la IA una protección reforzada.&gt;&gt;</w:t>
        <w:br/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22/03/2021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