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senador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enmiendas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exp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mocion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fecha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