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line="480"/>
        <w:jc w:val="center"/>
      </w:pPr>
      <w:r>
        <w:rPr>
          <w:b/>
          <w:bCs/>
        </w:rPr>
        <w:t xml:space="preserve">Estado de flujo de efectivo proyectado de una empresa manufacturera según la NIC 7</w:t>
      </w:r>
    </w:p>
    <w:p>
      <w:pPr>
        <w:spacing w:line="480"/>
      </w:pPr>
    </w:p>
    <w:p>
      <w:pPr>
        <w:spacing w:line="480"/>
        <w:jc w:val="center"/>
      </w:pPr>
      <w:r>
        <w:t xml:space="preserve">Tatiana María Ariza Pacheco</w:t>
      </w:r>
    </w:p>
    <w:p>
      <w:pPr>
        <w:spacing w:line="480"/>
        <w:jc w:val="center"/>
      </w:pPr>
      <w:r>
        <w:t xml:space="preserve">Corporación Universitaria Americana</w:t>
      </w:r>
    </w:p>
    <w:p>
      <w:pPr>
        <w:spacing w:line="480"/>
        <w:jc w:val="center"/>
      </w:pPr>
      <w:r>
        <w:t xml:space="preserve">Registro de Operaciones Contables I – Unidad 3: Presentación de estados financieros</w:t>
      </w:r>
    </w:p>
    <w:p>
      <w:pPr>
        <w:spacing w:line="480"/>
        <w:jc w:val="center"/>
      </w:pPr>
      <w:r>
        <w:rPr>
          <w:highlight w:val="yellow"/>
          <w:highlightCs w:val="yellow"/>
        </w:rPr>
        <w:t xml:space="preserve">Nombre del docente</w:t>
      </w:r>
    </w:p>
    <w:p>
      <w:pPr>
        <w:spacing w:line="480"/>
        <w:jc w:val="center"/>
      </w:pPr>
      <w:r>
        <w:t xml:space="preserve">21 de septiembre de 2026</w:t>
      </w:r>
    </w:p>
    <w:p>
      <w:pPr>
        <w:spacing w:line="480"/>
        <w:jc w:val="center"/>
      </w:pPr>
      <w:r>
        <w:t xml:space="preserve">[ROC1][Avanzado][21092026][ArizaPacheco]</w:t>
      </w:r>
    </w:p>
    <w:p>
      <w:r>
        <w:br w:type="page"/>
      </w:r>
    </w:p>
    <w:p>
      <w:pPr>
        <w:pStyle w:val="Heading1"/>
      </w:pPr>
      <w:r>
        <w:t xml:space="preserve">Resumen ejecutivo</w:t>
      </w:r>
    </w:p>
    <w:p>
      <w:pPr>
        <w:spacing w:line="480"/>
        <w:ind w:firstLine="720"/>
        <w:jc w:val="both"/>
      </w:pPr>
      <w:r>
        <w:t xml:space="preserve">Este informe presenta la proyección del estado de flujos de efectivo del Año 1 de Manufacturas Técnicas del Caribe S.A.S., una empresa manufacturera ilustrativa de nivel técnico, elaborada conforme a la NIC 7 Estado de Flujos de Efectivo. Se partió de los estados financieros históricos de los Años −1 y 0, se calcularon los ratios de liquidez, se definieron supuestos cuantitativos justificados y se construyó el flujo por el método indirecto, conciliado con el método directo. El modelo proyecta un flujo de operación de COP 2.445 millones, una inversión de COP 1.200 millones en renovación de maquinaria y un flujo de financiación de −COP 1.169 millones, con lo cual el efectivo final aumenta de COP 1.450 a COP 1.527 millones. Todos los controles de cuadre del modelo resultaron correctos. Las cifras del caso son ilustrativas y se expresan en millones de pesos colombianos (COP).</w:t>
      </w:r>
    </w:p>
    <w:p>
      <w:pPr>
        <w:pStyle w:val="Heading1"/>
      </w:pPr>
      <w:r>
        <w:t xml:space="preserve">Introducción</w:t>
      </w:r>
    </w:p>
    <w:p>
      <w:pPr>
        <w:spacing w:line="480"/>
        <w:ind w:firstLine="720"/>
        <w:jc w:val="both"/>
      </w:pPr>
      <w:r>
        <w:t xml:space="preserve">El estado de flujos de efectivo responde una pregunta que el estado de resultados no contesta: de dónde provino el dinero de la entidad y en qué se utilizó. Una empresa puede ser rentable y aun así enfrentar tensiones de caja por el crecimiento de la cartera, la acumulación de inventarios o el pago de deuda. Por eso proyectar el flujo de efectivo es una herramienta central de la gestión financiera y de las decisiones de inversión y financiación (IFRS Foundation, s. f.-a).</w:t>
      </w:r>
    </w:p>
    <w:p>
      <w:pPr>
        <w:spacing w:line="480"/>
        <w:ind w:firstLine="720"/>
        <w:jc w:val="both"/>
      </w:pPr>
      <w:r>
        <w:t xml:space="preserve">El objetivo de este trabajo es elaborar un estado de flujo de efectivo proyectado para el próximo año fiscal de una empresa manufacturera, aplicando la NIC 7 y justificando cada supuesto. El alcance abarca el análisis de los estados financieros históricos y sus ratios de liquidez, la identificación de las partidas relevantes, la selección del método de presentación, el diseño de los supuestos, la construcción del modelo en Excel, su validación y una reflexión crítica.</w:t>
      </w:r>
    </w:p>
    <w:p>
      <w:pPr>
        <w:spacing w:line="480"/>
        <w:ind w:firstLine="720"/>
        <w:jc w:val="both"/>
      </w:pPr>
      <w:r>
        <w:t xml:space="preserve">Los estados financieros utilizados corresponden a un caso ilustrativo construido para este ejercicio académico; no representan a una empresa real. Las cifras se presentan en millones de pesos colombianos (COP) y los períodos se denominan Año −1 y Año 0 (históricos) y Año 1 (proyectado). En Colombia, las entidades del Grupo 1 aplican las NIIF plenas, incluida la NIC 7, mientras que las del Grupo 2 aplican la NIIF para las PYMES, cuya Sección 7 conserva la misma lógica de clasificación (Congreso de Colombia, 2009; IFRS Foundation, s. f.-b; Ministerio de Comercio, Industria y Turismo, 2015). Como la guía del reto exige la NIC 7, el caso se trata como una entidad que aplica NIIF plenas.</w:t>
      </w:r>
    </w:p>
    <w:p>
      <w:pPr>
        <w:pStyle w:val="Heading1"/>
      </w:pPr>
      <w:r>
        <w:t xml:space="preserve">Caso de estudio y análisis de los estados financieros históricos</w:t>
      </w:r>
    </w:p>
    <w:p>
      <w:pPr>
        <w:pStyle w:val="Heading2"/>
      </w:pPr>
      <w:r>
        <w:t xml:space="preserve">Descripción de la empresa</w:t>
      </w:r>
    </w:p>
    <w:p>
      <w:pPr>
        <w:spacing w:line="480"/>
        <w:ind w:firstLine="720"/>
        <w:jc w:val="both"/>
      </w:pPr>
      <w:r>
        <w:t xml:space="preserve">Manufacturas Técnicas del Caribe S.A.S. es una empresa manufacturera de nivel técnico que fabrica componentes metalmecánicos de precisión para clientes industriales. Vende a crédito con un plazo cercano a 60 días, mantiene inventarios de materia prima y producto terminado, paga a sus proveedores en unos 58 días y financia parte de su operación con deuda bancaria de corto y largo plazo. Su planta opera cerca de la capacidad instalada y requiere renovar maquinaria de forma periódica. Estas características hacen que el capital de trabajo y la inversión en activos fijos sean los principales determinantes de su flujo de efectivo.</w:t>
      </w:r>
    </w:p>
    <w:p>
      <w:pPr>
        <w:pStyle w:val="Heading2"/>
      </w:pPr>
      <w:r>
        <w:t xml:space="preserve">Evolución de resultados y estructura financiera</w:t>
      </w:r>
    </w:p>
    <w:p>
      <w:pPr>
        <w:spacing w:line="480"/>
        <w:ind w:firstLine="720"/>
        <w:jc w:val="both"/>
      </w:pPr>
      <w:r>
        <w:t xml:space="preserve">Entre el Año −1 y el Año 0 las ventas netas crecieron 10,0 %, al pasar de COP 18.400 a 20.240 millones. La utilidad operacional aumentó de 2.320 a 2.775 millones y la utilidad neta de 1.261 a 1.537 millones, de modo que el margen neto mejoró de 6,9 % a 7,6 %. En el balance, el activo total se mantuvo estable en torno a 17.600 millones, la deuda financiera bajó de 6.000 a 5.000 millones por la amortización pactada y el patrimonio subió de 8.963 a 9.800 millones. La Tabla 1 resume estas cifras.</w:t>
      </w:r>
    </w:p>
    <w:p>
      <w:pPr>
        <w:keepNext/>
        <w:spacing w:before="200" w:line="240"/>
      </w:pPr>
      <w:r>
        <w:rPr>
          <w:b/>
          <w:bCs/>
        </w:rPr>
        <w:t xml:space="preserve">Tabla 1</w:t>
      </w:r>
    </w:p>
    <w:p>
      <w:pPr>
        <w:keepNext/>
        <w:spacing w:after="80" w:line="240"/>
      </w:pPr>
      <w:r>
        <w:rPr>
          <w:i/>
          <w:iCs/>
        </w:rPr>
        <w:t xml:space="preserve">Resumen de los estados financieros históricos (millones de COP)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560"/>
        <w:gridCol w:w="2400"/>
        <w:gridCol w:w="2400"/>
      </w:tblGrid>
      <w:tr>
        <w:trPr>
          <w:tblHeader/>
        </w:trPr>
        <w:tc>
          <w:tcPr>
            <w:tcW w:type="dxa" w:w="45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Concepto</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w:t>
            </w:r>
          </w:p>
        </w:tc>
        <w:tc>
          <w:tcPr>
            <w:tcW w:type="dxa" w:w="24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netas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18.400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20.240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Utilidad operacional</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2.320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2.775</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Utilidad neta</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1.261</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1.537</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Efectivo y equivalentes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1.523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1.450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Cuentas por cobrar</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3.000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3.300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Inventarios</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2.900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3.100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Propiedades, planta y equipo (neto)</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9.600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Total activo</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17.603</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17.650</w:t>
            </w:r>
          </w:p>
        </w:tc>
      </w:tr>
      <w:tr>
        <w:tc>
          <w:tcPr>
            <w:tcW w:type="dxa" w:w="45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Total pasivo</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8.640</w:t>
            </w: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7.850</w:t>
            </w:r>
          </w:p>
        </w:tc>
      </w:tr>
      <w:tr>
        <w:tc>
          <w:tcPr>
            <w:tcW w:type="dxa" w:w="45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Total patrimonio</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8.963</w:t>
            </w:r>
          </w:p>
        </w:tc>
        <w:tc>
          <w:tcPr>
            <w:tcW w:type="dxa" w:w="24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9.800</w:t>
            </w:r>
          </w:p>
        </w:tc>
      </w:tr>
    </w:tbl>
    <w:p>
      <w:pPr>
        <w:spacing w:after="240" w:before="60" w:line="240"/>
      </w:pPr>
      <w:r>
        <w:rPr>
          <w:i/>
          <w:iCs/>
          <w:sz w:val="20"/>
          <w:szCs w:val="20"/>
        </w:rPr>
        <w:t xml:space="preserve">Nota.</w:t>
      </w:r>
      <w:r>
        <w:rPr>
          <w:sz w:val="20"/>
          <w:szCs w:val="20"/>
        </w:rPr>
        <w:t xml:space="preserve"> Datos ilustrativos. Fuente: hoja Historicos de FlujoProyectado.xlsx.</w:t>
      </w:r>
    </w:p>
    <w:p>
      <w:pPr>
        <w:pStyle w:val="Heading2"/>
      </w:pPr>
      <w:r>
        <w:t xml:space="preserve">Ratios de liquidez y diagnóstico</w:t>
      </w:r>
    </w:p>
    <w:p>
      <w:pPr>
        <w:spacing w:line="480"/>
        <w:ind w:firstLine="720"/>
        <w:jc w:val="both"/>
      </w:pPr>
      <w:r>
        <w:t xml:space="preserve">La Tabla 2 presenta los ratios calculados en la hoja Ratios del libro de Excel. La razón corriente se mantuvo en 2,09 veces y la prueba ácida en 1,29, lo que indica que el activo corriente cubre más de dos veces el pasivo corriente aun sin contar los inventarios. Sin embargo, la razón de efectivo bajó de 0,42 a 0,38, porque el efectivo disminuyó de 1.523 a 1.450 millones mientras el pasivo corriente aumentó. El ciclo de conversión de efectivo es de unos 87 días: el dinero invertido en producir tarda casi tres meses en volver a la caja. El endeudamiento descendió de 49,1 % a 44,5 % y la cobertura de intereses subió de 6,1 a 6,8 veces. En síntesis, la empresa es líquida y solvente, pero su caja depende de que la cartera se cobre y el inventario rote en los plazos habituales; por eso los supuestos de capital de trabajo son los más sensibles del modelo.</w:t>
      </w:r>
    </w:p>
    <w:p>
      <w:pPr>
        <w:keepNext/>
        <w:spacing w:before="200" w:line="240"/>
      </w:pPr>
      <w:r>
        <w:rPr>
          <w:b/>
          <w:bCs/>
        </w:rPr>
        <w:t xml:space="preserve">Tabla 2</w:t>
      </w:r>
    </w:p>
    <w:p>
      <w:pPr>
        <w:keepNext/>
        <w:spacing w:after="80" w:line="240"/>
      </w:pPr>
      <w:r>
        <w:rPr>
          <w:i/>
          <w:iCs/>
        </w:rPr>
        <w:t xml:space="preserve">Ratios de liquidez, actividad y endeudamiento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260"/>
        <w:gridCol w:w="1700"/>
        <w:gridCol w:w="1700"/>
        <w:gridCol w:w="1700"/>
      </w:tblGrid>
      <w:tr>
        <w:trPr>
          <w:tblHeader/>
        </w:trPr>
        <w:tc>
          <w:tcPr>
            <w:tcW w:type="dxa" w:w="42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Ratio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0</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 (proy.)</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Razón corriente (veces)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2,13</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Prueba ácida (veces)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1,29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1,29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1,32</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Razón de efectivo (veces)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0,42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0,38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0,38</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Capital de trabajo neto (millones de COP)</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3.963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4.568</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Días de cartera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60,0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Días de inventario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88,5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86,7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85,0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Días de proveedores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59,5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58,7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58,0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Ciclo de conversión de efectivo (días)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88,5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87,5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87,0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Endeudamiento (pasivo / activo)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49,1 %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44,5 %</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41,6 %</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Cobertura de intereses (veces)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6,11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6,77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7,23</w:t>
            </w:r>
          </w:p>
        </w:tc>
      </w:tr>
      <w:tr>
        <w:tc>
          <w:tcPr>
            <w:tcW w:type="dxa" w:w="42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Margen neto</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6,9 %</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7,6 %</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7,8 %</w:t>
            </w:r>
          </w:p>
        </w:tc>
      </w:tr>
    </w:tbl>
    <w:p>
      <w:pPr>
        <w:spacing w:after="240" w:before="60" w:line="240"/>
      </w:pPr>
      <w:r>
        <w:rPr>
          <w:i/>
          <w:iCs/>
          <w:sz w:val="20"/>
          <w:szCs w:val="20"/>
        </w:rPr>
        <w:t xml:space="preserve">Nota.</w:t>
      </w:r>
      <w:r>
        <w:rPr>
          <w:sz w:val="20"/>
          <w:szCs w:val="20"/>
        </w:rPr>
        <w:t xml:space="preserve"> Los días se calculan con saldos de cierre y un año de 365 días. Fuente: hoja Ratios de FlujoProyectado.xlsx.</w:t>
      </w:r>
    </w:p>
    <w:p>
      <w:pPr>
        <w:pStyle w:val="Heading1"/>
      </w:pPr>
      <w:r>
        <w:t xml:space="preserve">Partidas relevantes para la proyección</w:t>
      </w:r>
    </w:p>
    <w:p>
      <w:pPr>
        <w:spacing w:line="480"/>
        <w:ind w:firstLine="720"/>
        <w:jc w:val="both"/>
      </w:pPr>
      <w:r>
        <w:t xml:space="preserve">Para proyectar los flujos se identificaron las partidas del estado de resultados y del balance que generan o consumen efectivo, y se clasificaron en actividades de operación, inversión y financiación conforme a la NIC 7 (IFRS Foundation, s. f.-a, párr. 10-17). La Tabla 3 muestra la clasificación adoptada.</w:t>
      </w:r>
    </w:p>
    <w:p>
      <w:pPr>
        <w:spacing w:line="480"/>
        <w:ind w:firstLine="720"/>
        <w:jc w:val="both"/>
      </w:pPr>
      <w:r>
        <w:t xml:space="preserve">Las actividades de operación son las principales generadoras de ingresos de la entidad y comprenden los cobros por ventas y los pagos a proveedores y empleados. Las de inversión corresponden a la adquisición y venta de activos de largo plazo, como propiedades, planta y equipo. Las de financiación modifican el tamaño y la composición del capital aportado y de los préstamos. La depreciación es una partida no monetaria: reduce la utilidad, pero no implica salida de efectivo, por lo que se suma de nuevo en el método indirecto. Como efectivo y equivalentes se consideran únicamente los saldos en caja y bancos; la empresa no mantiene inversiones a corto plazo que cumplan la definición de equivalentes de efectivo ni saldos restringidos que deban revelarse (párr. 6-9 y 48).</w:t>
      </w:r>
    </w:p>
    <w:p>
      <w:pPr>
        <w:keepNext/>
        <w:spacing w:before="200" w:line="240"/>
      </w:pPr>
      <w:r>
        <w:rPr>
          <w:b/>
          <w:bCs/>
        </w:rPr>
        <w:t xml:space="preserve">Tabla 3</w:t>
      </w:r>
    </w:p>
    <w:p>
      <w:pPr>
        <w:keepNext/>
        <w:spacing w:after="80" w:line="240"/>
      </w:pPr>
      <w:r>
        <w:rPr>
          <w:i/>
          <w:iCs/>
        </w:rPr>
        <w:t xml:space="preserve">Clasificación de las partidas según la NIC 7</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000"/>
        <w:gridCol w:w="1700"/>
        <w:gridCol w:w="2900"/>
        <w:gridCol w:w="1760"/>
      </w:tblGrid>
      <w:tr>
        <w:trPr>
          <w:tblHeader/>
        </w:trPr>
        <w:tc>
          <w:tcPr>
            <w:tcW w:type="dxa" w:w="30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Partida</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Origen</w:t>
            </w:r>
          </w:p>
        </w:tc>
        <w:tc>
          <w:tcPr>
            <w:tcW w:type="dxa" w:w="29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Clasificación</w:t>
            </w:r>
          </w:p>
        </w:tc>
        <w:tc>
          <w:tcPr>
            <w:tcW w:type="dxa" w:w="17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NIC 7 (párr.)</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y cuentas por cobrar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 y balance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Operación</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14(a), 20(a)</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 inventarios y proveedores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 y balance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Operación</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14(c), 20(a)</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Gastos, obligaciones laborales y anticipos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 y balance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Operación</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14(d), 20(a)</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Depreciación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Ajuste no monetario</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20(b)</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Intereses pagados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Operación, revelados aparte</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31-33</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Impuesto de renta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 y balance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Operación, revelado aparte</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35-36</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Propiedades, planta y equipo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Inversión</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16(a)</w:t>
            </w:r>
          </w:p>
        </w:tc>
      </w:tr>
      <w:tr>
        <w:tc>
          <w:tcPr>
            <w:tcW w:type="dxa" w:w="30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Nuevos préstamos y amortización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w:t>
            </w:r>
          </w:p>
        </w:tc>
        <w:tc>
          <w:tcPr>
            <w:tcW w:type="dxa" w:w="2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Financiación</w:t>
            </w:r>
          </w:p>
        </w:tc>
        <w:tc>
          <w:tcPr>
            <w:tcW w:type="dxa" w:w="17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17(c)-(d)</w:t>
            </w:r>
          </w:p>
        </w:tc>
      </w:tr>
      <w:tr>
        <w:tc>
          <w:tcPr>
            <w:tcW w:type="dxa" w:w="30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Dividendos pagados</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Patrimonio</w:t>
            </w:r>
          </w:p>
        </w:tc>
        <w:tc>
          <w:tcPr>
            <w:tcW w:type="dxa" w:w="29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Financiación</w:t>
            </w:r>
          </w:p>
        </w:tc>
        <w:tc>
          <w:tcPr>
            <w:tcW w:type="dxa" w:w="17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34</w:t>
            </w:r>
          </w:p>
        </w:tc>
      </w:tr>
    </w:tbl>
    <w:p>
      <w:pPr>
        <w:spacing w:after="240" w:before="60" w:line="240"/>
      </w:pPr>
      <w:r>
        <w:rPr>
          <w:i/>
          <w:iCs/>
          <w:sz w:val="20"/>
          <w:szCs w:val="20"/>
        </w:rPr>
        <w:t xml:space="preserve">Nota.</w:t>
      </w:r>
      <w:r>
        <w:rPr>
          <w:sz w:val="20"/>
          <w:szCs w:val="20"/>
        </w:rPr>
        <w:t xml:space="preserve"> ER = estado de resultados. Elaboración propia con base en IFRS Foundation (s. f.-a).</w:t>
      </w:r>
    </w:p>
    <w:p>
      <w:pPr>
        <w:pStyle w:val="Heading1"/>
      </w:pPr>
      <w:r>
        <w:t xml:space="preserve">Selección y justificación del método</w:t>
      </w:r>
    </w:p>
    <w:p>
      <w:pPr>
        <w:spacing w:line="480"/>
        <w:ind w:firstLine="720"/>
        <w:jc w:val="both"/>
      </w:pPr>
      <w:r>
        <w:t xml:space="preserve">La NIC 7 permite informar los flujos de operación por el método directo, que presenta las principales categorías de cobros y pagos brutos, o por el método indirecto, que parte de la utilidad y la ajusta por partidas no monetarias, diferidos y causaciones (IFRS Foundation, s. f.-a, párr. 18-20). La norma alienta el método directo porque ofrece información útil para estimar flujos futuros (párr. 19), pero no lo exige.</w:t>
      </w:r>
    </w:p>
    <w:p>
      <w:pPr>
        <w:spacing w:line="480"/>
        <w:ind w:firstLine="720"/>
        <w:jc w:val="both"/>
      </w:pPr>
      <w:r>
        <w:t xml:space="preserve">Para este caso se seleccionó el método indirecto como presentación principal, por tres razones. Primero, la proyección se construye a partir del estado de resultados y del balance proyectados, de modo que el método indirecto conserva la trazabilidad entre la utilidad y el efectivo. Segundo, en una manufacturera con un ciclo de conversión de 87 días, la diferencia entre utilidad y flujo de operación se explica casi por completo por el capital de trabajo, y el método indirecto la hace visible línea por línea. Tercero, el método directo exige información de cobros y pagos brutos por categoría (párr. 21) que en una proyección debe derivarse de los mismos supuestos, con menor valor agregado.</w:t>
      </w:r>
    </w:p>
    <w:p>
      <w:pPr>
        <w:spacing w:line="480"/>
        <w:ind w:firstLine="720"/>
        <w:jc w:val="both"/>
      </w:pPr>
      <w:r>
        <w:t xml:space="preserve">Atendiendo el estímulo de la norma, el libro incluye además una presentación por método directo derivada del mismo modelo, que sirve como conciliación: ambos métodos arrojan un flujo de operación de COP 2.445 millones.</w:t>
      </w:r>
    </w:p>
    <w:p>
      <w:pPr>
        <w:spacing w:line="480"/>
        <w:ind w:firstLine="720"/>
        <w:jc w:val="both"/>
      </w:pPr>
      <w:r>
        <w:t xml:space="preserve">Se adoptaron tres políticas de clasificación, aplicadas de forma consistente en todos los períodos. Los intereses pagados se clasifican en operación, porque intervienen en la determinación de la utilidad, y se revelan por separado (párr. 31 y 33). Los dividendos pagados se clasifican en financiación, por ser un costo de obtener recursos financieros (párr. 34). El impuesto de renta pagado se clasifica en operación y se revela por separado, ya que no existe un flujo de inversión o financiación identificable al cual asociarlo (párr. 35-36). Finalmente, el estado incluye información comparativa del Año 0, derivada de los balances históricos, como exige la NIC 1 (IFRS Foundation, s. f.-c, párr. 38).</w:t>
      </w:r>
    </w:p>
    <w:p>
      <w:pPr>
        <w:pStyle w:val="Heading1"/>
      </w:pPr>
      <w:r>
        <w:t xml:space="preserve">Supuestos cuantitativos</w:t>
      </w:r>
    </w:p>
    <w:p>
      <w:pPr>
        <w:spacing w:line="480"/>
        <w:ind w:firstLine="720"/>
        <w:jc w:val="both"/>
      </w:pPr>
      <w:r>
        <w:t xml:space="preserve">Los supuestos se registraron en la hoja Supuestos del libro, cada uno en una celda independiente y con su justificación, de modo que el modelo se recalcula automáticamente al modificarlos. La Tabla 4 resume los más relevantes.</w:t>
      </w:r>
    </w:p>
    <w:p>
      <w:pPr>
        <w:spacing w:line="480"/>
        <w:ind w:firstLine="720"/>
        <w:jc w:val="both"/>
      </w:pPr>
      <w:r>
        <w:t xml:space="preserve">En los cobros, el crecimiento de ventas de 8,0 % es inferior al 10,0 % histórico porque la planta opera cerca de su capacidad y la demanda es incierta; el plazo de cobro se mantiene en 60 días, coherente con los 59,5 observados, y determina cuánto de la venta se convierte en efectivo durante el año (párr. 14(a) y 20(a)). En los pagos, el costo de ventas se conserva en 64,5 % de las ventas y los gastos de administración crecen 5,0 % por ajustes salariales e inflación; el plazo a proveedores se mantiene en 58 días y la rotación de inventarios mejora levemente a 85 días por una mejor gestión de compras (párr. 14(c)-(d) y 20(a)).</w:t>
      </w:r>
    </w:p>
    <w:p>
      <w:pPr>
        <w:spacing w:line="480"/>
        <w:ind w:firstLine="720"/>
        <w:jc w:val="both"/>
      </w:pPr>
      <w:r>
        <w:t xml:space="preserve">En la inversión, se proyecta la renovación de maquinaria por COP 1.200 millones, superior a la depreciación de 1.020 millones, para sostener la capacidad productiva (párr. 16(a)). En la financiación, se asume un nuevo crédito de largo plazo de 600 millones desembolsado a mitad de año, la amortización contractual de 1.000 millones, una tasa de interés de 8,0 % y el pago de dividendos equivalente al 50 % de la utilidad del Año 0 (párr. 17 y 34). El impuesto de renta se calcula con la tarifa general de 35 % y queda al cierre un saldo por pagar equivalente al 36 % del gasto, como en el Año 0 (párr. 35).</w:t>
      </w:r>
    </w:p>
    <w:p>
      <w:pPr>
        <w:spacing w:line="480"/>
        <w:ind w:firstLine="720"/>
        <w:jc w:val="both"/>
      </w:pPr>
      <w:r>
        <w:t xml:space="preserve">La sensibilidad del modelo al capital de trabajo es alta: con las ventas proyectadas, cada día adicional de plazo de cobro inmoviliza cerca de COP 60 millones, y cada día menos de plazo a proveedores o más de inventario, cerca de 39 millones. Un deterioro de cinco días en la cartera restaría unos 300 millones al flujo de operación, una cifra casi cuatro veces mayor que la variación neta de efectivo proyectada.</w:t>
      </w:r>
    </w:p>
    <w:p>
      <w:pPr>
        <w:keepNext/>
        <w:spacing w:before="200" w:line="240"/>
      </w:pPr>
      <w:r>
        <w:rPr>
          <w:b/>
          <w:bCs/>
        </w:rPr>
        <w:t xml:space="preserve">Tabla 4</w:t>
      </w:r>
    </w:p>
    <w:p>
      <w:pPr>
        <w:keepNext/>
        <w:spacing w:after="80" w:line="240"/>
      </w:pPr>
      <w:r>
        <w:rPr>
          <w:i/>
          <w:iCs/>
        </w:rPr>
        <w:t xml:space="preserve">Supuestos principales del Año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300"/>
        <w:gridCol w:w="1700"/>
        <w:gridCol w:w="1900"/>
        <w:gridCol w:w="2460"/>
      </w:tblGrid>
      <w:tr>
        <w:trPr>
          <w:tblHeader/>
        </w:trPr>
        <w:tc>
          <w:tcPr>
            <w:tcW w:type="dxa" w:w="33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Supuesto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0 (real)</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 (supuesto)</w:t>
            </w:r>
          </w:p>
        </w:tc>
        <w:tc>
          <w:tcPr>
            <w:tcW w:type="dxa" w:w="24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NIC 7 (párr.)</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Crecimiento de ventas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8,0 %</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14(a)</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 / ventas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64,5 %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64,5 %</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14(c)</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Crecimiento de gastos de administración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5,0 %</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14(d)</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Días de cartera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59,5</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60</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20(a)</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Días de inventario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86,7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85</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20(a)</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Días de proveedores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58,7</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58</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20(a)</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Adquisición de PP&amp;E (millones de COP)</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550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1.200</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16(a)</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Nuevos préstamos (millones de COP)</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600</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17(c)</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Amortización de deuda (millones de COP)</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17(d)</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Tasa de interés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7,5 %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8,0 %</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31-33</w:t>
            </w:r>
          </w:p>
        </w:tc>
      </w:tr>
      <w:tr>
        <w:tc>
          <w:tcPr>
            <w:tcW w:type="dxa" w:w="33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Dividendos / utilidad del año anterior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55,5 %</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50,0 %</w:t>
            </w:r>
          </w:p>
        </w:tc>
        <w:tc>
          <w:tcPr>
            <w:tcW w:type="dxa" w:w="24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34</w:t>
            </w:r>
          </w:p>
        </w:tc>
      </w:tr>
      <w:tr>
        <w:tc>
          <w:tcPr>
            <w:tcW w:type="dxa" w:w="33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Tarifa de impuesto de renta</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35,0 %</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35,0 %</w:t>
            </w:r>
          </w:p>
        </w:tc>
        <w:tc>
          <w:tcPr>
            <w:tcW w:type="dxa" w:w="24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val="false"/>
                <w:bCs w:val="false"/>
                <w:sz w:val="20"/>
                <w:szCs w:val="20"/>
              </w:rPr>
              <w:t xml:space="preserve">35</w:t>
            </w:r>
          </w:p>
        </w:tc>
      </w:tr>
    </w:tbl>
    <w:p>
      <w:pPr>
        <w:spacing w:after="240" w:before="60" w:line="240"/>
      </w:pPr>
      <w:r>
        <w:rPr>
          <w:i/>
          <w:iCs/>
          <w:sz w:val="20"/>
          <w:szCs w:val="20"/>
        </w:rPr>
        <w:t xml:space="preserve">Nota.</w:t>
      </w:r>
      <w:r>
        <w:rPr>
          <w:sz w:val="20"/>
          <w:szCs w:val="20"/>
        </w:rPr>
        <w:t xml:space="preserve"> PP&amp;E = propiedades, planta y equipo. Fuente: hoja Supuestos de FlujoProyectado.xlsx.</w:t>
      </w:r>
    </w:p>
    <w:p>
      <w:pPr>
        <w:pStyle w:val="Heading1"/>
      </w:pPr>
      <w:r>
        <w:t xml:space="preserve">Construcción del estado de flujo de efectivo proyectado</w:t>
      </w:r>
    </w:p>
    <w:p>
      <w:pPr>
        <w:spacing w:line="480"/>
        <w:ind w:firstLine="720"/>
        <w:jc w:val="both"/>
      </w:pPr>
      <w:r>
        <w:t xml:space="preserve">Con los supuestos anteriores se proyectaron el estado de resultados, el balance y, a partir de ellos, el estado de flujos de efectivo. La utilidad neta proyectada es de COP 1.716 millones, 11,7 % superior a la del Año 0. La Tabla 5 presenta el flujo por el método indirecto, con el Año 0 como comparativo.</w:t>
      </w:r>
    </w:p>
    <w:p>
      <w:pPr>
        <w:spacing w:line="480"/>
        <w:ind w:firstLine="720"/>
        <w:jc w:val="both"/>
      </w:pPr>
      <w:r>
        <w:t xml:space="preserve">El flujo de operación alcanza 2.445 millones frente a 2.177 del Año 0. Parte de la utilidad neta (1.716), suma la depreciación no monetaria (1.020) y resta 291 millones netos de inversión en capital de trabajo: el aumento de cartera (293), inventarios (183) y anticipos (19) supera la financiación espontánea de proveedores (140), obligaciones laborales (31) e impuesto por pagar (33). Por el método directo, los cobros a clientes suman 21.566 millones; los pagos a proveedores, 14.142; los pagos por gastos de administración y ventas, 3.663; los intereses, 424 y el impuesto de renta, 891. El resultado es el mismo flujo de 2.445 millones.</w:t>
      </w:r>
    </w:p>
    <w:p>
      <w:pPr>
        <w:spacing w:line="480"/>
        <w:ind w:firstLine="720"/>
        <w:jc w:val="both"/>
      </w:pPr>
      <w:r>
        <w:t xml:space="preserve">El flujo de inversión es de −1.200 millones por la renovación de maquinaria y el de financiación de −1.169 millones: ingresan 600 del nuevo crédito y salen 1.000 por amortización y 769 por dividendos. El flujo neto es de +77 millones y el efectivo pasa de 1.450 a 1.527 millones, cifra que coincide con la del balance proyectado, el cual cuadra con un activo total de 18.402 millones.</w:t>
      </w:r>
    </w:p>
    <w:p>
      <w:pPr>
        <w:spacing w:line="480"/>
        <w:ind w:firstLine="720"/>
        <w:jc w:val="both"/>
      </w:pPr>
      <w:r>
        <w:t xml:space="preserve">El resultado permite una lectura gerencial. El flujo de operación menos la inversión deja un flujo libre de 1.245 millones, que cubre los dividendos (769) y la amortización neta de deuda (400) y deja un remanente de 77. Sin el nuevo crédito de 600 millones, el efectivo caería a cerca de 940 millones, por debajo de la cuota corriente de deuda de 1.000 millones. El crédito es, por tanto, clave para mantener la liquidez. Con él, la razón corriente se ubica en 2,13 y el endeudamiento baja a 41,6 %.</w:t>
      </w:r>
    </w:p>
    <w:p>
      <w:pPr>
        <w:keepNext/>
        <w:spacing w:before="200" w:line="240"/>
      </w:pPr>
      <w:r>
        <w:rPr>
          <w:b/>
          <w:bCs/>
        </w:rPr>
        <w:t xml:space="preserve">Tabla 5</w:t>
      </w:r>
    </w:p>
    <w:p>
      <w:pPr>
        <w:keepNext/>
        <w:spacing w:after="80" w:line="240"/>
      </w:pPr>
      <w:r>
        <w:rPr>
          <w:i/>
          <w:iCs/>
        </w:rPr>
        <w:t xml:space="preserve">Estado de flujos de efectivo, método indirecto (millones de COP)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160"/>
        <w:gridCol w:w="2100"/>
        <w:gridCol w:w="2100"/>
      </w:tblGrid>
      <w:tr>
        <w:trPr>
          <w:tblHeader/>
        </w:trPr>
        <w:tc>
          <w:tcPr>
            <w:tcW w:type="dxa" w:w="51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Concepto</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0 (comparativo)</w:t>
            </w:r>
          </w:p>
        </w:tc>
        <w:tc>
          <w:tcPr>
            <w:tcW w:type="dxa" w:w="21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 (proyectado)</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Actividades de operación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Utilidad neta</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1.537,0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1.716,3</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Depreciación y amortización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950,0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1.020,0</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(Aumento) en cuentas por cobrar</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(293,3)</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(Aumento) en inventarios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(183,4)</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(Aumento) en gastos pagados por anticipado</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(18,6)</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Aumento en proveedores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140,4</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Aumento en obligaciones laborales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30,9</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Aumento en impuesto de renta por pagar</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32,7</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Flujo neto de actividades de operación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2.177,0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2.445,0</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Actividades de inversión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Adquisición de propiedades, planta y equipo</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(550,0)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(1.200,0)</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Flujo neto de actividades de inversión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(550,0)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(1.200,0)</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Actividades de financiación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Cobros por nuevos préstamos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600,0</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Pagos de préstamos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(1.000,0)</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Dividendos pagados</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(700,0)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(768,5)</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Flujo neto de actividades de financiación</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(1.700,0)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(1.168,5)</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Aumento (disminución) neto de efectivo</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(73,0)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76,5</w:t>
            </w:r>
          </w:p>
        </w:tc>
      </w:tr>
      <w:tr>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Efectivo al inicio del período</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1.523,0</w:t>
            </w:r>
          </w:p>
        </w:tc>
        <w:tc>
          <w:tcPr>
            <w:tcW w:type="dxa" w:w="21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1.450,0</w:t>
            </w:r>
          </w:p>
        </w:tc>
      </w:tr>
      <w:tr>
        <w:tc>
          <w:tcPr>
            <w:tcW w:type="dxa" w:w="51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bCs/>
                <w:sz w:val="20"/>
                <w:szCs w:val="20"/>
              </w:rPr>
              <w:t xml:space="preserve">Efectivo al final del período</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1.450,0</w:t>
            </w:r>
          </w:p>
        </w:tc>
        <w:tc>
          <w:tcPr>
            <w:tcW w:type="dxa" w:w="21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1.526,5</w:t>
            </w:r>
          </w:p>
        </w:tc>
      </w:tr>
    </w:tbl>
    <w:p>
      <w:pPr>
        <w:spacing w:after="240" w:before="60" w:line="240"/>
      </w:pPr>
      <w:r>
        <w:rPr>
          <w:i/>
          <w:iCs/>
          <w:sz w:val="20"/>
          <w:szCs w:val="20"/>
        </w:rPr>
        <w:t xml:space="preserve">Nota.</w:t>
      </w:r>
      <w:r>
        <w:rPr>
          <w:sz w:val="20"/>
          <w:szCs w:val="20"/>
        </w:rPr>
        <w:t xml:space="preserve"> Intereses pagados: 410,0 (Año 0) y 424,0 (Año 1); impuesto de renta pagado: 798,0 y 891,5, ambos clasificados en operación. Fuente: hoja Flujo_Indirecto de FlujoProyectado.xlsx.</w:t>
      </w:r>
    </w:p>
    <w:p>
      <w:pPr>
        <w:pStyle w:val="Heading1"/>
      </w:pPr>
      <w:r>
        <w:t xml:space="preserve">Validación interna y refinamiento</w:t>
      </w:r>
    </w:p>
    <w:p>
      <w:pPr>
        <w:pStyle w:val="Heading2"/>
      </w:pPr>
      <w:r>
        <w:t xml:space="preserve">Controles del modelo</w:t>
      </w:r>
    </w:p>
    <w:p>
      <w:pPr>
        <w:spacing w:line="480"/>
        <w:ind w:firstLine="720"/>
        <w:jc w:val="both"/>
      </w:pPr>
      <w:r>
        <w:t xml:space="preserve">La hoja Validacion del libro ejecuta siete controles automáticos: cuadre del balance en los tres cierres (Año −1, Año 0 y Año 1), coincidencia entre el efectivo final del flujo y el del balance en el Año 0 y el Año 1, igualdad del flujo de operación por ambos métodos y efectivo final no negativo. Todos arrojan resultado correcto. La hoja contiene además una lista de verificación con ocho requisitos de la NIC 7 y la evidencia de cada uno en el libro.</w:t>
      </w:r>
    </w:p>
    <w:p>
      <w:pPr>
        <w:pStyle w:val="Heading2"/>
      </w:pPr>
      <w:r>
        <w:t xml:space="preserve">Revisión por un experto técnico</w:t>
      </w:r>
    </w:p>
    <w:p>
      <w:pPr>
        <w:spacing w:line="480"/>
        <w:ind w:firstLine="720"/>
        <w:jc w:val="both"/>
      </w:pPr>
      <w:r>
        <w:t xml:space="preserve">El reto exige validar la presentación y la clasificación de los flujos mediante una revisión interna de un experto técnico. Para ello, el libro y este informe se entregan a un revisor (docente, contador público o analista financiero), quien registra sus observaciones en la hoja Validacion, indicando el párrafo de la NIC 7 relacionado y el ajuste realizado.</w:t>
      </w:r>
    </w:p>
    <w:p>
      <w:pPr>
        <w:spacing w:line="480"/>
        <w:ind w:firstLine="720"/>
        <w:jc w:val="both"/>
      </w:pPr>
      <w:r>
        <w:rPr>
          <w:highlight w:val="yellow"/>
          <w:highlightCs w:val="yellow"/>
        </w:rPr>
        <w:t xml:space="preserve">COMPLETAR con la revisión real: nombre y cargo del revisor, fecha, observaciones recibidas y ajustes realizados. Esta sección no debe entregarse con datos supuestos.</w:t>
      </w:r>
    </w:p>
    <w:p>
      <w:pPr>
        <w:pStyle w:val="Heading2"/>
      </w:pPr>
      <w:r>
        <w:t xml:space="preserve">Refinamiento tras la retroalimentación</w:t>
      </w:r>
    </w:p>
    <w:p>
      <w:pPr>
        <w:spacing w:line="480"/>
        <w:ind w:firstLine="720"/>
        <w:jc w:val="both"/>
      </w:pPr>
      <w:r>
        <w:rPr>
          <w:highlight w:val="yellow"/>
          <w:highlightCs w:val="yellow"/>
        </w:rPr>
        <w:t xml:space="preserve">COMPLETAR: describir los ajustes a los supuestos y a la presentación realizados tras la retroalimentación (por ejemplo, cambios en la clasificación de intereses o en los plazos de cobro) y confirmar que los controles siguen en resultado correcto después de los cambios.</w:t>
      </w:r>
    </w:p>
    <w:p>
      <w:pPr>
        <w:pStyle w:val="Heading1"/>
      </w:pPr>
      <w:r>
        <w:t xml:space="preserve">Conclusiones</w:t>
      </w:r>
    </w:p>
    <w:p>
      <w:pPr>
        <w:spacing w:line="480"/>
        <w:ind w:firstLine="720"/>
        <w:jc w:val="both"/>
      </w:pPr>
      <w:r>
        <w:t xml:space="preserve">El estado de flujos de efectivo proyectado del Año 1 muestra que la empresa genera un flujo de operación de COP 2.445 millones, suficiente para financiar la renovación de maquinaria, los dividendos y la amortización de deuda, aunque con un margen estrecho: la variación neta de efectivo es de apenas 77 millones. La utilidad neta (1.716) es menor que el flujo de operación (2.445) por efecto de la depreciación, pero la inversión en capital de trabajo absorbe 291 millones, lo que confirma que la gestión de cartera e inventarios es el principal factor de riesgo.</w:t>
      </w:r>
    </w:p>
    <w:p>
      <w:pPr>
        <w:spacing w:line="480"/>
        <w:ind w:firstLine="720"/>
        <w:jc w:val="both"/>
      </w:pPr>
      <w:r>
        <w:t xml:space="preserve">La selección del método indirecto, complementado con la presentación directa, permitió cumplir la NIC 7 y a la vez analizar las causas de las variaciones de efectivo. Los supuestos, documentados y parametrizados en Excel, hacen posible evaluar escenarios alternativos. Como limitaciones, el caso es ilustrativo, la revisión externa debe completarse y el modelo es determinístico y anual; la reflexión crítica del Anexo C profundiza en estas limitaciones y propone mejoras.</w:t>
      </w:r>
    </w:p>
    <w:p>
      <w:r>
        <w:br w:type="page"/>
      </w:r>
    </w:p>
    <w:p>
      <w:pPr>
        <w:pStyle w:val="Heading1"/>
      </w:pPr>
      <w:r>
        <w:t xml:space="preserve">Referencias</w:t>
      </w:r>
    </w:p>
    <w:p>
      <w:pPr>
        <w:spacing w:line="480"/>
        <w:ind w:left="720" w:hanging="720"/>
      </w:pPr>
      <w:r>
        <w:t xml:space="preserve">Congreso de Colombia. (2009, 13 de julio). </w:t>
      </w:r>
      <w:r>
        <w:rPr>
          <w:i/>
          <w:iCs/>
        </w:rPr>
        <w:t xml:space="preserve">Ley 1314 de 2009: Por la cual se regulan los principios y normas de contabilidad e información financiera y de aseguramiento de información aceptados en Colombia, se señalan las autoridades competentes, el procedimiento para su expedición y se determinan las entidades responsables de vigilar su cumplimiento</w:t>
      </w:r>
      <w:r>
        <w:t xml:space="preserve">. Diario Oficial n.º 47.409.</w:t>
      </w:r>
    </w:p>
    <w:p>
      <w:pPr>
        <w:spacing w:line="480"/>
        <w:ind w:left="720" w:hanging="720"/>
      </w:pPr>
      <w:r>
        <w:t xml:space="preserve">IFRS Foundation. (s. f.-a). </w:t>
      </w:r>
      <w:r>
        <w:rPr>
          <w:i/>
          <w:iCs/>
        </w:rPr>
        <w:t xml:space="preserve">IAS 7 Statement of cash flows</w:t>
      </w:r>
      <w:r>
        <w:t xml:space="preserve"> [Norma]. https://www.ifrs.org/issued-standards/list-of-standards/ias-7-statement-of-cash-flows/</w:t>
      </w:r>
    </w:p>
    <w:p>
      <w:pPr>
        <w:spacing w:line="480"/>
        <w:ind w:left="720" w:hanging="720"/>
      </w:pPr>
      <w:r>
        <w:t xml:space="preserve">IFRS Foundation. (s. f.-b). </w:t>
      </w:r>
      <w:r>
        <w:rPr>
          <w:i/>
          <w:iCs/>
        </w:rPr>
        <w:t xml:space="preserve">IFRS for SMEs Accounting Standard</w:t>
      </w:r>
      <w:r>
        <w:t xml:space="preserve"> [Norma]. https://www.ifrs.org/issued-standards/ifrs-for-smes/</w:t>
      </w:r>
    </w:p>
    <w:p>
      <w:pPr>
        <w:spacing w:line="480"/>
        <w:ind w:left="720" w:hanging="720"/>
      </w:pPr>
      <w:r>
        <w:t xml:space="preserve">IFRS Foundation. (s. f.-c). </w:t>
      </w:r>
      <w:r>
        <w:rPr>
          <w:i/>
          <w:iCs/>
        </w:rPr>
        <w:t xml:space="preserve">List of IFRS Accounting Standards</w:t>
      </w:r>
      <w:r>
        <w:t xml:space="preserve"> [Listado de normas, incluye NIC 1, NIC 2, NIC 12 y NIC 16]. https://www.ifrs.org/issued-standards/list-of-standards/</w:t>
      </w:r>
    </w:p>
    <w:p>
      <w:pPr>
        <w:spacing w:line="480"/>
        <w:ind w:left="720" w:hanging="720"/>
      </w:pPr>
      <w:r>
        <w:t xml:space="preserve">Ministerio de Comercio, Industria y Turismo. (2015, 14 de diciembre). </w:t>
      </w:r>
      <w:r>
        <w:rPr>
          <w:i/>
          <w:iCs/>
        </w:rPr>
        <w:t xml:space="preserve">Decreto 2420 de 2015: Por medio del cual se expide el Decreto Único Reglamentario de las Normas de Contabilidad, de Información Financiera y de Aseguramiento de la Información y se dictan otras disposiciones</w:t>
      </w:r>
      <w:r>
        <w:t xml:space="preserve">.</w:t>
      </w:r>
    </w:p>
    <w:p>
      <w:r>
        <w:br w:type="page"/>
      </w:r>
    </w:p>
    <w:p>
      <w:pPr>
        <w:pStyle w:val="Heading1"/>
      </w:pPr>
      <w:r>
        <w:t xml:space="preserve">Anexo A</w:t>
      </w:r>
    </w:p>
    <w:p>
      <w:pPr>
        <w:spacing w:after="0" w:line="480"/>
        <w:jc w:val="center"/>
      </w:pPr>
      <w:r>
        <w:rPr>
          <w:b/>
          <w:bCs/>
        </w:rPr>
        <w:t xml:space="preserve">Datos históricos y proyectados</w:t>
      </w:r>
    </w:p>
    <w:p>
      <w:pPr>
        <w:keepNext/>
        <w:spacing w:before="200" w:line="240"/>
      </w:pPr>
      <w:r>
        <w:rPr>
          <w:b/>
          <w:bCs/>
        </w:rPr>
        <w:t xml:space="preserve">Tabla A1</w:t>
      </w:r>
    </w:p>
    <w:p>
      <w:pPr>
        <w:keepNext/>
        <w:spacing w:after="80" w:line="240"/>
      </w:pPr>
      <w:r>
        <w:rPr>
          <w:i/>
          <w:iCs/>
        </w:rPr>
        <w:t xml:space="preserve">Estado de resultados (millones de COP)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260"/>
        <w:gridCol w:w="1700"/>
        <w:gridCol w:w="1700"/>
        <w:gridCol w:w="1700"/>
      </w:tblGrid>
      <w:tr>
        <w:trPr>
          <w:tblHeader/>
        </w:trPr>
        <w:tc>
          <w:tcPr>
            <w:tcW w:type="dxa" w:w="42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Concepto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0</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 (proy.)</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netas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18.400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20.240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21.859</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 (sin depreciación)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11.960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13.055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14.099</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Utilidad bruta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6.440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7.185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7.760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Gastos de administración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1.840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1.960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2.058</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Gastos de ventas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1.380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1.618</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Depreciación y amortización</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1.020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Utilidad operacional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2.320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2.775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3.064</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Gastos financieros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410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424</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Utilidad antes de impuestos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1.940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2.365</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2.640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Impuesto de renta</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679</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828</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924</w:t>
            </w:r>
          </w:p>
        </w:tc>
      </w:tr>
      <w:tr>
        <w:tc>
          <w:tcPr>
            <w:tcW w:type="dxa" w:w="42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bCs/>
                <w:sz w:val="20"/>
                <w:szCs w:val="20"/>
              </w:rPr>
              <w:t xml:space="preserve">Utilidad neta</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1.261</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1.537</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1.716</w:t>
            </w:r>
          </w:p>
        </w:tc>
      </w:tr>
    </w:tbl>
    <w:p>
      <w:pPr>
        <w:spacing w:after="240" w:before="60" w:line="240"/>
      </w:pPr>
      <w:r>
        <w:rPr>
          <w:i/>
          <w:iCs/>
          <w:sz w:val="20"/>
          <w:szCs w:val="20"/>
        </w:rPr>
        <w:t xml:space="preserve">Nota.</w:t>
      </w:r>
      <w:r>
        <w:rPr>
          <w:sz w:val="20"/>
          <w:szCs w:val="20"/>
        </w:rPr>
        <w:t xml:space="preserve"> Año 1 proyectado con los supuestos de la Tabla 4. Cifras redondeadas; el libro conserva los decimales.</w:t>
      </w:r>
    </w:p>
    <w:p>
      <w:pPr>
        <w:keepNext/>
        <w:spacing w:before="200" w:line="240"/>
      </w:pPr>
      <w:r>
        <w:rPr>
          <w:b/>
          <w:bCs/>
        </w:rPr>
        <w:t xml:space="preserve">Tabla A2</w:t>
      </w:r>
    </w:p>
    <w:p>
      <w:pPr>
        <w:keepNext/>
        <w:spacing w:after="80" w:line="240"/>
      </w:pPr>
      <w:r>
        <w:rPr>
          <w:i/>
          <w:iCs/>
        </w:rPr>
        <w:t xml:space="preserve">Balance general (millones de COP)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260"/>
        <w:gridCol w:w="1700"/>
        <w:gridCol w:w="1700"/>
        <w:gridCol w:w="1700"/>
      </w:tblGrid>
      <w:tr>
        <w:trPr>
          <w:tblHeader/>
        </w:trPr>
        <w:tc>
          <w:tcPr>
            <w:tcW w:type="dxa" w:w="42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Concepto</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0</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right"/>
            </w:pPr>
            <w:r>
              <w:rPr>
                <w:b/>
                <w:bCs/>
                <w:sz w:val="20"/>
                <w:szCs w:val="20"/>
              </w:rPr>
              <w:t xml:space="preserve">Año 1 (proy.)</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Efectivo y equivalentes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1.523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1.527</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Cuentas por cobrar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3.300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3.593</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Inventarios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2.900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3.100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3.283</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Gastos pagados por anticipado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180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219</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Total activo corriente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7.603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8.050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8.622</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Propiedades, planta y equipo (neto)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9.600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9.780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Total activo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17.603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17.650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18.402</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Proveedores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1.950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2.100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2.240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Obligaciones laborales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420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481</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Impuesto de renta por pagar</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270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333</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Deuda financiera corriente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1.000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Total pasivo corriente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3.640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3.850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4.054</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Deuda financiera no corriente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4.000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3.600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Total pasivo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8.640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7.850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7.654</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Capital social</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5.000</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Reservas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1.300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1.654</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Resultados acumulados</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1.402</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2.378</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Utilidad del ejercicio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1.261</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1.537</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val="false"/>
                <w:bCs w:val="false"/>
                <w:sz w:val="20"/>
                <w:szCs w:val="20"/>
              </w:rPr>
              <w:t xml:space="preserve">1.716</w:t>
            </w:r>
          </w:p>
        </w:tc>
      </w:tr>
      <w:tr>
        <w:tc>
          <w:tcPr>
            <w:tcW w:type="dxa" w:w="42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bCs/>
                <w:sz w:val="20"/>
                <w:szCs w:val="20"/>
              </w:rPr>
              <w:t xml:space="preserve">Total patrimonio</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8.963</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9.800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right"/>
            </w:pPr>
            <w:r>
              <w:rPr>
                <w:b/>
                <w:bCs/>
                <w:sz w:val="20"/>
                <w:szCs w:val="20"/>
              </w:rPr>
              <w:t xml:space="preserve">10.748</w:t>
            </w:r>
          </w:p>
        </w:tc>
      </w:tr>
      <w:tr>
        <w:tc>
          <w:tcPr>
            <w:tcW w:type="dxa" w:w="42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bCs/>
                <w:sz w:val="20"/>
                <w:szCs w:val="20"/>
              </w:rPr>
              <w:t xml:space="preserve">Total pasivo + patrimonio</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17.603</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17.650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right"/>
            </w:pPr>
            <w:r>
              <w:rPr>
                <w:b/>
                <w:bCs/>
                <w:sz w:val="20"/>
                <w:szCs w:val="20"/>
              </w:rPr>
              <w:t xml:space="preserve">18.402</w:t>
            </w:r>
          </w:p>
        </w:tc>
      </w:tr>
    </w:tbl>
    <w:p>
      <w:pPr>
        <w:spacing w:after="240" w:before="60" w:line="240"/>
      </w:pPr>
      <w:r>
        <w:rPr>
          <w:i/>
          <w:iCs/>
          <w:sz w:val="20"/>
          <w:szCs w:val="20"/>
        </w:rPr>
        <w:t xml:space="preserve">Nota.</w:t>
      </w:r>
      <w:r>
        <w:rPr>
          <w:sz w:val="20"/>
          <w:szCs w:val="20"/>
        </w:rPr>
        <w:t xml:space="preserve"> Datos ilustrativos. Fuente: hojas Historicos y Balance_Proy de FlujoProyectado.xlsx.</w:t>
      </w:r>
    </w:p>
    <w:p>
      <w:r>
        <w:br w:type="page"/>
      </w:r>
    </w:p>
    <w:p>
      <w:pPr>
        <w:pStyle w:val="Heading1"/>
      </w:pPr>
      <w:r>
        <w:t xml:space="preserve">Anexo B</w:t>
      </w:r>
    </w:p>
    <w:p>
      <w:pPr>
        <w:spacing w:after="0" w:line="480"/>
        <w:jc w:val="center"/>
      </w:pPr>
      <w:r>
        <w:rPr>
          <w:b/>
          <w:bCs/>
        </w:rPr>
        <w:t xml:space="preserve">Fórmulas utilizadas</w:t>
      </w:r>
    </w:p>
    <w:p>
      <w:pPr>
        <w:keepNext/>
        <w:spacing w:before="200" w:line="240"/>
      </w:pPr>
      <w:r>
        <w:rPr>
          <w:b/>
          <w:bCs/>
        </w:rPr>
        <w:t xml:space="preserve">Tabla B1</w:t>
      </w:r>
    </w:p>
    <w:p>
      <w:pPr>
        <w:keepNext/>
        <w:spacing w:after="80" w:line="240"/>
      </w:pPr>
      <w:r>
        <w:rPr>
          <w:i/>
          <w:iCs/>
        </w:rPr>
        <w:t xml:space="preserve">Fórmulas conceptuales y ubicación en el libro (Año 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4660"/>
        <w:gridCol w:w="2200"/>
      </w:tblGrid>
      <w:tr>
        <w:trPr>
          <w:tblHeader/>
        </w:trPr>
        <w:tc>
          <w:tcPr>
            <w:tcW w:type="dxa" w:w="25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Concepto</w:t>
            </w:r>
          </w:p>
        </w:tc>
        <w:tc>
          <w:tcPr>
            <w:tcW w:type="dxa" w:w="466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Fórmula conceptual</w:t>
            </w:r>
          </w:p>
        </w:tc>
        <w:tc>
          <w:tcPr>
            <w:tcW w:type="dxa" w:w="2200"/>
            <w:tcBorders>
              <w:top w:val="single" w:color="000000" w:sz="6"/>
              <w:left w:val="none" w:color="FFFFFF" w:sz="0"/>
              <w:bottom w:val="single" w:color="000000" w:sz="6"/>
              <w:right w:val="none" w:color="FFFFFF" w:sz="0"/>
            </w:tcBorders>
            <w:tcMar>
              <w:top w:type="dxa" w:w="40"/>
              <w:left w:type="dxa" w:w="80"/>
              <w:bottom w:type="dxa" w:w="40"/>
              <w:right w:type="dxa" w:w="80"/>
            </w:tcMar>
          </w:tcPr>
          <w:p>
            <w:pPr>
              <w:keepNext/>
              <w:spacing w:line="240"/>
              <w:jc w:val="left"/>
            </w:pPr>
            <w:r>
              <w:rPr>
                <w:b/>
                <w:bCs/>
                <w:sz w:val="20"/>
                <w:szCs w:val="20"/>
              </w:rPr>
              <w:t xml:space="preserve">Ubicación</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Año 0 × (1 + crecimiento)</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ER_Proy!C5</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 % de costo</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ER_Proy!C6</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Depreciación</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Tasa × (PP&amp;E neto inicial + 50 % del capex)</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ER_Proy!C10</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Gastos financieros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Tasa × (deuda inicial + 50 % del nuevo crédito)</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ER_Proy!C12</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Impuesto de renta</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MAX(0; utilidad antes de impuestos) × tarifa</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ER_Proy!C14</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Cuentas por cobrar</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 días de cartera / 365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Balance_Proy!C6</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Inventarios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 × días de inventario / 365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Balance_Proy!C7</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Proveedores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 × días de proveedores / 365</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Balance_Proy!C12</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PP&amp;E neto</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PP&amp;E inicial + capex − depreciación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Balance_Proy!C10</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Deuda no corriente</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Deuda inicial + nuevo crédito − amortización − porción corriente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Balance_Proy!C17</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 de operación (indirecto)</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Utilidad neta + depreciación ± cambios en capital de trabajo</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Flujo_Indirecto!C16</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Cobros a clientes (directo)</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Ventas − aumento de cuentas por cobrar</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Flujo_Directo!B6</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Pagos a proveedores (directo)</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Costo de ventas + aumento de inventarios − aumento de proveedores</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Flujo_Directo!B7</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Impuesto pagado</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Gasto por impuesto − aumento del impuesto por pagar</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Flujo_Indirecto!C32</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Dividendos pagados</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Utilidad Año 0 × % de distribución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Flujo_Indirecto!C23</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Efectivo final</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Efectivo inicial + flujos de operación, inversión y financiación</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Flujo_Indirecto!C27</w:t>
            </w:r>
          </w:p>
        </w:tc>
      </w:tr>
      <w:tr>
        <w:tc>
          <w:tcPr>
            <w:tcW w:type="dxa" w:w="25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Razón corriente</w:t>
            </w:r>
          </w:p>
        </w:tc>
        <w:tc>
          <w:tcPr>
            <w:tcW w:type="dxa" w:w="466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Activo corriente / pasivo corriente</w:t>
            </w:r>
          </w:p>
        </w:tc>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keepNext/>
              <w:spacing w:line="240"/>
              <w:jc w:val="left"/>
            </w:pPr>
            <w:r>
              <w:rPr>
                <w:b w:val="false"/>
                <w:bCs w:val="false"/>
                <w:sz w:val="20"/>
                <w:szCs w:val="20"/>
              </w:rPr>
              <w:t xml:space="preserve">Ratios!B5:D5</w:t>
            </w:r>
          </w:p>
        </w:tc>
      </w:tr>
      <w:tr>
        <w:tc>
          <w:tcPr>
            <w:tcW w:type="dxa" w:w="25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Ciclo de conversión de efectivo</w:t>
            </w:r>
          </w:p>
        </w:tc>
        <w:tc>
          <w:tcPr>
            <w:tcW w:type="dxa" w:w="466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Días de cartera + días de inventario − días de proveedores</w:t>
            </w:r>
          </w:p>
        </w:tc>
        <w:tc>
          <w:tcPr>
            <w:tcW w:type="dxa" w:w="2200"/>
            <w:tcBorders>
              <w:top w:val="none" w:color="FFFFFF" w:sz="0"/>
              <w:left w:val="none" w:color="FFFFFF" w:sz="0"/>
              <w:bottom w:val="single" w:color="000000" w:sz="6"/>
              <w:right w:val="none" w:color="FFFFFF" w:sz="0"/>
            </w:tcBorders>
            <w:tcMar>
              <w:top w:type="dxa" w:w="40"/>
              <w:left w:type="dxa" w:w="80"/>
              <w:bottom w:type="dxa" w:w="40"/>
              <w:right w:type="dxa" w:w="80"/>
            </w:tcMar>
          </w:tcPr>
          <w:p>
            <w:pPr>
              <w:keepNext w:val="false"/>
              <w:spacing w:line="240"/>
              <w:jc w:val="left"/>
            </w:pPr>
            <w:r>
              <w:rPr>
                <w:b w:val="false"/>
                <w:bCs w:val="false"/>
                <w:sz w:val="20"/>
                <w:szCs w:val="20"/>
              </w:rPr>
              <w:t xml:space="preserve">Ratios!B12:D12</w:t>
            </w:r>
          </w:p>
        </w:tc>
      </w:tr>
    </w:tbl>
    <w:p>
      <w:pPr>
        <w:spacing w:after="240" w:before="60" w:line="240"/>
      </w:pPr>
      <w:r>
        <w:rPr>
          <w:i/>
          <w:iCs/>
          <w:sz w:val="20"/>
          <w:szCs w:val="20"/>
        </w:rPr>
        <w:t xml:space="preserve">Nota.</w:t>
      </w:r>
      <w:r>
        <w:rPr>
          <w:sz w:val="20"/>
          <w:szCs w:val="20"/>
        </w:rPr>
        <w:t xml:space="preserve"> La documentación completa se encuentra en la hoja Anexo_Formulas del libro.</w:t>
      </w:r>
    </w:p>
    <w:p>
      <w:r>
        <w:br w:type="page"/>
      </w:r>
    </w:p>
    <w:p>
      <w:pPr>
        <w:pStyle w:val="Heading1"/>
      </w:pPr>
      <w:r>
        <w:t xml:space="preserve">Anexo C</w:t>
      </w:r>
    </w:p>
    <w:p>
      <w:pPr>
        <w:spacing w:after="0" w:line="480"/>
        <w:jc w:val="center"/>
      </w:pPr>
      <w:r>
        <w:rPr>
          <w:b/>
          <w:bCs/>
        </w:rPr>
        <w:t xml:space="preserve">Reflexión crítica</w:t>
      </w:r>
    </w:p>
    <w:p>
      <w:pPr>
        <w:pStyle w:val="Heading2"/>
      </w:pPr>
      <w:r>
        <w:t xml:space="preserve">Supuestos seleccionados</w:t>
      </w:r>
    </w:p>
    <w:p>
      <w:pPr>
        <w:spacing w:line="480"/>
        <w:ind w:firstLine="720"/>
        <w:jc w:val="both"/>
      </w:pPr>
      <w:r>
        <w:t xml:space="preserve">Al construir el modelo comprendí que los supuestos pesan más que las fórmulas. El más influyente fue el capital de trabajo: mantener 60 días de cartera, 85 de inventario y 58 de proveedores implica asumir que clientes y proveedores se comportarán en el Año 1 como en el Año 0. Es un supuesto prudente, pero optimista si el crecimiento de las ventas obliga a conceder más crédito para vender. El crecimiento de 8,0 %, inferior al histórico, intenta reflejar restricciones de capacidad, pero lo elegí con criterio profesional y no con un estudio de mercado. También supuse que el costo de ventas conserva su proporción de 64,5 %, lo que ignora posibles alzas en las materias primas. Por último, incorporé un nuevo crédito de 600 millones para proteger la liquidez; esa decisión fue una respuesta a lo que mostró el modelo (sin el crédito, el efectivo quedaba por debajo de la cuota corriente de deuda), lo que ilustra la utilidad de proyectar antes de decidir.</w:t>
      </w:r>
    </w:p>
    <w:p>
      <w:pPr>
        <w:pStyle w:val="Heading2"/>
      </w:pPr>
      <w:r>
        <w:t xml:space="preserve">Limitaciones del modelo</w:t>
      </w:r>
    </w:p>
    <w:p>
      <w:pPr>
        <w:spacing w:line="480"/>
        <w:ind w:firstLine="720"/>
        <w:jc w:val="both"/>
      </w:pPr>
      <w:r>
        <w:t xml:space="preserve">Primero, el modelo es determinístico: presenta un único escenario y no cuantifica la incertidumbre, aunque la sensibilidad del informe muestra que cinco días de cartera equivalen a unos 300 millones. Segundo, es anual, por lo que oculta la estacionalidad y los mínimos de caja dentro del año; una empresa puede cerrar diciembre con efectivo suficiente y haber tenido faltantes en marzo. Tercero, simplifica partidas complejas: no incluye pérdidas crediticias esperadas sobre la cartera, el IVA, las retenciones ni el impuesto diferido; calcula los intereses sobre saldos iniciales con convención de mitad de año; y trata los costos como proporcionales a las ventas, sin separar fijos y variables. Cuarto, los datos son ilustrativos, así que las conclusiones sirven como demostración metodológica y no como diagnóstico de una empresa real. Quinto, la validación técnica depende de un revisor cuyo criterio aún debe incorporarse.</w:t>
      </w:r>
    </w:p>
    <w:p>
      <w:pPr>
        <w:pStyle w:val="Heading2"/>
      </w:pPr>
      <w:r>
        <w:t xml:space="preserve">Propuestas de mejora</w:t>
      </w:r>
    </w:p>
    <w:p>
      <w:pPr>
        <w:spacing w:line="480"/>
        <w:ind w:firstLine="720"/>
        <w:jc w:val="both"/>
      </w:pPr>
      <w:r>
        <w:t xml:space="preserve">En primer lugar, complementaría el modelo con un presupuesto de caja mensual o trimestral que identifique los meses de mayor tensión y permita dimensionar una línea de crédito rotativa. En segundo lugar, construiría escenarios (base, pesimista y optimista) y tablas de sensibilidad sobre ventas, plazos de cobro y costo de ventas, para que la gerencia vea un rango de resultados y no una cifra única. En tercer lugar, refinaría los supuestos con datos reales de la empresa: historial mensual de cobranza, contratos con proveedores, calendario de pagos de deuda y plan de inversiones aprobado. En cuarto lugar, modelaría los costos según su comportamiento y añadiría la provisión de cartera y el impuesto diferido para acercar el flujo a la contabilidad completa. Finalmente, definiría indicadores de seguimiento, como el flujo de operación sobre la utilidad neta o el ciclo de conversión de efectivo, y compararía lo real con lo proyectado cada mes para aprender de las desviaciones.</w:t>
      </w:r>
    </w:p>
    <w:p>
      <w:pPr>
        <w:pStyle w:val="Heading2"/>
      </w:pPr>
      <w:r>
        <w:t xml:space="preserve">Aprendizaje</w:t>
      </w:r>
    </w:p>
    <w:p>
      <w:pPr>
        <w:spacing w:line="480"/>
        <w:ind w:firstLine="720"/>
        <w:jc w:val="both"/>
      </w:pPr>
      <w:r>
        <w:t xml:space="preserve">Este ejercicio me mostró que la rentabilidad no garantiza liquidez y que el estado de flujos de efectivo es la herramienta que conecta las decisiones operativas, de inversión y de financiación con la caja. Aplicar la NIC 7 me obligó a justificar cada clasificación y a distinguir entre lo que sucede en el resultado y lo que sucede en el efectivo.</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line="480"/>
      <w:jc w:val="center"/>
      <w:outlineLvl w:val="0"/>
    </w:pPr>
    <w:rPr>
      <w:rFonts w:ascii="Arial" w:cs="Arial" w:eastAsia="Arial" w:hAnsi="Arial"/>
      <w:b/>
      <w:bCs/>
      <w:color w:val="000000"/>
      <w:sz w:val="22"/>
      <w:szCs w:val="22"/>
    </w:rPr>
  </w:style>
  <w:style w:type="paragraph" w:styleId="Heading2">
    <w:name w:val="Heading 2"/>
    <w:basedOn w:val="Normal"/>
    <w:next w:val="Normal"/>
    <w:qFormat/>
    <w:pPr>
      <w:keepNext/>
      <w:spacing w:line="480"/>
      <w:jc w:val="left"/>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 flujo de efectivo proyectado</dc:title>
  <dc:creator>Tatiana María Ariza Pacheco</dc:creator>
  <cp:lastModifiedBy>Un-named</cp:lastModifiedBy>
  <cp:revision>1</cp:revision>
  <dcterms:created xsi:type="dcterms:W3CDTF">2026-09-22T12:40:44.207Z</dcterms:created>
  <dcterms:modified xsi:type="dcterms:W3CDTF">2026-09-22T12:40:44.217Z</dcterms:modified>
</cp:coreProperties>
</file>

<file path=docProps/custom.xml><?xml version="1.0" encoding="utf-8"?>
<Properties xmlns="http://schemas.openxmlformats.org/officeDocument/2006/custom-properties" xmlns:vt="http://schemas.openxmlformats.org/officeDocument/2006/docPropsVTypes"/>
</file>