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Buka Bersama Dan Malam Keakraban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Buka Bersama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04 February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25.000.000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09 February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Bpp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190511015992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190511015511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Pa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190511015222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123-49/SPP-B/2024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Kerjasama dan gotong royong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25.000.000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190511015992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