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Kegiatan Judi Online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Judi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18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25.000.000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14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 Pangestu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Moch Syarif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190511015333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190511015222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Imam Mawardi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190511015444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123-47/SPP-B/2024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Slot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Untuk coba coba siapa tau ketagihan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25.000.000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 Pangestu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190511015333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