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b00522a229904a00" /></Relationships>
</file>

<file path=word/document.xml><?xml version="1.0" encoding="utf-8"?>
<w:document xmlns:a="http://schemas.openxmlformats.org/drawingml/2006/main" xmlns:ns3="http://schemas.openxmlformats.org/drawingml/2006/chart" xmlns:r="http://schemas.openxmlformats.org/officeDocument/2006/relationships" xmlns:w="http://schemas.openxmlformats.org/wordprocessingml/2006/main" xmlns:wp="http://schemas.openxmlformats.org/drawingml/2006/wordprocessingDrawing">
  <w:body>
    <w:p>
      <w:spacing w:before="1200"/>
    </w:p>
    <w:p>
      <w:pPr>
        <w:spacing w:after="600"/>
        <w:jc w:val="center"/>
      </w:pPr>
      <w:r>
        <w:rPr>
          <w:b/>
          <w:caps/>
          <w:color w:val="1E3A5F"/>
          <w:sz w:val="56"/>
        </w:rPr>
        <w:t>PROJECT REPORT</w:t>
      </w:r>
    </w:p>
    <w:p>
      <w:pPr>
        <w:pBdr>
          <w:bottom w:val="single" w:color="722F37" w:sz="12" w:space="1"/>
        </w:pBdr>
        <w:spacing w:after="600"/>
        <w:ind w:left="2880" w:right="2880"/>
        <w:jc w:val="center"/>
      </w:pPr>
    </w:p>
    <w:p>
      <w:pPr>
        <w:spacing w:after="400"/>
        <w:jc w:val="center"/>
      </w:pPr>
      <w:r>
        <w:rPr>
          <w:b/>
          <w:color w:val="1E3A5F"/>
          <w:sz w:val="28"/>
        </w:rPr>
        <w:t xml:space="preserve">Project Title: </w:t>
      </w:r>
      <w:r>
        <w:rPr>
          <w:b/>
          <w:color w:val="722F37"/>
          <w:sz w:val="28"/>
        </w:rPr>
        <w:t>"Understanding the Self, Inner Evolution, Co-Existence and the True Foundations of Happiness"</w:t>
      </w:r>
    </w:p>
    <w:p>
      <w:pPr>
        <w:spacing w:after="200"/>
        <w:jc w:val="center"/>
      </w:pPr>
      <w:r>
        <w:rPr>
          <w:b/>
          <w:color w:val="1E3A5F"/>
          <w:sz w:val="24"/>
        </w:rPr>
        <w:t xml:space="preserve">Name: </w:t>
      </w:r>
      <w:r>
        <w:rPr>
          <w:color w:val="2C3E50"/>
          <w:sz w:val="24"/>
        </w:rPr>
        <w:t>[Student Full Name]</w:t>
      </w:r>
    </w:p>
    <w:p>
      <w:pPr>
        <w:spacing w:after="200"/>
        <w:jc w:val="center"/>
      </w:pPr>
      <w:r>
        <w:rPr>
          <w:b/>
          <w:color w:val="1E3A5F"/>
          <w:sz w:val="24"/>
        </w:rPr>
        <w:t xml:space="preserve">Enrollment No.: </w:t>
      </w:r>
      <w:r>
        <w:rPr>
          <w:color w:val="2C3E50"/>
          <w:sz w:val="24"/>
        </w:rPr>
        <w:t>[Enrollment Number]</w:t>
      </w:r>
    </w:p>
    <w:p>
      <w:pPr>
        <w:spacing w:after="200"/>
        <w:jc w:val="center"/>
      </w:pPr>
      <w:r>
        <w:rPr>
          <w:b/>
          <w:color w:val="1E3A5F"/>
          <w:sz w:val="24"/>
        </w:rPr>
        <w:t xml:space="preserve">Section: </w:t>
      </w:r>
      <w:r>
        <w:rPr>
          <w:color w:val="2C3E50"/>
          <w:sz w:val="24"/>
        </w:rPr>
        <w:t>[e.g., 6AIML4]</w:t>
      </w:r>
    </w:p>
    <w:p>
      <w:pPr>
        <w:spacing w:after="200"/>
        <w:jc w:val="center"/>
      </w:pPr>
      <w:r>
        <w:rPr>
          <w:b/>
          <w:color w:val="1E3A5F"/>
          <w:sz w:val="24"/>
        </w:rPr>
        <w:t xml:space="preserve">Project Group: </w:t>
      </w:r>
      <w:r>
        <w:rPr>
          <w:color w:val="2C3E50"/>
          <w:sz w:val="24"/>
        </w:rPr>
        <w:t>Group 1 - First Half</w:t>
      </w:r>
    </w:p>
    <w:p>
      <w:spacing w:before="400"/>
    </w:p>
    <w:p>
      <w:pPr>
        <w:spacing w:after="200"/>
        <w:jc w:val="center"/>
      </w:pPr>
      <w:r>
        <w:rPr>
          <w:b/>
          <w:color w:val="1E3A5F"/>
          <w:sz w:val="24"/>
        </w:rPr>
        <w:t xml:space="preserve">Course: </w:t>
      </w:r>
      <w:r>
        <w:rPr>
          <w:color w:val="2C3E50"/>
          <w:sz w:val="24"/>
        </w:rPr>
        <w:t>Human Values and Professional Ethics</w:t>
      </w:r>
    </w:p>
    <w:p>
      <w:pPr>
        <w:spacing w:after="200"/>
        <w:jc w:val="center"/>
      </w:pPr>
      <w:r>
        <w:rPr>
          <w:b/>
          <w:color w:val="1E3A5F"/>
          <w:sz w:val="24"/>
        </w:rPr>
        <w:t xml:space="preserve">Institution: </w:t>
      </w:r>
      <w:r>
        <w:rPr>
          <w:color w:val="2C3E50"/>
          <w:sz w:val="24"/>
        </w:rPr>
        <w:t>[Institution Name]</w:t>
      </w:r>
    </w:p>
    <w:p>
      <w:pPr>
        <w:spacing w:after="200"/>
        <w:jc w:val="center"/>
      </w:pPr>
      <w:r>
        <w:rPr>
          <w:b/>
          <w:color w:val="1E3A5F"/>
          <w:sz w:val="24"/>
        </w:rPr>
        <w:t xml:space="preserve">Academic Year: </w:t>
      </w:r>
      <w:r>
        <w:rPr>
          <w:color w:val="2C3E50"/>
          <w:sz w:val="24"/>
        </w:rPr>
        <w:t>2024-25</w:t>
      </w:r>
    </w:p>
    <w:p>
      <w:pPr>
        <w:spacing w:after="200"/>
        <w:jc w:val="center"/>
      </w:pPr>
      <w:r>
        <w:rPr>
          <w:b/>
          <w:color w:val="1E3A5F"/>
          <w:sz w:val="24"/>
        </w:rPr>
        <w:t xml:space="preserve">Submission Date: </w:t>
      </w:r>
      <w:r>
        <w:rPr>
          <w:color w:val="2C3E50"/>
          <w:sz w:val="24"/>
        </w:rPr>
        <w:t>[Date]</w:t>
      </w:r>
    </w:p>
    <w:p>
      <w:pPr>
        <w:spacing w:before="600"/>
        <w:jc w:val="center"/>
      </w:pPr>
      <w:r>
        <w:rPr>
          <w:i/>
          <w:color w:val="95A5A6"/>
          <w:sz w:val="20"/>
        </w:rPr>
        <w:t>[Attach a scanned copy of this project for personal records as per project guidelines.]</w:t>
      </w:r>
    </w:p>
    <w:p>
      <w:pPr>
        <w:pBdr>
          <w:top w:val="single" w:color="BDC3C7" w:sz="4"/>
          <w:left w:val="single" w:color="BDC3C7" w:sz="4"/>
          <w:bottom w:val="single" w:color="BDC3C7" w:sz="4"/>
          <w:right w:val="single" w:color="BDC3C7" w:sz="4"/>
        </w:pBdr>
        <w:shd w:val="clear" w:fill="F5F5F5"/>
        <w:spacing w:before="800"/>
        <w:ind w:left="720" w:right="720"/>
        <w:jc w:val="center"/>
      </w:pPr>
      <w:r>
        <w:rPr>
          <w:i/>
          <w:color w:val="5D6D7E"/>
          <w:sz w:val="20"/>
        </w:rPr>
        <w:t>[IMAGE PLACEHOLDER: A serene illustration of a human silhouette in meditation, surrounded by concentric glowing circles representing self, family, society and nature. Warm golden and blue tones. Minimalist and academic in style.]</w:t>
      </w:r>
    </w:p>
    <w:p>
      <w:pPr>
        <w:sectPr>
          <w:type w:val="nextPage"/>
          <w:pgSz w:w="11906" w:h="16838"/>
          <w:pgMar w:top="1440" w:right="1440" w:bottom="1440" w:left="1440" w:header="720" w:footer="720"/>
          <w:titlePg/>
        </w:sectPr>
      </w:pPr>
    </w:p>
    <w:p>
      <w:pPr>
        <w:pStyle w:val="Heading1"/>
      </w:pPr>
      <w:r>
        <w:t>PART A - THE SELF (OBJECTIVE)</w:t>
      </w:r>
    </w:p>
    <w:p>
      <w:pPr>
        <w:pStyle w:val="Heading2"/>
      </w:pPr>
      <w:r>
        <w:t>A.1 - What is the Self?</w:t>
      </w:r>
    </w:p>
    <w:p>
      <w:r>
        <w:t>The concept of 'Self' has been explored across multiple disciplines, each offering unique insights into human consciousness and identity. Understanding the Self is fundamental to human values education as it forms the basis for all subsequent ethical and moral development. The question 'Who am I?' is perhaps the most ancient and persistent inquiry in human history, cutting across all cultures, philosophies, and traditions. It is not merely an intellectual exercise but a practical necessity for anyone seeking to live a meaningful, harmonious life. Without a proper understanding of the Self, human beings remain confused about their true nature, leading to misplaced priorities, internal conflict, and a perpetual sense of dissatisfaction despite external achievements.</w:t>
      </w:r>
    </w:p>
    <w:p>
      <w:r>
        <w:t>In the Indian philosophical tradition, the Self is referred to as 'Atman' - the innermost essence of an individual that is eternal, unchanging, and ultimately identical with Brahman, the universal consciousness. The Upanishads, which form the philosophical foundation of Hinduism, repeatedly emphasize the non-dual nature of the individual Self and the universal reality. The famous dictum 'Tat Tvam Asi' (That Thou Art) from the Chandogya Upanishad declares that the individual Self is not separate from the ultimate reality. This understanding is not merely theoretical but is meant to be realised through direct experience, transforming how one perceives oneself and the world. The Brihadaranyaka Upanishad further elaborates that the Self is the seer, the hearer, the thinker, and the knower - the conscious subject behind all experience.</w:t>
      </w:r>
    </w:p>
    <w:p>
      <w:r>
        <w:t>Western philosophy has grappled with the nature of the Self through different lenses. Descartes, in his famous 'cogito ergo sum' ('I think, therefore I am'), established the Self as a thinking substance distinct from the material body. This Cartesian dualism laid the groundwork for modern Western understanding of consciousness. Locke further developed this by emphasizing consciousness and memory as constitutive of personal identity, suggesting that the Self is fundamentally a psychological continuity. For Locke, what makes a person the same over time is not the sameness of substance but the continuity of consciousness and memory. Hume, however, challenged this notion, arguing that when he looked within himself, he found only a bundle of perceptions and no permanent Self.</w:t>
      </w:r>
    </w:p>
    <w:p>
      <w:r>
        <w:t>From a psychological perspective, Carl Rogers' Self-Concept Theory posits that the Self consists of three components: self-image (how we see ourselves), self-esteem (how we value ourselves), and the ideal self (how we wish to be). Rogers emphasized that psychological health depends on the congruence between the real self and the ideal self. When there is a large gap between who we are and who we think we should be, psychological distress arises. Rogers' client-centered therapy aimed to reduce this gap by creating conditions of unconditional positive regard, empathy, and genuineness that would allow the individual to accept their real self and move toward their ideal self in a healthy, integrated manner.</w:t>
      </w:r>
    </w:p>
    <w:p>
      <w:r>
        <w:t>In the Value Education framework developed by A. Nagaraj, 'I' (Jeevan) is defined as the conscious entity that exhibits the activities of knowing, assuming, recognizing, and fulfilling. This 'I' is distinct from the body and represents the fundamental unit of existence that seeks harmony and happiness through right understanding. Nagaraj's framework provides a comprehensive model for understanding the Self in relation to the body, other human beings, and the rest of nature. According to this model, the Self is not merely a passive observer but an active participant in the co-existence of all reality. The Self has innate potential for understanding, love, and harmony, and the purpose of human life is to actualise this potential through self-exploration and right living.</w:t>
      </w:r>
    </w:p>
    <w:p>
      <w:pPr>
        <w:pStyle w:val="Heading2"/>
      </w:pPr>
      <w:r>
        <w:t>A.2 - Self and Body</w:t>
      </w:r>
    </w:p>
    <w:p>
      <w:r>
        <w:t>A critical distinction in value education is between the Self (Jeevan/'I') and the Body (Sharir). The Self is the conscious entity - the seer, feeler, and knower - while the Body serves as the instrument through which the Self interacts with the material world. This distinction is essential for understanding human existence beyond mere physicalism. Without this understanding, human beings identify themselves entirely with their bodies, leading to a materialistic worldview where the pursuit of bodily comforts and sensory pleasures becomes the sole aim of life.</w:t>
      </w:r>
    </w:p>
    <w:p>
      <w:r>
        <w:t>The Self is characterised by consciousness - it is that which is aware. The body, by contrast, is a complex biological machine made of matter. The Self has the capacity for knowing, feeling, and deliberation. It is the source of all intentional activity. The body, while remarkably sophisticated, operates according to biological laws and does not possess consciousness in and of itself. When we say 'my body,' we implicitly acknowledge a distinction between the 'I' that possesses and the body that is possessed. This linguistic intuition reflects a deep truth about the structure of human existence.</w:t>
      </w:r>
    </w:p>
    <w:p>
      <w:r>
        <w:t>The Self is permanent and unchanging in its essential nature, while the body undergoes constant change - from birth through growth, aging, and eventual death. Every cell in the body is replaced over time, yet the sense of 'I' remains continuous. This persistence of identity through bodily change suggests that the Self is not reducible to the body. The needs of the Self are primarily for understanding, love, and harmony, while the needs of the body are material - food, shelter, rest, and protection. Confusing these needs leads to the misguided pursuit of material things as sources of lasting happiness.</w:t>
      </w:r>
    </w:p>
    <w:tbl>
      <w:tblPr>
        <w:tblW w:w="5000" w:type="pct"/>
        <w:tblBorders>
          <w:top w:val="single" w:color="1E3A5F" w:sz="12"/>
          <w:left w:val="nil"/>
          <w:bottom w:val="single" w:color="1E3A5F" w:sz="12"/>
          <w:right w:val="nil"/>
          <w:insideH w:val="single" w:color="BDC3C7" w:sz="4"/>
          <w:insideV w:val="nil"/>
        </w:tblBorders>
        <w:tblCellMar>
          <w:top w:w="80" w:type="dxa"/>
          <w:left w:w="150" w:type="dxa"/>
          <w:bottom w:w="80" w:type="dxa"/>
          <w:right w:w="150" w:type="dxa"/>
        </w:tblCellMar>
      </w:tblPr>
      <w:tblGrid>
        <w:gridCol w:w="2000"/>
        <w:gridCol w:w="4000"/>
        <w:gridCol w:w="4000"/>
      </w:tblGrid>
      <w:tr>
        <w:trPr>
          <w:tblHeader/>
        </w:trPr>
        <w:tc>
          <w:tcPr>
            <w:tcW w:w="0" w:type="auto"/>
            <w:tcBorders>
              <w:bottom w:val="single" w:color="1E3A5F" w:sz="8"/>
            </w:tcBorders>
            <w:shd w:val="clear" w:fill="EBF5FB"/>
            <w:vAlign w:val="center"/>
          </w:tcPr>
          <w:p>
            <w:pPr>
              <w:spacing w:before="0" w:after="0"/>
              <w:jc w:val="center"/>
            </w:pPr>
            <w:r>
              <w:rPr>
                <w:b/>
                <w:color w:val="2C3E50"/>
                <w:sz w:val="22"/>
              </w:rPr>
              <w:t>Properties</w:t>
            </w:r>
          </w:p>
        </w:tc>
        <w:tc>
          <w:tcPr>
            <w:tcW w:w="0" w:type="auto"/>
            <w:tcBorders>
              <w:bottom w:val="single" w:color="1E3A5F" w:sz="8"/>
            </w:tcBorders>
            <w:shd w:val="clear" w:fill="EBF5FB"/>
            <w:vAlign w:val="center"/>
          </w:tcPr>
          <w:p>
            <w:pPr>
              <w:spacing w:before="0" w:after="0"/>
              <w:jc w:val="center"/>
            </w:pPr>
            <w:r>
              <w:rPr>
                <w:b/>
                <w:color w:val="2C3E50"/>
                <w:sz w:val="22"/>
              </w:rPr>
              <w:t>Self (Jeevan)</w:t>
            </w:r>
          </w:p>
        </w:tc>
        <w:tc>
          <w:tcPr>
            <w:tcW w:w="0" w:type="auto"/>
            <w:tcBorders>
              <w:bottom w:val="single" w:color="1E3A5F" w:sz="8"/>
            </w:tcBorders>
            <w:shd w:val="clear" w:fill="EBF5FB"/>
            <w:vAlign w:val="center"/>
          </w:tcPr>
          <w:p>
            <w:pPr>
              <w:spacing w:before="0" w:after="0"/>
              <w:jc w:val="center"/>
            </w:pPr>
            <w:r>
              <w:rPr>
                <w:b/>
                <w:color w:val="2C3E50"/>
                <w:sz w:val="22"/>
              </w:rPr>
              <w:t>Body (Sharir)</w:t>
            </w:r>
          </w:p>
        </w:tc>
      </w:tr>
      <w:tr>
        <w:tc>
          <w:tcPr>
            <w:tcW w:w="0" w:type="auto"/>
            <w:vAlign w:val="center"/>
          </w:tcPr>
          <w:p>
            <w:pPr>
              <w:spacing w:before="0" w:after="0"/>
              <w:jc w:val="center"/>
            </w:pPr>
            <w:r>
              <w:rPr>
                <w:color w:val="2C3E50"/>
                <w:sz w:val="22"/>
              </w:rPr>
              <w:t>Nature</w:t>
            </w:r>
          </w:p>
        </w:tc>
        <w:tc>
          <w:tcPr>
            <w:tcW w:w="0" w:type="auto"/>
            <w:vAlign w:val="center"/>
          </w:tcPr>
          <w:p>
            <w:pPr>
              <w:spacing w:before="0" w:after="0"/>
              <w:jc w:val="left"/>
            </w:pPr>
            <w:r>
              <w:rPr>
                <w:color w:val="2C3E50"/>
                <w:sz w:val="22"/>
              </w:rPr>
              <w:t>Conscious entity</w:t>
            </w:r>
          </w:p>
        </w:tc>
        <w:tc>
          <w:tcPr>
            <w:tcW w:w="0" w:type="auto"/>
            <w:vAlign w:val="center"/>
          </w:tcPr>
          <w:p>
            <w:pPr>
              <w:spacing w:before="0" w:after="0"/>
              <w:jc w:val="left"/>
            </w:pPr>
            <w:r>
              <w:rPr>
                <w:color w:val="2C3E50"/>
                <w:sz w:val="22"/>
              </w:rPr>
              <w:t>Material substance</w:t>
            </w:r>
          </w:p>
        </w:tc>
      </w:tr>
      <w:tr>
        <w:tc>
          <w:tcPr>
            <w:tcW w:w="0" w:type="auto"/>
            <w:vAlign w:val="center"/>
          </w:tcPr>
          <w:p>
            <w:pPr>
              <w:spacing w:before="0" w:after="0"/>
              <w:jc w:val="center"/>
            </w:pPr>
            <w:r>
              <w:rPr>
                <w:color w:val="2C3E50"/>
                <w:sz w:val="22"/>
              </w:rPr>
              <w:t>Permanence</w:t>
            </w:r>
          </w:p>
        </w:tc>
        <w:tc>
          <w:tcPr>
            <w:tcW w:w="0" w:type="auto"/>
            <w:vAlign w:val="center"/>
          </w:tcPr>
          <w:p>
            <w:pPr>
              <w:spacing w:before="0" w:after="0"/>
              <w:jc w:val="left"/>
            </w:pPr>
            <w:r>
              <w:rPr>
                <w:color w:val="2C3E50"/>
                <w:sz w:val="22"/>
              </w:rPr>
              <w:t>Eternal, unchanging</w:t>
            </w:r>
          </w:p>
        </w:tc>
        <w:tc>
          <w:tcPr>
            <w:tcW w:w="0" w:type="auto"/>
            <w:vAlign w:val="center"/>
          </w:tcPr>
          <w:p>
            <w:pPr>
              <w:spacing w:before="0" w:after="0"/>
              <w:jc w:val="left"/>
            </w:pPr>
            <w:r>
              <w:rPr>
                <w:color w:val="2C3E50"/>
                <w:sz w:val="22"/>
              </w:rPr>
              <w:t>Temporary, changing</w:t>
            </w:r>
          </w:p>
        </w:tc>
      </w:tr>
      <w:tr>
        <w:tc>
          <w:tcPr>
            <w:tcW w:w="0" w:type="auto"/>
            <w:vAlign w:val="center"/>
          </w:tcPr>
          <w:p>
            <w:pPr>
              <w:spacing w:before="0" w:after="0"/>
              <w:jc w:val="center"/>
            </w:pPr>
            <w:r>
              <w:rPr>
                <w:color w:val="2C3E50"/>
                <w:sz w:val="22"/>
              </w:rPr>
              <w:t>Needs</w:t>
            </w:r>
          </w:p>
        </w:tc>
        <w:tc>
          <w:tcPr>
            <w:tcW w:w="0" w:type="auto"/>
            <w:vAlign w:val="center"/>
          </w:tcPr>
          <w:p>
            <w:pPr>
              <w:spacing w:before="0" w:after="0"/>
              <w:jc w:val="left"/>
            </w:pPr>
            <w:r>
              <w:rPr>
                <w:color w:val="2C3E50"/>
                <w:sz w:val="22"/>
              </w:rPr>
              <w:t>Harmony, understanding</w:t>
            </w:r>
          </w:p>
        </w:tc>
        <w:tc>
          <w:tcPr>
            <w:tcW w:w="0" w:type="auto"/>
            <w:vAlign w:val="center"/>
          </w:tcPr>
          <w:p>
            <w:pPr>
              <w:spacing w:before="0" w:after="0"/>
              <w:jc w:val="left"/>
            </w:pPr>
            <w:r>
              <w:rPr>
                <w:color w:val="2C3E50"/>
                <w:sz w:val="22"/>
              </w:rPr>
              <w:t>Food, shelter, rest</w:t>
            </w:r>
          </w:p>
        </w:tc>
      </w:tr>
      <w:tr>
        <w:tc>
          <w:tcPr>
            <w:tcW w:w="0" w:type="auto"/>
            <w:vAlign w:val="center"/>
          </w:tcPr>
          <w:p>
            <w:pPr>
              <w:spacing w:before="0" w:after="0"/>
              <w:jc w:val="center"/>
            </w:pPr>
            <w:r>
              <w:rPr>
                <w:color w:val="2C3E50"/>
                <w:sz w:val="22"/>
              </w:rPr>
              <w:t>Activity</w:t>
            </w:r>
          </w:p>
        </w:tc>
        <w:tc>
          <w:tcPr>
            <w:tcW w:w="0" w:type="auto"/>
            <w:vAlign w:val="center"/>
          </w:tcPr>
          <w:p>
            <w:pPr>
              <w:spacing w:before="0" w:after="0"/>
              <w:jc w:val="left"/>
            </w:pPr>
            <w:r>
              <w:rPr>
                <w:color w:val="2C3E50"/>
                <w:sz w:val="22"/>
              </w:rPr>
              <w:t>Knowing, assuming, recognizing</w:t>
            </w:r>
          </w:p>
        </w:tc>
        <w:tc>
          <w:tcPr>
            <w:tcW w:w="0" w:type="auto"/>
            <w:vAlign w:val="center"/>
          </w:tcPr>
          <w:p>
            <w:pPr>
              <w:spacing w:before="0" w:after="0"/>
              <w:jc w:val="left"/>
            </w:pPr>
            <w:r>
              <w:rPr>
                <w:color w:val="2C3E50"/>
                <w:sz w:val="22"/>
              </w:rPr>
              <w:t>Physiological processes</w:t>
            </w:r>
          </w:p>
        </w:tc>
      </w:tr>
      <w:tr>
        <w:tc>
          <w:tcPr>
            <w:tcW w:w="0" w:type="auto"/>
            <w:vAlign w:val="center"/>
          </w:tcPr>
          <w:p>
            <w:pPr>
              <w:spacing w:before="0" w:after="0"/>
              <w:jc w:val="center"/>
            </w:pPr>
            <w:r>
              <w:rPr>
                <w:color w:val="2C3E50"/>
                <w:sz w:val="22"/>
              </w:rPr>
              <w:t>Awareness</w:t>
            </w:r>
          </w:p>
        </w:tc>
        <w:tc>
          <w:tcPr>
            <w:tcW w:w="0" w:type="auto"/>
            <w:vAlign w:val="center"/>
          </w:tcPr>
          <w:p>
            <w:pPr>
              <w:spacing w:before="0" w:after="0"/>
              <w:jc w:val="left"/>
            </w:pPr>
            <w:r>
              <w:rPr>
                <w:color w:val="2C3E50"/>
                <w:sz w:val="22"/>
              </w:rPr>
              <w:t>Self-aware, conscious</w:t>
            </w:r>
          </w:p>
        </w:tc>
        <w:tc>
          <w:tcPr>
            <w:tcW w:w="0" w:type="auto"/>
            <w:vAlign w:val="center"/>
          </w:tcPr>
          <w:p>
            <w:pPr>
              <w:spacing w:before="0" w:after="0"/>
              <w:jc w:val="left"/>
            </w:pPr>
            <w:r>
              <w:rPr>
                <w:color w:val="2C3E50"/>
                <w:sz w:val="22"/>
              </w:rPr>
              <w:t>Non-conscious</w:t>
            </w:r>
          </w:p>
        </w:tc>
      </w:tr>
      <w:tr>
        <w:tc>
          <w:tcPr>
            <w:tcW w:w="0" w:type="auto"/>
            <w:vAlign w:val="center"/>
          </w:tcPr>
          <w:p>
            <w:pPr>
              <w:spacing w:before="0" w:after="0"/>
              <w:jc w:val="center"/>
            </w:pPr>
            <w:r>
              <w:rPr>
                <w:color w:val="2C3E50"/>
                <w:sz w:val="22"/>
              </w:rPr>
              <w:t>Growth type</w:t>
            </w:r>
          </w:p>
        </w:tc>
        <w:tc>
          <w:tcPr>
            <w:tcW w:w="0" w:type="auto"/>
            <w:vAlign w:val="center"/>
          </w:tcPr>
          <w:p>
            <w:pPr>
              <w:spacing w:before="0" w:after="0"/>
              <w:jc w:val="left"/>
            </w:pPr>
            <w:r>
              <w:rPr>
                <w:color w:val="2C3E50"/>
                <w:sz w:val="22"/>
              </w:rPr>
              <w:t>Qualitative evolution</w:t>
            </w:r>
          </w:p>
        </w:tc>
        <w:tc>
          <w:tcPr>
            <w:tcW w:w="0" w:type="auto"/>
            <w:vAlign w:val="center"/>
          </w:tcPr>
          <w:p>
            <w:pPr>
              <w:spacing w:before="0" w:after="0"/>
              <w:jc w:val="left"/>
            </w:pPr>
            <w:r>
              <w:rPr>
                <w:color w:val="2C3E50"/>
                <w:sz w:val="22"/>
              </w:rPr>
              <w:t>Quantitative development</w:t>
            </w:r>
          </w:p>
        </w:tc>
      </w:tr>
      <w:tr>
        <w:tc>
          <w:tcPr>
            <w:tcW w:w="0" w:type="auto"/>
            <w:vAlign w:val="center"/>
          </w:tcPr>
          <w:p>
            <w:pPr>
              <w:spacing w:before="0" w:after="0"/>
              <w:jc w:val="center"/>
            </w:pPr>
            <w:r>
              <w:rPr>
                <w:color w:val="2C3E50"/>
                <w:sz w:val="22"/>
              </w:rPr>
              <w:t>Role</w:t>
            </w:r>
          </w:p>
        </w:tc>
        <w:tc>
          <w:tcPr>
            <w:tcW w:w="0" w:type="auto"/>
            <w:vAlign w:val="center"/>
          </w:tcPr>
          <w:p>
            <w:pPr>
              <w:spacing w:before="0" w:after="0"/>
              <w:jc w:val="left"/>
            </w:pPr>
            <w:r>
              <w:rPr>
                <w:color w:val="2C3E50"/>
                <w:sz w:val="22"/>
              </w:rPr>
              <w:t>Director, experiencer</w:t>
            </w:r>
          </w:p>
        </w:tc>
        <w:tc>
          <w:tcPr>
            <w:tcW w:w="0" w:type="auto"/>
            <w:vAlign w:val="center"/>
          </w:tcPr>
          <w:p>
            <w:pPr>
              <w:spacing w:before="0" w:after="0"/>
              <w:jc w:val="left"/>
            </w:pPr>
            <w:r>
              <w:rPr>
                <w:color w:val="2C3E50"/>
                <w:sz w:val="22"/>
              </w:rPr>
              <w:t>Instrument, vehicle</w:t>
            </w:r>
          </w:p>
        </w:tc>
      </w:tr>
      <w:tr>
        <w:tc>
          <w:tcPr>
            <w:tcW w:w="0" w:type="auto"/>
            <w:vAlign w:val="center"/>
          </w:tcPr>
          <w:p>
            <w:pPr>
              <w:spacing w:before="0" w:after="0"/>
              <w:jc w:val="center"/>
            </w:pPr>
            <w:r>
              <w:rPr>
                <w:color w:val="2C3E50"/>
                <w:sz w:val="22"/>
              </w:rPr>
              <w:t>Example</w:t>
            </w:r>
          </w:p>
        </w:tc>
        <w:tc>
          <w:tcPr>
            <w:tcW w:w="0" w:type="auto"/>
            <w:vAlign w:val="center"/>
          </w:tcPr>
          <w:p>
            <w:pPr>
              <w:spacing w:before="0" w:after="0"/>
              <w:jc w:val="left"/>
            </w:pPr>
            <w:r>
              <w:rPr>
                <w:color w:val="2C3E50"/>
                <w:sz w:val="22"/>
              </w:rPr>
              <w:t>Driver of the vehicle</w:t>
            </w:r>
          </w:p>
        </w:tc>
        <w:tc>
          <w:tcPr>
            <w:tcW w:w="0" w:type="auto"/>
            <w:vAlign w:val="center"/>
          </w:tcPr>
          <w:p>
            <w:pPr>
              <w:spacing w:before="0" w:after="0"/>
              <w:jc w:val="left"/>
            </w:pPr>
            <w:r>
              <w:rPr>
                <w:color w:val="2C3E50"/>
                <w:sz w:val="22"/>
              </w:rPr>
              <w:t>Vehicle being driven</w:t>
            </w:r>
          </w:p>
        </w:tc>
      </w:tr>
    </w:tbl>
    <w:p>
      <w:pPr>
        <w:pStyle w:val="Caption"/>
      </w:pPr>
      <w:r>
        <w:t>Table 1: Comparison of Self (Jeevan) and Body (Sharir)</w:t>
      </w:r>
    </w:p>
    <w:p>
      <w:r>
        <w:t>The relationship between Self, Body, and World can be understood as a directed flow of interaction:</w:t>
      </w:r>
    </w:p>
    <w:p>
      <w:pPr>
        <w:pBdr>
          <w:top w:val="single" w:color="BDC3C7" w:sz="4"/>
          <w:left w:val="single" w:color="BDC3C7" w:sz="4"/>
          <w:bottom w:val="single" w:color="BDC3C7" w:sz="4"/>
          <w:right w:val="single" w:color="BDC3C7" w:sz="4"/>
        </w:pBdr>
        <w:shd w:val="clear" w:fill="F8F9FA"/>
        <w:spacing w:before="200" w:after="200"/>
        <w:ind w:left="360" w:right="360"/>
        <w:jc w:val="center"/>
      </w:pPr>
      <w:r>
        <w:rPr>
          <w:color w:val="2C3E50"/>
          <w:sz w:val="18"/>
        </w:rPr>
        <w:t>[SELF (I/Jeevan)]  ---- directs ----&gt;  [BODY (Sharir)]  ---- interacts with ----&gt;  [WORLD]
The Self is the conscious director, the Body is the instrument, and the World is the field of interaction.</w:t>
      </w:r>
    </w:p>
    <w:p>
      <w:pPr>
        <w:pStyle w:val="Caption"/>
      </w:pPr>
      <w:r>
        <w:t>Figure 1: The Self-Body-World Relationship Flow</w:t>
      </w:r>
    </w:p>
    <w:p>
      <w:pPr>
        <w:pStyle w:val="Heading2"/>
      </w:pPr>
      <w:r>
        <w:t>A.3 - Realisation of the Self</w:t>
      </w:r>
    </w:p>
    <w:p>
      <w:r>
        <w:t>Self-realisation differs from self-awareness in depth and transformative power. While self-awareness involves recognising one's thoughts and feelings as they arise, self-realisation is the profound understanding of one's true nature as distinct from the body-mind complex. It represents a fundamental shift in how one perceives existence - a shift from identification with the transient to recognition of the eternal, from fragmentation to wholeness, from conflict to harmony. Self-realisation is not an intellectual belief but a direct, experiential knowing that transforms one's entire way of being in the world.</w:t>
      </w:r>
    </w:p>
    <w:p>
      <w:r>
        <w:t>The process of self-realisation typically unfolds through several stages. It begins with confusion - a sense of not knowing who one truly is, often masked by social roles and identities. This confusion may be experienced as existential anxiety, a sense of meaninglessness, or simply a vague dissatisfaction with life despite external success. The second stage is self-enquiry - the active investigation into the nature of the Self. This may take the form of philosophical study, meditation, contemplation, or dialogue with teachers and mentors. The third stage is gaining clarity - developing a coherent understanding of the Self based on direct experience and reliable knowledge. The fourth stage is the moment of realisation itself - a transformative insight where the truth of one's being becomes directly apparent. The final stage is living this realisation - integrating the insight into daily life so that it informs every thought, word, and action.</w:t>
      </w:r>
    </w:p>
    <w:p>
      <w:pPr>
        <w:pBdr>
          <w:top w:val="single" w:color="BDC3C7" w:sz="4"/>
          <w:left w:val="single" w:color="BDC3C7" w:sz="4"/>
          <w:bottom w:val="single" w:color="BDC3C7" w:sz="4"/>
          <w:right w:val="single" w:color="BDC3C7" w:sz="4"/>
        </w:pBdr>
        <w:shd w:val="clear" w:fill="F8F9FA"/>
        <w:spacing w:before="200" w:after="200"/>
        <w:ind w:left="360" w:right="360"/>
        <w:jc w:val="center"/>
      </w:pPr>
      <w:r>
        <w:rPr>
          <w:color w:val="2C3E50"/>
          <w:sz w:val="18"/>
        </w:rPr>
        <w:t>STAGES OF SELF-REALISATION:
[Confusion about Self] --&gt; [Self-Enquiry] --&gt; [Gaining Clarity] --&gt; [Moment of Realisation] --&gt; [Living with Self-Knowledge]
Stage 1: Questioning existence and feeling dissatisfaction
Stage 2: Active seeking through study, meditation, dialogue
Stage 3: Understanding emerges from direct experience
Stage 4: Direct recognition of one's true nature
Stage 5: Embodied wisdom integrated into daily living</w:t>
      </w:r>
    </w:p>
    <w:p>
      <w:pPr>
        <w:pStyle w:val="Caption"/>
      </w:pPr>
      <w:r>
        <w:t>Figure 2: Stages of Self-Realisation Process</w:t>
      </w:r>
    </w:p>
    <w:p>
      <w:r>
        <w:t>Throughout history, exemplars of self-realisation have demonstrated this journey in remarkable ways. Mahatma Gandhi's transformation from a shy, unsure lawyer into a fearless leader of millions came through sustained self-enquiry and the practice of truth. His autobiography, 'The Story of My Experiments with Truth,' documents this journey of self-discovery through action. Swami Vivekananda's realisation at the feet of Ramakrishna Paramahamsa transformed him from a skeptical, argumentative youth into a global spiritual ambassador who introduced Vedanta to the Western world. Nelson Mandela's twenty-seven years of imprisonment became a period of profound inner evolution, enabling him to emerge without bitterness and lead a divided nation toward reconciliation rather than revenge.</w:t>
      </w:r>
    </w:p>
    <w:p>
      <w:pPr>
        <w:pStyle w:val="Heading2"/>
      </w:pPr>
      <w:r>
        <w:t>A.4 - Factors Affecting the Self</w:t>
      </w:r>
    </w:p>
    <w:p>
      <w:r>
        <w:t>The development of self-concept is influenced by a complex interplay of internal and external factors. Understanding these factors is essential for anyone engaged in the process of self-exploration and inner evolution, as it allows us to identify the forces that have shaped us and to consciously choose which influences to cultivate and which to transcend.</w:t>
      </w:r>
    </w:p>
    <w:p>
      <w:r>
        <w:t>Internal factors include personal beliefs - the assumptions we hold about ourselves, others, and the world that shape our interpretation of experience. These beliefs may be conscious or unconscious, rational or irrational, serving our growth or limiting it. Values represent what we consider important and worthwhile, providing the criteria by which we evaluate ourselves and our choices. Emotional patterns - habitual ways of responding to situations - profoundly affect our experience and behaviour. Past experiences, especially those from childhood, create deep imprints that influence our perceptions and reactions throughout life.</w:t>
      </w:r>
    </w:p>
    <w:p>
      <w:r>
        <w:t>External factors encompass the family environment, which provides the first and most formative context for self-development. Educational experiences shape not only our knowledge and skills but also our beliefs about our capabilities and potential. Peer relationships become increasingly influential during adolescence and young adulthood. Media exposure - to news, entertainment, advertising, and social media - shapes our perception of reality and our standards for self-evaluation. Religious upbringing and cultural context provide frameworks of meaning, morality, and identity that profoundly influence how we understand ourselves and our place in the world.</w:t>
      </w:r>
    </w:p>
    <w:p>
      <w:pPr>
        <w:spacing w:before="200" w:after="80"/>
        <w:jc w:val="center"/>
      </w:pPr>
      <w:r>
        <w:drawing>
          <wp:inline distT="0" distB="0" distL="0" distR="0">
            <wp:extent cx="4572000" cy="3200000"/>
            <wp:effectExtent l="0" t="0" r="0" b="0"/>
            <wp:docPr id="50" name="Chart"/>
            <wp:cNvGraphicFramePr>
              <a:graphicFrameLocks noChangeAspect="1"/>
            </wp:cNvGraphicFramePr>
            <a:graphic>
              <a:graphicData uri="http://schemas.openxmlformats.org/drawingml/2006/chart">
                <ns3:chart r:id="R1d5261e6010d4b92"/>
              </a:graphicData>
            </a:graphic>
          </wp:inline>
        </w:drawing>
      </w:r>
    </w:p>
    <w:p>
      <w:pPr>
        <w:pStyle w:val="Caption"/>
      </w:pPr>
      <w:r>
        <w:t>Figure 3: Factors That Shape Self-Concept (Based on representative behavioural psychology surveys)</w:t>
      </w:r>
    </w:p>
    <w:p>
      <w:pPr>
        <w:pStyle w:val="Heading2"/>
      </w:pPr>
      <w:r>
        <w:t>A.5 - Right Understanding</w:t>
      </w:r>
    </w:p>
    <w:p>
      <w:r>
        <w:t>Right Understanding (Sahi Samajh) refers to comprehension that operates at the level of the Self, not merely intellectual or bookish knowledge. It involves seeing reality as it is, without the distortions of preconditioning, prejudice, or desire. Intellectual knowledge is conceptual and theoretical - one can know about something without it transforming one's life. Right Understanding, by contrast, is transformative because it is rooted in direct experience and aligned with reality. When one has Right Understanding, knowledge is not merely stored in memory but becomes the basis for feeling, thought, and action.</w:t>
      </w:r>
    </w:p>
    <w:p>
      <w:r>
        <w:t>The difference between intellectual knowledge and Right Understanding can be illustrated by the example of fire. One can intellectually know that fire burns by reading about it in a book. But the person who has actually touched fire has a qualitatively different understanding - one that informs their behaviour without needing to be recalled. Similarly, one can intellectually understand that all human beings are interconnected, but Right Understanding means that this truth is directly seen and felt, naturally leading to compassionate treatment of others.</w:t>
      </w:r>
    </w:p>
    <w:p>
      <w:r>
        <w:t>Right Understanding naturally leads to Right Feeling - emotions that are appropriate to reality rather than distorted by misunderstanding. Right Feeling generates Right Thought - thinking that is clear, constructive, and aligned with truth. Right Thought manifests as Right Action - behaviour that is naturally ethical because it arises from understanding rather than from imposed rules. This cascade from understanding through feeling and thought to action creates harmony within the Self, which naturally extends to harmony with the world.</w:t>
      </w:r>
    </w:p>
    <w:p>
      <w:pPr>
        <w:pBdr>
          <w:top w:val="single" w:color="BDC3C7" w:sz="4"/>
          <w:left w:val="single" w:color="BDC3C7" w:sz="4"/>
          <w:bottom w:val="single" w:color="BDC3C7" w:sz="4"/>
          <w:right w:val="single" w:color="BDC3C7" w:sz="4"/>
        </w:pBdr>
        <w:shd w:val="clear" w:fill="F8F9FA"/>
        <w:spacing w:before="200" w:after="200"/>
        <w:ind w:left="360" w:right="360"/>
        <w:jc w:val="center"/>
      </w:pPr>
      <w:r>
        <w:rPr>
          <w:color w:val="2C3E50"/>
          <w:sz w:val="18"/>
        </w:rPr>
        <w:t>FROM RIGHT UNDERSTANDING TO HARMONY:
[Right Understanding] --&gt; [Right Feeling] --&gt; [Right Thought] --&gt; [Right Action] --&gt; [Harmony within Self] --&gt; [Harmony with World]
Right Understanding: Seeing reality as it is
Right Feeling: Emotional alignment with truth
Right Thought: Clear, constructive thinking
Right Action: Behaviour naturally aligned with values
Harmony within Self: Inner peace and coherence
Harmony with World: External peace and right relationships</w:t>
      </w:r>
    </w:p>
    <w:p>
      <w:pPr>
        <w:pStyle w:val="Caption"/>
      </w:pPr>
      <w:r>
        <w:t>Figure 4: From Right Understanding to Harmony</w:t>
      </w:r>
    </w:p>
    <w:p>
      <w:pPr>
        <w:pStyle w:val="Heading2"/>
      </w:pPr>
      <w:r>
        <w:t>A.6 - Basic Human Aspirations</w:t>
      </w:r>
    </w:p>
    <w:p>
      <w:r>
        <w:t>Every human being fundamentally seeks two things: Happiness (Sukh) and Prosperity (Samriddhi). These aspirations are universal - they apply to every person regardless of culture, age, gender, or social status. However, the understanding of what constitutes happiness and prosperity varies greatly, and much of human suffering arises from confusion about how these fundamental aspirations can be fulfilled.</w:t>
      </w:r>
    </w:p>
    <w:p>
      <w:r>
        <w:t>Happiness, in the framework of human values education, is not the fleeting pleasure of sensory gratification nor the temporary satisfaction of achieving a goal. True happiness is a state of sustained inner harmony - a condition of the Self that persists regardless of external circumstances. It is characterised by peace, contentment, and a sense of meaning. Prosperity refers to the feeling of having enough - of being able to fulfil one's needs. It is not the same as wealth, which is merely the accumulation of resources. One can be wealthy without feeling prosperous if one's needs are not actually met.</w:t>
      </w:r>
    </w:p>
    <w:p>
      <w:r>
        <w:t>Human aspirations operate at four levels. The first level is physical needs - the requirements of the body for survival and comfort, including food, shelter, clothing, health, and safety. The second level is mental needs - the requirements for psychological well-being, including peace of mind, clarity of thought, confidence, and emotional balance. The third level is social needs - the requirements for harmonious relationships, including trust, respect, love, and a sense of belonging. The fourth level is spiritual needs - the requirements for meaning and purpose, including self-realisation, connection with something greater than oneself, and the experience of transcending the ego.</w:t>
      </w:r>
    </w:p>
    <w:p>
      <w:r>
        <w:t>Material progress and economic development primarily address Level 1 needs - physical security and comfort. While this is important, it is insufficient for human flourishing. A person may have all material needs met and still suffer profoundly from anxiety, loneliness, and meaninglessness. Holistic education that encompasses human values addresses all four levels, recognising that true prosperity includes physical well-being, mental peace, social harmony, and spiritual growth.</w:t>
      </w:r>
    </w:p>
    <w:p>
      <w:pPr>
        <w:pBdr>
          <w:top w:val="single" w:color="BDC3C7" w:sz="4"/>
          <w:left w:val="single" w:color="BDC3C7" w:sz="4"/>
          <w:bottom w:val="single" w:color="BDC3C7" w:sz="4"/>
          <w:right w:val="single" w:color="BDC3C7" w:sz="4"/>
        </w:pBdr>
        <w:shd w:val="clear" w:fill="F8F9FA"/>
        <w:spacing w:before="200" w:after="200"/>
        <w:ind w:left="360" w:right="360"/>
        <w:jc w:val="center"/>
      </w:pPr>
      <w:r>
        <w:rPr>
          <w:color w:val="2C3E50"/>
          <w:sz w:val="18"/>
        </w:rPr>
        <w:t>LEVELS OF HUMAN ASPIRATION (Bottom to Top):
Level 4 /\  Spiritual Needs: Self-realisation, purpose, harmony
       /  \
      /____\ Level 3: Social Needs - relationships, trust, respect
     /      \
    /________\ Level 2: Mental Needs - peace, clarity, confidence
   /          \
  /____________\ Level 1: Physical Needs - food, shelter, health
Note: Material progress addresses Level 1 only. Holistic education addresses all four levels.</w:t>
      </w:r>
    </w:p>
    <w:p>
      <w:pPr>
        <w:pStyle w:val="Caption"/>
      </w:pPr>
      <w:r>
        <w:t>Figure 5: Levels of Human Aspiration Pyramid</w:t>
      </w:r>
    </w:p>
    <w:p>
      <w:pPr>
        <w:sectPr>
          <w:type w:val="nextPage"/>
          <w:pgSz w:w="11906" w:h="16838"/>
          <w:pgMar w:top="1440" w:right="1440" w:bottom="1440" w:left="1440" w:header="720" w:footer="720"/>
        </w:sectPr>
      </w:pPr>
    </w:p>
    <w:p>
      <w:pPr>
        <w:pStyle w:val="Heading1"/>
      </w:pPr>
      <w:r>
        <w:t>PART B - INNER EVOLUTION AND CO-EXISTENCE (OBJECTIVE)</w:t>
      </w:r>
    </w:p>
    <w:p>
      <w:pPr>
        <w:pStyle w:val="Heading2"/>
      </w:pPr>
      <w:r>
        <w:t>B.1 - Inner Evolution</w:t>
      </w:r>
    </w:p>
    <w:p>
      <w:r>
        <w:t>Inner evolution refers to qualitative transformation in understanding, feeling, and behaviour - as opposed to material or external progress. While external development focuses on acquiring possessions, status, and comfort, inner evolution concerns the refinement of consciousness and the cultivation of harmony within oneself and with others. This distinction is crucial because modern civilisation has achieved remarkable external progress while often neglecting inner development, leading to a paradox where people have more material comforts than ever before but experience unprecedented levels of anxiety, depression, and alienation.</w:t>
      </w:r>
    </w:p>
    <w:p>
      <w:r>
        <w:t>The three pillars of inner evolution form the foundation for sustainable personal growth. Self-Exploration is the process of investigating one's own consciousness, beliefs, values, and patterns of behaviour to discover one's authentic nature. Self-Awareness is the capacity to observe oneself in real-time - to notice thoughts, feelings, and behaviours as they arise without being completely identified with or controlled by them. Self-Evaluation is the honest assessment of one's current state in relation to one's values and aspirations, identifying areas for growth and committing to change.</w:t>
      </w:r>
    </w:p>
    <w:p>
      <w:r>
        <w:t>Inner evolution is not a linear process with a fixed endpoint but an ongoing journey of refinement. It involves gradually removing the obstacles to one's natural state of harmony and clarity - obstacles such as false beliefs, emotional wounds, ego-driven patterns, and habitual reactions. As these obstacles are removed, qualities such as peace, compassion, wisdom, and joy naturally emerge. These are not qualities that need to be acquired from outside but latent potentials of the Self that become manifest as the coverings that obscure them are removed.</w:t>
      </w:r>
    </w:p>
    <w:p>
      <w:pPr>
        <w:pStyle w:val="Heading2"/>
      </w:pPr>
      <w:r>
        <w:t>B.2 - Self-Exploration</w:t>
      </w:r>
    </w:p>
    <w:p>
      <w:r>
        <w:t>Self-exploration is the systematic process of investigating one's own consciousness, beliefs, values, and patterns of behaviour. Its purpose is to move beyond conditioned responses and discover one's authentic nature. Most people live their lives according to scripts they did not write - beliefs, values, and behaviours absorbed from family, culture, and media without conscious examination. Self-exploration involves examining these scripts to determine which serve one's growth and which limit it.</w:t>
      </w:r>
    </w:p>
    <w:p>
      <w:r>
        <w:t>Effective methods of self-exploration include meditation, which involves developing witness consciousness - the capacity to observe one's mental processes without being caught up in them. Through regular meditation practice, one becomes aware of the stream of thoughts, emotions, and sensations that constitutes inner experience, and gradually develops the capacity to rest in awareness itself rather than being constantly identified with the contents of awareness. Journaling is another powerful method, involving the regular recording of inner experiences which creates a record that can be reflected upon and reveals patterns that might otherwise go unnoticed.</w:t>
      </w:r>
    </w:p>
    <w:p>
      <w:r>
        <w:t>Reflective dialogue - discussing one's inner life with trusted others - provides external perspective and feedback that can illuminate blind spots. Questioning assumptions involves examining the beliefs that underlie one's thoughts and actions, asking 'Is this really true?' and 'How do I know?' about convictions that have been held without examination. The following questions provide a structured framework for self-exploration:</w:t>
      </w:r>
    </w:p>
    <w:tbl>
      <w:tblPr>
        <w:tblW w:w="5000" w:type="pct"/>
        <w:tblBorders>
          <w:top w:val="single" w:color="1E3A5F" w:sz="12"/>
          <w:left w:val="nil"/>
          <w:bottom w:val="single" w:color="1E3A5F" w:sz="12"/>
          <w:right w:val="nil"/>
          <w:insideH w:val="single" w:color="BDC3C7" w:sz="4"/>
          <w:insideV w:val="nil"/>
        </w:tblBorders>
        <w:tblCellMar>
          <w:top w:w="80" w:type="dxa"/>
          <w:left w:w="150" w:type="dxa"/>
          <w:bottom w:w="80" w:type="dxa"/>
          <w:right w:w="150" w:type="dxa"/>
        </w:tblCellMar>
      </w:tblPr>
      <w:tblGrid>
        <w:gridCol w:w="1200"/>
        <w:gridCol w:w="8800"/>
      </w:tblGrid>
      <w:tr>
        <w:trPr>
          <w:tblHeader/>
        </w:trPr>
        <w:tc>
          <w:tcPr>
            <w:tcW w:w="0" w:type="auto"/>
            <w:tcBorders>
              <w:bottom w:val="single" w:color="1E3A5F" w:sz="8"/>
            </w:tcBorders>
            <w:shd w:val="clear" w:fill="EBF5FB"/>
            <w:vAlign w:val="center"/>
          </w:tcPr>
          <w:p>
            <w:pPr>
              <w:spacing w:before="0" w:after="0"/>
              <w:jc w:val="center"/>
            </w:pPr>
            <w:r>
              <w:rPr>
                <w:b/>
                <w:color w:val="2C3E50"/>
                <w:sz w:val="22"/>
              </w:rPr>
              <w:t>No.</w:t>
            </w:r>
          </w:p>
        </w:tc>
        <w:tc>
          <w:tcPr>
            <w:tcW w:w="0" w:type="auto"/>
            <w:tcBorders>
              <w:bottom w:val="single" w:color="1E3A5F" w:sz="8"/>
            </w:tcBorders>
            <w:shd w:val="clear" w:fill="EBF5FB"/>
            <w:vAlign w:val="center"/>
          </w:tcPr>
          <w:p>
            <w:pPr>
              <w:spacing w:before="0" w:after="0"/>
              <w:jc w:val="center"/>
            </w:pPr>
            <w:r>
              <w:rPr>
                <w:b/>
                <w:color w:val="2C3E50"/>
                <w:sz w:val="22"/>
              </w:rPr>
              <w:t>Question</w:t>
            </w:r>
          </w:p>
        </w:tc>
      </w:tr>
      <w:tr>
        <w:tc>
          <w:tcPr>
            <w:tcW w:w="0" w:type="auto"/>
            <w:vAlign w:val="center"/>
          </w:tcPr>
          <w:p>
            <w:pPr>
              <w:spacing w:before="0" w:after="0"/>
              <w:jc w:val="center"/>
            </w:pPr>
            <w:r>
              <w:rPr>
                <w:color w:val="2C3E50"/>
                <w:sz w:val="22"/>
              </w:rPr>
              <w:t>1</w:t>
            </w:r>
          </w:p>
        </w:tc>
        <w:tc>
          <w:tcPr>
            <w:tcW w:w="0" w:type="auto"/>
            <w:vAlign w:val="center"/>
          </w:tcPr>
          <w:p>
            <w:pPr>
              <w:spacing w:before="0" w:after="0"/>
              <w:jc w:val="left"/>
            </w:pPr>
            <w:r>
              <w:rPr>
                <w:color w:val="2C3E50"/>
                <w:sz w:val="22"/>
              </w:rPr>
              <w:t>What do I truly value in life?</w:t>
            </w:r>
          </w:p>
        </w:tc>
      </w:tr>
      <w:tr>
        <w:tc>
          <w:tcPr>
            <w:tcW w:w="0" w:type="auto"/>
            <w:vAlign w:val="center"/>
          </w:tcPr>
          <w:p>
            <w:pPr>
              <w:spacing w:before="0" w:after="0"/>
              <w:jc w:val="center"/>
            </w:pPr>
            <w:r>
              <w:rPr>
                <w:color w:val="2C3E50"/>
                <w:sz w:val="22"/>
              </w:rPr>
              <w:t>2</w:t>
            </w:r>
          </w:p>
        </w:tc>
        <w:tc>
          <w:tcPr>
            <w:tcW w:w="0" w:type="auto"/>
            <w:vAlign w:val="center"/>
          </w:tcPr>
          <w:p>
            <w:pPr>
              <w:spacing w:before="0" w:after="0"/>
              <w:jc w:val="left"/>
            </w:pPr>
            <w:r>
              <w:rPr>
                <w:color w:val="2C3E50"/>
                <w:sz w:val="22"/>
              </w:rPr>
              <w:t>Am I living in alignment with my values?</w:t>
            </w:r>
          </w:p>
        </w:tc>
      </w:tr>
      <w:tr>
        <w:tc>
          <w:tcPr>
            <w:tcW w:w="0" w:type="auto"/>
            <w:vAlign w:val="center"/>
          </w:tcPr>
          <w:p>
            <w:pPr>
              <w:spacing w:before="0" w:after="0"/>
              <w:jc w:val="center"/>
            </w:pPr>
            <w:r>
              <w:rPr>
                <w:color w:val="2C3E50"/>
                <w:sz w:val="22"/>
              </w:rPr>
              <w:t>3</w:t>
            </w:r>
          </w:p>
        </w:tc>
        <w:tc>
          <w:tcPr>
            <w:tcW w:w="0" w:type="auto"/>
            <w:vAlign w:val="center"/>
          </w:tcPr>
          <w:p>
            <w:pPr>
              <w:spacing w:before="0" w:after="0"/>
              <w:jc w:val="left"/>
            </w:pPr>
            <w:r>
              <w:rPr>
                <w:color w:val="2C3E50"/>
                <w:sz w:val="22"/>
              </w:rPr>
              <w:t>What emotions do I suppress and why?</w:t>
            </w:r>
          </w:p>
        </w:tc>
      </w:tr>
      <w:tr>
        <w:tc>
          <w:tcPr>
            <w:tcW w:w="0" w:type="auto"/>
            <w:vAlign w:val="center"/>
          </w:tcPr>
          <w:p>
            <w:pPr>
              <w:spacing w:before="0" w:after="0"/>
              <w:jc w:val="center"/>
            </w:pPr>
            <w:r>
              <w:rPr>
                <w:color w:val="2C3E50"/>
                <w:sz w:val="22"/>
              </w:rPr>
              <w:t>4</w:t>
            </w:r>
          </w:p>
        </w:tc>
        <w:tc>
          <w:tcPr>
            <w:tcW w:w="0" w:type="auto"/>
            <w:vAlign w:val="center"/>
          </w:tcPr>
          <w:p>
            <w:pPr>
              <w:spacing w:before="0" w:after="0"/>
              <w:jc w:val="left"/>
            </w:pPr>
            <w:r>
              <w:rPr>
                <w:color w:val="2C3E50"/>
                <w:sz w:val="22"/>
              </w:rPr>
              <w:t>What are my recurring thought patterns?</w:t>
            </w:r>
          </w:p>
        </w:tc>
      </w:tr>
      <w:tr>
        <w:tc>
          <w:tcPr>
            <w:tcW w:w="0" w:type="auto"/>
            <w:vAlign w:val="center"/>
          </w:tcPr>
          <w:p>
            <w:pPr>
              <w:spacing w:before="0" w:after="0"/>
              <w:jc w:val="center"/>
            </w:pPr>
            <w:r>
              <w:rPr>
                <w:color w:val="2C3E50"/>
                <w:sz w:val="22"/>
              </w:rPr>
              <w:t>5</w:t>
            </w:r>
          </w:p>
        </w:tc>
        <w:tc>
          <w:tcPr>
            <w:tcW w:w="0" w:type="auto"/>
            <w:vAlign w:val="center"/>
          </w:tcPr>
          <w:p>
            <w:pPr>
              <w:spacing w:before="0" w:after="0"/>
              <w:jc w:val="left"/>
            </w:pPr>
            <w:r>
              <w:rPr>
                <w:color w:val="2C3E50"/>
                <w:sz w:val="22"/>
              </w:rPr>
              <w:t>How do I respond under pressure?</w:t>
            </w:r>
          </w:p>
        </w:tc>
      </w:tr>
      <w:tr>
        <w:tc>
          <w:tcPr>
            <w:tcW w:w="0" w:type="auto"/>
            <w:vAlign w:val="center"/>
          </w:tcPr>
          <w:p>
            <w:pPr>
              <w:spacing w:before="0" w:after="0"/>
              <w:jc w:val="center"/>
            </w:pPr>
            <w:r>
              <w:rPr>
                <w:color w:val="2C3E50"/>
                <w:sz w:val="22"/>
              </w:rPr>
              <w:t>6</w:t>
            </w:r>
          </w:p>
        </w:tc>
        <w:tc>
          <w:tcPr>
            <w:tcW w:w="0" w:type="auto"/>
            <w:vAlign w:val="center"/>
          </w:tcPr>
          <w:p>
            <w:pPr>
              <w:spacing w:before="0" w:after="0"/>
              <w:jc w:val="left"/>
            </w:pPr>
            <w:r>
              <w:rPr>
                <w:color w:val="2C3E50"/>
                <w:sz w:val="22"/>
              </w:rPr>
              <w:t>What kind of relationships do I nurture?</w:t>
            </w:r>
          </w:p>
        </w:tc>
      </w:tr>
      <w:tr>
        <w:tc>
          <w:tcPr>
            <w:tcW w:w="0" w:type="auto"/>
            <w:vAlign w:val="center"/>
          </w:tcPr>
          <w:p>
            <w:pPr>
              <w:spacing w:before="0" w:after="0"/>
              <w:jc w:val="center"/>
            </w:pPr>
            <w:r>
              <w:rPr>
                <w:color w:val="2C3E50"/>
                <w:sz w:val="22"/>
              </w:rPr>
              <w:t>7</w:t>
            </w:r>
          </w:p>
        </w:tc>
        <w:tc>
          <w:tcPr>
            <w:tcW w:w="0" w:type="auto"/>
            <w:vAlign w:val="center"/>
          </w:tcPr>
          <w:p>
            <w:pPr>
              <w:spacing w:before="0" w:after="0"/>
              <w:jc w:val="left"/>
            </w:pPr>
            <w:r>
              <w:rPr>
                <w:color w:val="2C3E50"/>
                <w:sz w:val="22"/>
              </w:rPr>
              <w:t>Do I act from fear or from understanding?</w:t>
            </w:r>
          </w:p>
        </w:tc>
      </w:tr>
      <w:tr>
        <w:tc>
          <w:tcPr>
            <w:tcW w:w="0" w:type="auto"/>
            <w:vAlign w:val="center"/>
          </w:tcPr>
          <w:p>
            <w:pPr>
              <w:spacing w:before="0" w:after="0"/>
              <w:jc w:val="center"/>
            </w:pPr>
            <w:r>
              <w:rPr>
                <w:color w:val="2C3E50"/>
                <w:sz w:val="22"/>
              </w:rPr>
              <w:t>8</w:t>
            </w:r>
          </w:p>
        </w:tc>
        <w:tc>
          <w:tcPr>
            <w:tcW w:w="0" w:type="auto"/>
            <w:vAlign w:val="center"/>
          </w:tcPr>
          <w:p>
            <w:pPr>
              <w:spacing w:before="0" w:after="0"/>
              <w:jc w:val="left"/>
            </w:pPr>
            <w:r>
              <w:rPr>
                <w:color w:val="2C3E50"/>
                <w:sz w:val="22"/>
              </w:rPr>
              <w:t>What gives me genuine satisfaction?</w:t>
            </w:r>
          </w:p>
        </w:tc>
      </w:tr>
      <w:tr>
        <w:tc>
          <w:tcPr>
            <w:tcW w:w="0" w:type="auto"/>
            <w:vAlign w:val="center"/>
          </w:tcPr>
          <w:p>
            <w:pPr>
              <w:spacing w:before="0" w:after="0"/>
              <w:jc w:val="center"/>
            </w:pPr>
            <w:r>
              <w:rPr>
                <w:color w:val="2C3E50"/>
                <w:sz w:val="22"/>
              </w:rPr>
              <w:t>9</w:t>
            </w:r>
          </w:p>
        </w:tc>
        <w:tc>
          <w:tcPr>
            <w:tcW w:w="0" w:type="auto"/>
            <w:vAlign w:val="center"/>
          </w:tcPr>
          <w:p>
            <w:pPr>
              <w:spacing w:before="0" w:after="0"/>
              <w:jc w:val="left"/>
            </w:pPr>
            <w:r>
              <w:rPr>
                <w:color w:val="2C3E50"/>
                <w:sz w:val="22"/>
              </w:rPr>
              <w:t>How do I treat people who can do nothing for me?</w:t>
            </w:r>
          </w:p>
        </w:tc>
      </w:tr>
      <w:tr>
        <w:tc>
          <w:tcPr>
            <w:tcW w:w="0" w:type="auto"/>
            <w:vAlign w:val="center"/>
          </w:tcPr>
          <w:p>
            <w:pPr>
              <w:spacing w:before="0" w:after="0"/>
              <w:jc w:val="center"/>
            </w:pPr>
            <w:r>
              <w:rPr>
                <w:color w:val="2C3E50"/>
                <w:sz w:val="22"/>
              </w:rPr>
              <w:t>10</w:t>
            </w:r>
          </w:p>
        </w:tc>
        <w:tc>
          <w:tcPr>
            <w:tcW w:w="0" w:type="auto"/>
            <w:vAlign w:val="center"/>
          </w:tcPr>
          <w:p>
            <w:pPr>
              <w:spacing w:before="0" w:after="0"/>
              <w:jc w:val="left"/>
            </w:pPr>
            <w:r>
              <w:rPr>
                <w:color w:val="2C3E50"/>
                <w:sz w:val="22"/>
              </w:rPr>
              <w:t>What would I change about myself if I could?</w:t>
            </w:r>
          </w:p>
        </w:tc>
      </w:tr>
    </w:tbl>
    <w:p>
      <w:pPr>
        <w:pStyle w:val="Caption"/>
      </w:pPr>
      <w:r>
        <w:t>Table 2: Ten Questions for Self-Exploration</w:t>
      </w:r>
    </w:p>
    <w:p>
      <w:pPr>
        <w:pStyle w:val="Heading2"/>
      </w:pPr>
      <w:r>
        <w:t>B.3 - Self-Awareness</w:t>
      </w:r>
    </w:p>
    <w:p>
      <w:r>
        <w:t>Self-awareness encompasses three dimensions: Emotional awareness - the capacity to recognise and understand one's feelings as they arise, including the triggers, patterns, and bodily sensations associated with different emotional states. Intellectual awareness - the capacity to observe one's thought processes, including cognitive biases, habitual interpretations, and the assumptions underlying one's conclusions. Behavioural awareness - the capacity to observe one's actions and their effects on oneself and others, including patterns of communication, habits of conduct, and the gap between one's intentions and one's actual behaviour.</w:t>
      </w:r>
    </w:p>
    <w:p>
      <w:r>
        <w:t>Enhanced self-awareness improves decision-making by reducing reactive patterns. When one is aware of one's emotional triggers, cognitive biases, and habitual responses, one can pause between stimulus and response and choose a more considered course of action. This is the essence of emotional intelligence - not the suppression of emotion but the capacity to be aware of it and to factor it wisely into one's decisions. Self-awareness also strengthens relationships by improving one's understanding of how one's behaviour affects others.</w:t>
      </w:r>
    </w:p>
    <w:p>
      <w:r>
        <w:t>The Johari Window model, developed by Joseph Luft and Harry Ingham, provides a useful framework for understanding self-awareness. The Open Area represents what is known to oneself and known to others - the domain of public self-awareness. The Blind Spot represents what is unknown to oneself but known to others - this is why feedback from trusted others is valuable. The Hidden Area represents what is known to oneself but unknown to others - private thoughts and experiences that one chooses not to share. The Unknown Area represents what is unknown to oneself and unknown to others - unconscious patterns and potentials that have not yet been discovered. The goal is to expand the Open Area by reducing the Blind Spot through feedback, appropriately sharing from the Hidden Area through vulnerability, and exploring the Unknown Area through self-exploration.</w:t>
      </w:r>
    </w:p>
    <w:p>
      <w:pPr>
        <w:pBdr>
          <w:top w:val="single" w:color="BDC3C7" w:sz="4"/>
          <w:left w:val="single" w:color="BDC3C7" w:sz="4"/>
          <w:bottom w:val="single" w:color="BDC3C7" w:sz="4"/>
          <w:right w:val="single" w:color="BDC3C7" w:sz="4"/>
        </w:pBdr>
        <w:shd w:val="clear" w:fill="F8F9FA"/>
        <w:spacing w:before="200" w:after="200"/>
        <w:ind w:left="360" w:right="360"/>
        <w:jc w:val="center"/>
      </w:pPr>
      <w:r>
        <w:rPr>
          <w:color w:val="2C3E50"/>
          <w:sz w:val="18"/>
        </w:rPr>
        <w:t>THE JOHARI WINDOW:
+---------------------------+---------------------------+
|     OPEN / ARENA          |     BLIND SPOT            |
| Known to Self &amp; Others    | Unknown to Self, Known    |
|                           | to Others                 |
+---------------------------+---------------------------+
|     HIDDEN / FACADE       |     UNKNOWN               |
| Known to Self, Unknown    | Unknown to Self &amp; Others  |
| to Others                 |                           |
+---------------------------+---------------------------+
Open: Public self-awareness through disclosure
Blind Spot: Revealed through feedback from others
Hidden: Private area reduced through appropriate sharing
Unknown: Explored through self-exploration and new experiences</w:t>
      </w:r>
    </w:p>
    <w:p>
      <w:pPr>
        <w:pStyle w:val="Caption"/>
      </w:pPr>
      <w:r>
        <w:t>Figure 6: The Johari Window Model of Self-Awareness</w:t>
      </w:r>
    </w:p>
    <w:p>
      <w:pPr>
        <w:pStyle w:val="Heading2"/>
      </w:pPr>
      <w:r>
        <w:t>B.4 - Self-Evaluation</w:t>
      </w:r>
    </w:p>
    <w:p>
      <w:r>
        <w:t>Self-evaluation differs fundamentally from self-criticism. While self-criticism is destructive, focusing on fault-finding and generating guilt and shame, self-evaluation is growth-oriented, focusing on learning and improvement. Self-criticism asks 'What's wrong with me?' and implies a fixed, flawed self. Self-evaluation asks 'Where am I in relation to where I want to be?' and assumes the capacity for growth and change. The former leads to paralysis and despair; the latter leads to clarity and constructive action.</w:t>
      </w:r>
    </w:p>
    <w:p>
      <w:r>
        <w:t>The process of self-evaluation involves five steps. First, Observe - notice patterns of thought, feeling, and behaviour without judgment. Second, Reflect - consider the meaning and causes of these patterns. Where did they originate? What function do they serve? Third, Compare with Values - assess the alignment between one's current patterns and one's consciously chosen values. Fourth, Identify Gap - recognise specific areas where there is misalignment. Fifth, Commit to Change - make specific, actionable resolutions for closing these gaps.</w:t>
      </w:r>
    </w:p>
    <w:tbl>
      <w:tblPr>
        <w:tblW w:w="5000" w:type="pct"/>
        <w:tblBorders>
          <w:top w:val="single" w:color="1E3A5F" w:sz="12"/>
          <w:left w:val="nil"/>
          <w:bottom w:val="single" w:color="1E3A5F" w:sz="12"/>
          <w:right w:val="nil"/>
          <w:insideH w:val="single" w:color="BDC3C7" w:sz="4"/>
          <w:insideV w:val="nil"/>
        </w:tblBorders>
        <w:tblCellMar>
          <w:top w:w="80" w:type="dxa"/>
          <w:left w:w="150" w:type="dxa"/>
          <w:bottom w:w="80" w:type="dxa"/>
          <w:right w:w="150" w:type="dxa"/>
        </w:tblCellMar>
      </w:tblPr>
      <w:tblGrid>
        <w:gridCol w:w="800"/>
        <w:gridCol w:w="7200"/>
        <w:gridCol w:w="2000"/>
      </w:tblGrid>
      <w:tr>
        <w:trPr>
          <w:tblHeader/>
        </w:trPr>
        <w:tc>
          <w:tcPr>
            <w:tcW w:w="0" w:type="auto"/>
            <w:tcBorders>
              <w:bottom w:val="single" w:color="1E3A5F" w:sz="8"/>
            </w:tcBorders>
            <w:shd w:val="clear" w:fill="EBF5FB"/>
            <w:vAlign w:val="center"/>
          </w:tcPr>
          <w:p>
            <w:pPr>
              <w:spacing w:before="0" w:after="0"/>
              <w:jc w:val="center"/>
            </w:pPr>
            <w:r>
              <w:rPr>
                <w:b/>
                <w:color w:val="2C3E50"/>
                <w:sz w:val="22"/>
              </w:rPr>
              <w:t>No.</w:t>
            </w:r>
          </w:p>
        </w:tc>
        <w:tc>
          <w:tcPr>
            <w:tcW w:w="0" w:type="auto"/>
            <w:tcBorders>
              <w:bottom w:val="single" w:color="1E3A5F" w:sz="8"/>
            </w:tcBorders>
            <w:shd w:val="clear" w:fill="EBF5FB"/>
            <w:vAlign w:val="center"/>
          </w:tcPr>
          <w:p>
            <w:pPr>
              <w:spacing w:before="0" w:after="0"/>
              <w:jc w:val="center"/>
            </w:pPr>
            <w:r>
              <w:rPr>
                <w:b/>
                <w:color w:val="2C3E50"/>
                <w:sz w:val="22"/>
              </w:rPr>
              <w:t>Checkpoint</w:t>
            </w:r>
          </w:p>
        </w:tc>
        <w:tc>
          <w:tcPr>
            <w:tcW w:w="0" w:type="auto"/>
            <w:tcBorders>
              <w:bottom w:val="single" w:color="1E3A5F" w:sz="8"/>
            </w:tcBorders>
            <w:shd w:val="clear" w:fill="EBF5FB"/>
            <w:vAlign w:val="center"/>
          </w:tcPr>
          <w:p>
            <w:pPr>
              <w:spacing w:before="0" w:after="0"/>
              <w:jc w:val="center"/>
            </w:pPr>
            <w:r>
              <w:rPr>
                <w:b/>
                <w:color w:val="2C3E50"/>
                <w:sz w:val="22"/>
              </w:rPr>
              <w:t>Yes/No/Sometimes</w:t>
            </w:r>
          </w:p>
        </w:tc>
      </w:tr>
      <w:tr>
        <w:tc>
          <w:tcPr>
            <w:tcW w:w="0" w:type="auto"/>
            <w:vAlign w:val="center"/>
          </w:tcPr>
          <w:p>
            <w:pPr>
              <w:spacing w:before="0" w:after="0"/>
              <w:jc w:val="center"/>
            </w:pPr>
            <w:r>
              <w:rPr>
                <w:color w:val="2C3E50"/>
                <w:sz w:val="22"/>
              </w:rPr>
              <w:t>1</w:t>
            </w:r>
          </w:p>
        </w:tc>
        <w:tc>
          <w:tcPr>
            <w:tcW w:w="0" w:type="auto"/>
            <w:vAlign w:val="center"/>
          </w:tcPr>
          <w:p>
            <w:pPr>
              <w:spacing w:before="0" w:after="0"/>
              <w:jc w:val="left"/>
            </w:pPr>
            <w:r>
              <w:rPr>
                <w:color w:val="2C3E50"/>
                <w:sz w:val="22"/>
              </w:rPr>
              <w:t>I am honest in my relationships.</w:t>
            </w:r>
          </w:p>
        </w:tc>
        <w:tc>
          <w:tcPr>
            <w:tcW w:w="0" w:type="auto"/>
            <w:vAlign w:val="center"/>
          </w:tcPr>
          <w:p>
            <w:pPr>
              <w:spacing w:before="0" w:after="0"/>
              <w:jc w:val="left"/>
            </w:pPr>
            <w:r>
              <w:rPr>
                <w:color w:val="2C3E50"/>
                <w:sz w:val="22"/>
              </w:rPr>
              <w:t/>
            </w:r>
          </w:p>
        </w:tc>
      </w:tr>
      <w:tr>
        <w:tc>
          <w:tcPr>
            <w:tcW w:w="0" w:type="auto"/>
            <w:vAlign w:val="center"/>
          </w:tcPr>
          <w:p>
            <w:pPr>
              <w:spacing w:before="0" w:after="0"/>
              <w:jc w:val="center"/>
            </w:pPr>
            <w:r>
              <w:rPr>
                <w:color w:val="2C3E50"/>
                <w:sz w:val="22"/>
              </w:rPr>
              <w:t>2</w:t>
            </w:r>
          </w:p>
        </w:tc>
        <w:tc>
          <w:tcPr>
            <w:tcW w:w="0" w:type="auto"/>
            <w:vAlign w:val="center"/>
          </w:tcPr>
          <w:p>
            <w:pPr>
              <w:spacing w:before="0" w:after="0"/>
              <w:jc w:val="left"/>
            </w:pPr>
            <w:r>
              <w:rPr>
                <w:color w:val="2C3E50"/>
                <w:sz w:val="22"/>
              </w:rPr>
              <w:t>I take responsibility for my actions.</w:t>
            </w:r>
          </w:p>
        </w:tc>
        <w:tc>
          <w:tcPr>
            <w:tcW w:w="0" w:type="auto"/>
            <w:vAlign w:val="center"/>
          </w:tcPr>
          <w:p>
            <w:pPr>
              <w:spacing w:before="0" w:after="0"/>
              <w:jc w:val="left"/>
            </w:pPr>
            <w:r>
              <w:rPr>
                <w:color w:val="2C3E50"/>
                <w:sz w:val="22"/>
              </w:rPr>
              <w:t/>
            </w:r>
          </w:p>
        </w:tc>
      </w:tr>
      <w:tr>
        <w:tc>
          <w:tcPr>
            <w:tcW w:w="0" w:type="auto"/>
            <w:vAlign w:val="center"/>
          </w:tcPr>
          <w:p>
            <w:pPr>
              <w:spacing w:before="0" w:after="0"/>
              <w:jc w:val="center"/>
            </w:pPr>
            <w:r>
              <w:rPr>
                <w:color w:val="2C3E50"/>
                <w:sz w:val="22"/>
              </w:rPr>
              <w:t>3</w:t>
            </w:r>
          </w:p>
        </w:tc>
        <w:tc>
          <w:tcPr>
            <w:tcW w:w="0" w:type="auto"/>
            <w:vAlign w:val="center"/>
          </w:tcPr>
          <w:p>
            <w:pPr>
              <w:spacing w:before="0" w:after="0"/>
              <w:jc w:val="left"/>
            </w:pPr>
            <w:r>
              <w:rPr>
                <w:color w:val="2C3E50"/>
                <w:sz w:val="22"/>
              </w:rPr>
              <w:t>I respect others' feelings and boundaries.</w:t>
            </w:r>
          </w:p>
        </w:tc>
        <w:tc>
          <w:tcPr>
            <w:tcW w:w="0" w:type="auto"/>
            <w:vAlign w:val="center"/>
          </w:tcPr>
          <w:p>
            <w:pPr>
              <w:spacing w:before="0" w:after="0"/>
              <w:jc w:val="left"/>
            </w:pPr>
            <w:r>
              <w:rPr>
                <w:color w:val="2C3E50"/>
                <w:sz w:val="22"/>
              </w:rPr>
              <w:t/>
            </w:r>
          </w:p>
        </w:tc>
      </w:tr>
      <w:tr>
        <w:tc>
          <w:tcPr>
            <w:tcW w:w="0" w:type="auto"/>
            <w:vAlign w:val="center"/>
          </w:tcPr>
          <w:p>
            <w:pPr>
              <w:spacing w:before="0" w:after="0"/>
              <w:jc w:val="center"/>
            </w:pPr>
            <w:r>
              <w:rPr>
                <w:color w:val="2C3E50"/>
                <w:sz w:val="22"/>
              </w:rPr>
              <w:t>4</w:t>
            </w:r>
          </w:p>
        </w:tc>
        <w:tc>
          <w:tcPr>
            <w:tcW w:w="0" w:type="auto"/>
            <w:vAlign w:val="center"/>
          </w:tcPr>
          <w:p>
            <w:pPr>
              <w:spacing w:before="0" w:after="0"/>
              <w:jc w:val="left"/>
            </w:pPr>
            <w:r>
              <w:rPr>
                <w:color w:val="2C3E50"/>
                <w:sz w:val="22"/>
              </w:rPr>
              <w:t>I act from understanding, not impulse.</w:t>
            </w:r>
          </w:p>
        </w:tc>
        <w:tc>
          <w:tcPr>
            <w:tcW w:w="0" w:type="auto"/>
            <w:vAlign w:val="center"/>
          </w:tcPr>
          <w:p>
            <w:pPr>
              <w:spacing w:before="0" w:after="0"/>
              <w:jc w:val="left"/>
            </w:pPr>
            <w:r>
              <w:rPr>
                <w:color w:val="2C3E50"/>
                <w:sz w:val="22"/>
              </w:rPr>
              <w:t/>
            </w:r>
          </w:p>
        </w:tc>
      </w:tr>
      <w:tr>
        <w:tc>
          <w:tcPr>
            <w:tcW w:w="0" w:type="auto"/>
            <w:vAlign w:val="center"/>
          </w:tcPr>
          <w:p>
            <w:pPr>
              <w:spacing w:before="0" w:after="0"/>
              <w:jc w:val="center"/>
            </w:pPr>
            <w:r>
              <w:rPr>
                <w:color w:val="2C3E50"/>
                <w:sz w:val="22"/>
              </w:rPr>
              <w:t>5</w:t>
            </w:r>
          </w:p>
        </w:tc>
        <w:tc>
          <w:tcPr>
            <w:tcW w:w="0" w:type="auto"/>
            <w:vAlign w:val="center"/>
          </w:tcPr>
          <w:p>
            <w:pPr>
              <w:spacing w:before="0" w:after="0"/>
              <w:jc w:val="left"/>
            </w:pPr>
            <w:r>
              <w:rPr>
                <w:color w:val="2C3E50"/>
                <w:sz w:val="22"/>
              </w:rPr>
              <w:t>I am consistent in my values.</w:t>
            </w:r>
          </w:p>
        </w:tc>
        <w:tc>
          <w:tcPr>
            <w:tcW w:w="0" w:type="auto"/>
            <w:vAlign w:val="center"/>
          </w:tcPr>
          <w:p>
            <w:pPr>
              <w:spacing w:before="0" w:after="0"/>
              <w:jc w:val="left"/>
            </w:pPr>
            <w:r>
              <w:rPr>
                <w:color w:val="2C3E50"/>
                <w:sz w:val="22"/>
              </w:rPr>
              <w:t/>
            </w:r>
          </w:p>
        </w:tc>
      </w:tr>
      <w:tr>
        <w:tc>
          <w:tcPr>
            <w:tcW w:w="0" w:type="auto"/>
            <w:vAlign w:val="center"/>
          </w:tcPr>
          <w:p>
            <w:pPr>
              <w:spacing w:before="0" w:after="0"/>
              <w:jc w:val="center"/>
            </w:pPr>
            <w:r>
              <w:rPr>
                <w:color w:val="2C3E50"/>
                <w:sz w:val="22"/>
              </w:rPr>
              <w:t>6</w:t>
            </w:r>
          </w:p>
        </w:tc>
        <w:tc>
          <w:tcPr>
            <w:tcW w:w="0" w:type="auto"/>
            <w:vAlign w:val="center"/>
          </w:tcPr>
          <w:p>
            <w:pPr>
              <w:spacing w:before="0" w:after="0"/>
              <w:jc w:val="left"/>
            </w:pPr>
            <w:r>
              <w:rPr>
                <w:color w:val="2C3E50"/>
                <w:sz w:val="22"/>
              </w:rPr>
              <w:t>I acknowledge my mistakes without guilt.</w:t>
            </w:r>
          </w:p>
        </w:tc>
        <w:tc>
          <w:tcPr>
            <w:tcW w:w="0" w:type="auto"/>
            <w:vAlign w:val="center"/>
          </w:tcPr>
          <w:p>
            <w:pPr>
              <w:spacing w:before="0" w:after="0"/>
              <w:jc w:val="left"/>
            </w:pPr>
            <w:r>
              <w:rPr>
                <w:color w:val="2C3E50"/>
                <w:sz w:val="22"/>
              </w:rPr>
              <w:t/>
            </w:r>
          </w:p>
        </w:tc>
      </w:tr>
      <w:tr>
        <w:tc>
          <w:tcPr>
            <w:tcW w:w="0" w:type="auto"/>
            <w:vAlign w:val="center"/>
          </w:tcPr>
          <w:p>
            <w:pPr>
              <w:spacing w:before="0" w:after="0"/>
              <w:jc w:val="center"/>
            </w:pPr>
            <w:r>
              <w:rPr>
                <w:color w:val="2C3E50"/>
                <w:sz w:val="22"/>
              </w:rPr>
              <w:t>7</w:t>
            </w:r>
          </w:p>
        </w:tc>
        <w:tc>
          <w:tcPr>
            <w:tcW w:w="0" w:type="auto"/>
            <w:vAlign w:val="center"/>
          </w:tcPr>
          <w:p>
            <w:pPr>
              <w:spacing w:before="0" w:after="0"/>
              <w:jc w:val="left"/>
            </w:pPr>
            <w:r>
              <w:rPr>
                <w:color w:val="2C3E50"/>
                <w:sz w:val="22"/>
              </w:rPr>
              <w:t>I treat everyone with equal dignity.</w:t>
            </w:r>
          </w:p>
        </w:tc>
        <w:tc>
          <w:tcPr>
            <w:tcW w:w="0" w:type="auto"/>
            <w:vAlign w:val="center"/>
          </w:tcPr>
          <w:p>
            <w:pPr>
              <w:spacing w:before="0" w:after="0"/>
              <w:jc w:val="left"/>
            </w:pPr>
            <w:r>
              <w:rPr>
                <w:color w:val="2C3E50"/>
                <w:sz w:val="22"/>
              </w:rPr>
              <w:t/>
            </w:r>
          </w:p>
        </w:tc>
      </w:tr>
      <w:tr>
        <w:tc>
          <w:tcPr>
            <w:tcW w:w="0" w:type="auto"/>
            <w:vAlign w:val="center"/>
          </w:tcPr>
          <w:p>
            <w:pPr>
              <w:spacing w:before="0" w:after="0"/>
              <w:jc w:val="center"/>
            </w:pPr>
            <w:r>
              <w:rPr>
                <w:color w:val="2C3E50"/>
                <w:sz w:val="22"/>
              </w:rPr>
              <w:t>8</w:t>
            </w:r>
          </w:p>
        </w:tc>
        <w:tc>
          <w:tcPr>
            <w:tcW w:w="0" w:type="auto"/>
            <w:vAlign w:val="center"/>
          </w:tcPr>
          <w:p>
            <w:pPr>
              <w:spacing w:before="0" w:after="0"/>
              <w:jc w:val="left"/>
            </w:pPr>
            <w:r>
              <w:rPr>
                <w:color w:val="2C3E50"/>
                <w:sz w:val="22"/>
              </w:rPr>
              <w:t>I contribute positively to my surroundings.</w:t>
            </w:r>
          </w:p>
        </w:tc>
        <w:tc>
          <w:tcPr>
            <w:tcW w:w="0" w:type="auto"/>
            <w:vAlign w:val="center"/>
          </w:tcPr>
          <w:p>
            <w:pPr>
              <w:spacing w:before="0" w:after="0"/>
              <w:jc w:val="left"/>
            </w:pPr>
            <w:r>
              <w:rPr>
                <w:color w:val="2C3E50"/>
                <w:sz w:val="22"/>
              </w:rPr>
              <w:t/>
            </w:r>
          </w:p>
        </w:tc>
      </w:tr>
      <w:tr>
        <w:tc>
          <w:tcPr>
            <w:tcW w:w="0" w:type="auto"/>
            <w:vAlign w:val="center"/>
          </w:tcPr>
          <w:p>
            <w:pPr>
              <w:spacing w:before="0" w:after="0"/>
              <w:jc w:val="center"/>
            </w:pPr>
            <w:r>
              <w:rPr>
                <w:color w:val="2C3E50"/>
                <w:sz w:val="22"/>
              </w:rPr>
              <w:t>9</w:t>
            </w:r>
          </w:p>
        </w:tc>
        <w:tc>
          <w:tcPr>
            <w:tcW w:w="0" w:type="auto"/>
            <w:vAlign w:val="center"/>
          </w:tcPr>
          <w:p>
            <w:pPr>
              <w:spacing w:before="0" w:after="0"/>
              <w:jc w:val="left"/>
            </w:pPr>
            <w:r>
              <w:rPr>
                <w:color w:val="2C3E50"/>
                <w:sz w:val="22"/>
              </w:rPr>
              <w:t>I am aware of my emotional triggers.</w:t>
            </w:r>
          </w:p>
        </w:tc>
        <w:tc>
          <w:tcPr>
            <w:tcW w:w="0" w:type="auto"/>
            <w:vAlign w:val="center"/>
          </w:tcPr>
          <w:p>
            <w:pPr>
              <w:spacing w:before="0" w:after="0"/>
              <w:jc w:val="left"/>
            </w:pPr>
            <w:r>
              <w:rPr>
                <w:color w:val="2C3E50"/>
                <w:sz w:val="22"/>
              </w:rPr>
              <w:t/>
            </w:r>
          </w:p>
        </w:tc>
      </w:tr>
      <w:tr>
        <w:tc>
          <w:tcPr>
            <w:tcW w:w="0" w:type="auto"/>
            <w:vAlign w:val="center"/>
          </w:tcPr>
          <w:p>
            <w:pPr>
              <w:spacing w:before="0" w:after="0"/>
              <w:jc w:val="center"/>
            </w:pPr>
            <w:r>
              <w:rPr>
                <w:color w:val="2C3E50"/>
                <w:sz w:val="22"/>
              </w:rPr>
              <w:t>10</w:t>
            </w:r>
          </w:p>
        </w:tc>
        <w:tc>
          <w:tcPr>
            <w:tcW w:w="0" w:type="auto"/>
            <w:vAlign w:val="center"/>
          </w:tcPr>
          <w:p>
            <w:pPr>
              <w:spacing w:before="0" w:after="0"/>
              <w:jc w:val="left"/>
            </w:pPr>
            <w:r>
              <w:rPr>
                <w:color w:val="2C3E50"/>
                <w:sz w:val="22"/>
              </w:rPr>
              <w:t>I work toward inner harmony daily.</w:t>
            </w:r>
          </w:p>
        </w:tc>
        <w:tc>
          <w:tcPr>
            <w:tcW w:w="0" w:type="auto"/>
            <w:vAlign w:val="center"/>
          </w:tcPr>
          <w:p>
            <w:pPr>
              <w:spacing w:before="0" w:after="0"/>
              <w:jc w:val="left"/>
            </w:pPr>
            <w:r>
              <w:rPr>
                <w:color w:val="2C3E50"/>
                <w:sz w:val="22"/>
              </w:rPr>
              <w:t/>
            </w:r>
          </w:p>
        </w:tc>
      </w:tr>
    </w:tbl>
    <w:p>
      <w:pPr>
        <w:pStyle w:val="Caption"/>
      </w:pPr>
      <w:r>
        <w:t>Table 3: Self-Evaluation Checklist for Students</w:t>
      </w:r>
    </w:p>
    <w:p>
      <w:pPr>
        <w:pStyle w:val="Heading2"/>
      </w:pPr>
      <w:r>
        <w:t>B.5 - Co-Existence (Sah-Astitva)</w:t>
      </w:r>
    </w:p>
    <w:p>
      <w:r>
        <w:t>Co-existence (Sah-Astitva) refers to the fundamental reality that all units in existence are inter-related and interdependent at every level. This is not merely cooperation - which is a voluntary arrangement among independent agents - but the natural order of reality itself. To understand co-existence is to recognise that separation is an illusion and that every unit of existence exists in a web of relationships that constitute its very being. This understanding has profound implications for how we live, as it reveals that harming others ultimately harms oneself, and that caring for the whole is the most effective way of ensuring one's own well-being.</w:t>
      </w:r>
    </w:p>
    <w:p>
      <w:r>
        <w:t>The four levels of co-existence describe the nested relationships that constitute human existence. The first level is the Self with the Body - the conscious entity co-existing with its physical instrument. The second level is the Individual with the Family - the person existing within the network of relationships that provide the primary context for human development. The third level is the Family with Society - the family unit existing within the larger community that provides infrastructure, culture, and collective identity. The fourth level is Society with Nature - human civilisation existing within the natural environment that sustains all life.</w:t>
      </w:r>
    </w:p>
    <w:p>
      <w:r>
        <w:t>Understanding co-existence transforms how we approach ethics. Rather than seeing ethics as a set of rules imposed from outside, we can see it as the natural expression of recognising our interconnectedness. When I understand that my well-being is inseparable from the well-being of my family, community, and environment, ethical behaviour becomes not a sacrifice but a natural expression of wisdom. The Golden Rule - 'Do unto others as you would have them do unto you' - is found in virtually every spiritual tradition because it reflects this fundamental truth of co-existence.</w:t>
      </w:r>
    </w:p>
    <w:p>
      <w:pPr>
        <w:pBdr>
          <w:top w:val="single" w:color="BDC3C7" w:sz="4"/>
          <w:left w:val="single" w:color="BDC3C7" w:sz="4"/>
          <w:bottom w:val="single" w:color="BDC3C7" w:sz="4"/>
          <w:right w:val="single" w:color="BDC3C7" w:sz="4"/>
        </w:pBdr>
        <w:shd w:val="clear" w:fill="F8F9FA"/>
        <w:spacing w:before="200" w:after="200"/>
        <w:ind w:left="360" w:right="360"/>
        <w:jc w:val="center"/>
      </w:pPr>
      <w:r>
        <w:rPr>
          <w:color w:val="2C3E50"/>
          <w:sz w:val="18"/>
        </w:rPr>
        <w:t>LEVELS OF CO-EXISTENCE (Inner to Outer):
    +---------------------------+
   /   NATURE / UNIVERSE       /
  /    (Interdependence)      /
 /     +----------------+    /
/      /  SOCIETY/COMM  /   /
      /  (Interdep.)   /   /
     /   +----------+  /   /
    /    /  FAMILY  /  /   /
   /    /(Interdep)/  /   /
  /    /  +----+  /  /   /
 /    /  / SELF /  /  /   /
/    /  /      /  /  /   /
    /  +------+  /  /   /
   /  +----------+  /   /
  /  +--------------+  /
 /  +----------------+ /
/  +------------------+/
Circle 1: Individual (Self)       Circle 2: Family
Circle 3: Society / Community     Circle 4: Nature / Universe
Bidirectional arrows indicate mutual interdependence at each level.</w:t>
      </w:r>
    </w:p>
    <w:p>
      <w:pPr>
        <w:pStyle w:val="Caption"/>
      </w:pPr>
      <w:r>
        <w:t>Figure 7: Levels of Co-Existence - Concentric Circle Model</w:t>
      </w:r>
    </w:p>
    <w:p>
      <w:pPr>
        <w:pStyle w:val="Heading2"/>
      </w:pPr>
      <w:r>
        <w:t>B.6 - Contemporary Relevance of Co-Existence</w:t>
      </w:r>
    </w:p>
    <w:p>
      <w:r>
        <w:t>Modern crises can be understood as consequences of neglecting the principle of co-existence. Climate change results from treating nature as a resource to exploit rather than a system of which we are a part. The Industrial Revolution and the economic model that followed it treated the natural world as an infinite source of raw materials and an infinite sink for waste, ignoring the reality of interdependence. The consequences - rising temperatures, extreme weather, species extinction, and resource depletion - are the natural result of violating the principle of co-existence with nature.</w:t>
      </w:r>
    </w:p>
    <w:p>
      <w:r>
        <w:t>Social polarisation emerges from 'us versus them' thinking that fails to recognise shared humanity. When political, religious, or cultural differences are used to construct fundamental divisions between human beings, the result is conflict, discrimination, and violence. History is replete with examples of how the denial of co-existence at the social level leads to atrocities. The mental health crisis often stems from isolation and disconnection - from oneself, from others, and from meaning. Economic inequality creates divisions that make it difficult to recognise shared humanity. Family breakdown reflects the prioritisation of individual desire over mutual responsibility.</w:t>
      </w:r>
    </w:p>
    <w:tbl>
      <w:tblPr>
        <w:tblW w:w="5000" w:type="pct"/>
        <w:tblBorders>
          <w:top w:val="single" w:color="1E3A5F" w:sz="12"/>
          <w:left w:val="nil"/>
          <w:bottom w:val="single" w:color="1E3A5F" w:sz="12"/>
          <w:right w:val="nil"/>
          <w:insideH w:val="single" w:color="BDC3C7" w:sz="4"/>
          <w:insideV w:val="nil"/>
        </w:tblBorders>
        <w:tblCellMar>
          <w:top w:w="80" w:type="dxa"/>
          <w:left w:w="150" w:type="dxa"/>
          <w:bottom w:w="80" w:type="dxa"/>
          <w:right w:w="150" w:type="dxa"/>
        </w:tblCellMar>
      </w:tblPr>
      <w:tblGrid>
        <w:gridCol w:w="2500"/>
        <w:gridCol w:w="3750"/>
        <w:gridCol w:w="3750"/>
      </w:tblGrid>
      <w:tr>
        <w:trPr>
          <w:tblHeader/>
        </w:trPr>
        <w:tc>
          <w:tcPr>
            <w:tcW w:w="0" w:type="auto"/>
            <w:tcBorders>
              <w:bottom w:val="single" w:color="1E3A5F" w:sz="8"/>
            </w:tcBorders>
            <w:shd w:val="clear" w:fill="EBF5FB"/>
            <w:vAlign w:val="center"/>
          </w:tcPr>
          <w:p>
            <w:pPr>
              <w:spacing w:before="0" w:after="0"/>
              <w:jc w:val="center"/>
            </w:pPr>
            <w:r>
              <w:rPr>
                <w:b/>
                <w:color w:val="2C3E50"/>
                <w:sz w:val="22"/>
              </w:rPr>
              <w:t>Problem</w:t>
            </w:r>
          </w:p>
        </w:tc>
        <w:tc>
          <w:tcPr>
            <w:tcW w:w="0" w:type="auto"/>
            <w:tcBorders>
              <w:bottom w:val="single" w:color="1E3A5F" w:sz="8"/>
            </w:tcBorders>
            <w:shd w:val="clear" w:fill="EBF5FB"/>
            <w:vAlign w:val="center"/>
          </w:tcPr>
          <w:p>
            <w:pPr>
              <w:spacing w:before="0" w:after="0"/>
              <w:jc w:val="center"/>
            </w:pPr>
            <w:r>
              <w:rPr>
                <w:b/>
                <w:color w:val="2C3E50"/>
                <w:sz w:val="22"/>
              </w:rPr>
              <w:t>Cause (Lack of Co-existence)</w:t>
            </w:r>
          </w:p>
        </w:tc>
        <w:tc>
          <w:tcPr>
            <w:tcW w:w="0" w:type="auto"/>
            <w:tcBorders>
              <w:bottom w:val="single" w:color="1E3A5F" w:sz="8"/>
            </w:tcBorders>
            <w:shd w:val="clear" w:fill="EBF5FB"/>
            <w:vAlign w:val="center"/>
          </w:tcPr>
          <w:p>
            <w:pPr>
              <w:spacing w:before="0" w:after="0"/>
              <w:jc w:val="center"/>
            </w:pPr>
            <w:r>
              <w:rPr>
                <w:b/>
                <w:color w:val="2C3E50"/>
                <w:sz w:val="22"/>
              </w:rPr>
              <w:t>Co-Existence Based Solution</w:t>
            </w:r>
          </w:p>
        </w:tc>
      </w:tr>
      <w:tr>
        <w:tc>
          <w:tcPr>
            <w:tcW w:w="0" w:type="auto"/>
            <w:vAlign w:val="center"/>
          </w:tcPr>
          <w:p>
            <w:pPr>
              <w:spacing w:before="0" w:after="0"/>
              <w:jc w:val="center"/>
            </w:pPr>
            <w:r>
              <w:rPr>
                <w:color w:val="2C3E50"/>
                <w:sz w:val="22"/>
              </w:rPr>
              <w:t>Climate Change</w:t>
            </w:r>
          </w:p>
        </w:tc>
        <w:tc>
          <w:tcPr>
            <w:tcW w:w="0" w:type="auto"/>
            <w:vAlign w:val="center"/>
          </w:tcPr>
          <w:p>
            <w:pPr>
              <w:spacing w:before="0" w:after="0"/>
              <w:jc w:val="left"/>
            </w:pPr>
            <w:r>
              <w:rPr>
                <w:color w:val="2C3E50"/>
                <w:sz w:val="22"/>
              </w:rPr>
              <w:t>Exploitation of nature</w:t>
            </w:r>
          </w:p>
        </w:tc>
        <w:tc>
          <w:tcPr>
            <w:tcW w:w="0" w:type="auto"/>
            <w:vAlign w:val="center"/>
          </w:tcPr>
          <w:p>
            <w:pPr>
              <w:spacing w:before="0" w:after="0"/>
              <w:jc w:val="left"/>
            </w:pPr>
            <w:r>
              <w:rPr>
                <w:color w:val="2C3E50"/>
                <w:sz w:val="22"/>
              </w:rPr>
              <w:t>Living in harmony with natural systems</w:t>
            </w:r>
          </w:p>
        </w:tc>
      </w:tr>
      <w:tr>
        <w:tc>
          <w:tcPr>
            <w:tcW w:w="0" w:type="auto"/>
            <w:vAlign w:val="center"/>
          </w:tcPr>
          <w:p>
            <w:pPr>
              <w:spacing w:before="0" w:after="0"/>
              <w:jc w:val="center"/>
            </w:pPr>
            <w:r>
              <w:rPr>
                <w:color w:val="2C3E50"/>
                <w:sz w:val="22"/>
              </w:rPr>
              <w:t>Social Polarisation</w:t>
            </w:r>
          </w:p>
        </w:tc>
        <w:tc>
          <w:tcPr>
            <w:tcW w:w="0" w:type="auto"/>
            <w:vAlign w:val="center"/>
          </w:tcPr>
          <w:p>
            <w:pPr>
              <w:spacing w:before="0" w:after="0"/>
              <w:jc w:val="left"/>
            </w:pPr>
            <w:r>
              <w:rPr>
                <w:color w:val="2C3E50"/>
                <w:sz w:val="22"/>
              </w:rPr>
              <w:t>Us vs. them thinking</w:t>
            </w:r>
          </w:p>
        </w:tc>
        <w:tc>
          <w:tcPr>
            <w:tcW w:w="0" w:type="auto"/>
            <w:vAlign w:val="center"/>
          </w:tcPr>
          <w:p>
            <w:pPr>
              <w:spacing w:before="0" w:after="0"/>
              <w:jc w:val="left"/>
            </w:pPr>
            <w:r>
              <w:rPr>
                <w:color w:val="2C3E50"/>
                <w:sz w:val="22"/>
              </w:rPr>
              <w:t>Recognising shared humanity</w:t>
            </w:r>
          </w:p>
        </w:tc>
      </w:tr>
      <w:tr>
        <w:tc>
          <w:tcPr>
            <w:tcW w:w="0" w:type="auto"/>
            <w:vAlign w:val="center"/>
          </w:tcPr>
          <w:p>
            <w:pPr>
              <w:spacing w:before="0" w:after="0"/>
              <w:jc w:val="center"/>
            </w:pPr>
            <w:r>
              <w:rPr>
                <w:color w:val="2C3E50"/>
                <w:sz w:val="22"/>
              </w:rPr>
              <w:t>Mental Health Crisis</w:t>
            </w:r>
          </w:p>
        </w:tc>
        <w:tc>
          <w:tcPr>
            <w:tcW w:w="0" w:type="auto"/>
            <w:vAlign w:val="center"/>
          </w:tcPr>
          <w:p>
            <w:pPr>
              <w:spacing w:before="0" w:after="0"/>
              <w:jc w:val="left"/>
            </w:pPr>
            <w:r>
              <w:rPr>
                <w:color w:val="2C3E50"/>
                <w:sz w:val="22"/>
              </w:rPr>
              <w:t>Isolation, comparison, lack of meaning</w:t>
            </w:r>
          </w:p>
        </w:tc>
        <w:tc>
          <w:tcPr>
            <w:tcW w:w="0" w:type="auto"/>
            <w:vAlign w:val="center"/>
          </w:tcPr>
          <w:p>
            <w:pPr>
              <w:spacing w:before="0" w:after="0"/>
              <w:jc w:val="left"/>
            </w:pPr>
            <w:r>
              <w:rPr>
                <w:color w:val="2C3E50"/>
                <w:sz w:val="22"/>
              </w:rPr>
              <w:t>Community, inner harmony, purpose</w:t>
            </w:r>
          </w:p>
        </w:tc>
      </w:tr>
      <w:tr>
        <w:tc>
          <w:tcPr>
            <w:tcW w:w="0" w:type="auto"/>
            <w:vAlign w:val="center"/>
          </w:tcPr>
          <w:p>
            <w:pPr>
              <w:spacing w:before="0" w:after="0"/>
              <w:jc w:val="center"/>
            </w:pPr>
            <w:r>
              <w:rPr>
                <w:color w:val="2C3E50"/>
                <w:sz w:val="22"/>
              </w:rPr>
              <w:t>Economic Inequality</w:t>
            </w:r>
          </w:p>
        </w:tc>
        <w:tc>
          <w:tcPr>
            <w:tcW w:w="0" w:type="auto"/>
            <w:vAlign w:val="center"/>
          </w:tcPr>
          <w:p>
            <w:pPr>
              <w:spacing w:before="0" w:after="0"/>
              <w:jc w:val="left"/>
            </w:pPr>
            <w:r>
              <w:rPr>
                <w:color w:val="2C3E50"/>
                <w:sz w:val="22"/>
              </w:rPr>
              <w:t>Greed-based accumulation</w:t>
            </w:r>
          </w:p>
        </w:tc>
        <w:tc>
          <w:tcPr>
            <w:tcW w:w="0" w:type="auto"/>
            <w:vAlign w:val="center"/>
          </w:tcPr>
          <w:p>
            <w:pPr>
              <w:spacing w:before="0" w:after="0"/>
              <w:jc w:val="left"/>
            </w:pPr>
            <w:r>
              <w:rPr>
                <w:color w:val="2C3E50"/>
                <w:sz w:val="22"/>
              </w:rPr>
              <w:t>Equitable, need-based thinking</w:t>
            </w:r>
          </w:p>
        </w:tc>
      </w:tr>
      <w:tr>
        <w:tc>
          <w:tcPr>
            <w:tcW w:w="0" w:type="auto"/>
            <w:vAlign w:val="center"/>
          </w:tcPr>
          <w:p>
            <w:pPr>
              <w:spacing w:before="0" w:after="0"/>
              <w:jc w:val="center"/>
            </w:pPr>
            <w:r>
              <w:rPr>
                <w:color w:val="2C3E50"/>
                <w:sz w:val="22"/>
              </w:rPr>
              <w:t>Family Breakdown</w:t>
            </w:r>
          </w:p>
        </w:tc>
        <w:tc>
          <w:tcPr>
            <w:tcW w:w="0" w:type="auto"/>
            <w:vAlign w:val="center"/>
          </w:tcPr>
          <w:p>
            <w:pPr>
              <w:spacing w:before="0" w:after="0"/>
              <w:jc w:val="left"/>
            </w:pPr>
            <w:r>
              <w:rPr>
                <w:color w:val="2C3E50"/>
                <w:sz w:val="22"/>
              </w:rPr>
              <w:t>Self-centred behaviour</w:t>
            </w:r>
          </w:p>
        </w:tc>
        <w:tc>
          <w:tcPr>
            <w:tcW w:w="0" w:type="auto"/>
            <w:vAlign w:val="center"/>
          </w:tcPr>
          <w:p>
            <w:pPr>
              <w:spacing w:before="0" w:after="0"/>
              <w:jc w:val="left"/>
            </w:pPr>
            <w:r>
              <w:rPr>
                <w:color w:val="2C3E50"/>
                <w:sz w:val="22"/>
              </w:rPr>
              <w:t>Mutual trust and responsibility</w:t>
            </w:r>
          </w:p>
        </w:tc>
      </w:tr>
    </w:tbl>
    <w:p>
      <w:pPr>
        <w:pStyle w:val="Caption"/>
      </w:pPr>
      <w:r>
        <w:t>Table 4: Modern Problems and Co-Existence-Based Solutions</w:t>
      </w:r>
    </w:p>
    <w:p>
      <w:pPr>
        <w:spacing w:before="200" w:after="80"/>
        <w:jc w:val="center"/>
      </w:pPr>
      <w:r>
        <w:drawing>
          <wp:inline distT="0" distB="0" distL="0" distR="0">
            <wp:extent cx="5486400" cy="2743200"/>
            <wp:effectExtent l="0" t="0" r="0" b="0"/>
            <wp:docPr id="51" name="Chart"/>
            <wp:cNvGraphicFramePr>
              <a:graphicFrameLocks noChangeAspect="1"/>
            </wp:cNvGraphicFramePr>
            <a:graphic>
              <a:graphicData uri="http://schemas.openxmlformats.org/drawingml/2006/chart">
                <ns3:chart r:id="Refd13f38b5db493a"/>
              </a:graphicData>
            </a:graphic>
          </wp:inline>
        </w:drawing>
      </w:r>
    </w:p>
    <w:p>
      <w:pPr>
        <w:pStyle w:val="Caption"/>
      </w:pPr>
      <w:r>
        <w:t>Figure 8: Global Well-being Index vs. Environmental Co-existence Score (Representative data)</w:t>
      </w:r>
    </w:p>
    <w:p>
      <w:pPr>
        <w:sectPr>
          <w:type w:val="nextPage"/>
          <w:pgSz w:w="11906" w:h="16838"/>
          <w:pgMar w:top="1440" w:right="1440" w:bottom="1440" w:left="1440" w:header="720" w:footer="720"/>
        </w:sectPr>
      </w:pPr>
    </w:p>
    <w:p>
      <w:pPr>
        <w:pStyle w:val="Heading1"/>
      </w:pPr>
      <w:r>
        <w:t>PART C - CASE STUDY (SUBJECTIVE)</w:t>
      </w:r>
    </w:p>
    <w:p>
      <w:pPr>
        <w:spacing w:before="200" w:after="400"/>
        <w:jc w:val="center"/>
      </w:pPr>
      <w:r>
        <w:rPr>
          <w:b/>
          <w:i/>
          <w:color w:val="722F37"/>
          <w:sz w:val="28"/>
        </w:rPr>
        <w:t>"The Illusion of Happiness: Examining What Should NOT Define Human Happiness"</w:t>
      </w:r>
    </w:p>
    <w:p>
      <w:pPr>
        <w:pStyle w:val="Heading2"/>
      </w:pPr>
      <w:r>
        <w:t>C.1 - Introduction</w:t>
      </w:r>
    </w:p>
    <w:p>
      <w:r>
        <w:t>Happiness, in its truest sense, is not the fleeting pleasure of a momentary experience nor the satisfaction of achieving a goal. True happiness is sustained inner harmony - a state of being that persists regardless of external circumstances. It is not an emotion that comes and goes but a fundamental condition of the Self that remains stable even as emotions arise and pass. This distinction is crucial because the modern world constantly bombards us with messages that equate happiness with external achievements, possessions, and validation, leading to a collective confusion about what truly brings well-being.</w:t>
      </w:r>
    </w:p>
    <w:p>
      <w:r>
        <w:t>This confusion is particularly acute for young adults and students today, who face unprecedented pressure to succeed academically, professionally, and socially. Social media creates a continuous stream of images depicting others' seemingly perfect lives, fostering comparison and inadequacy. The consumer economy operates by creating and exploiting dissatisfaction, promising happiness through the next purchase. Educational systems often emphasise competition over collaboration, grades over genuine learning, and external validation over internal growth. In this environment, distinguishing between true happiness and its illusions is not merely an academic exercise but a practical necessity for mental health and meaningful living.</w:t>
      </w:r>
    </w:p>
    <w:p>
      <w:r>
        <w:t>This case study examines five common illusions that people mistakenly pursue as sources of happiness. Through the experiences of five individuals, we will explore why wealth, social status, physical appearance, social comparison, and temporal preoccupation cannot provide the lasting happiness they promise. Each case offers insights into the nature of true happiness and the path toward achieving it.</w:t>
      </w:r>
    </w:p>
    <w:p>
      <w:pPr>
        <w:pStyle w:val="Heading2"/>
      </w:pPr>
      <w:r>
        <w:t>C.2 - Sub-Case 1: Wealth and Material Possession</w:t>
      </w:r>
    </w:p>
    <w:p>
      <w:r>
        <w:rPr>
          <w:b/>
        </w:rPr>
        <w:t>Subject: </w:t>
      </w:r>
      <w:r>
        <w:t>Arjun Sharma, 35, Senior Corporate Manager, Mumbai</w:t>
      </w:r>
    </w:p>
    <w:p>
      <w:r>
        <w:rPr>
          <w:b/>
        </w:rPr>
        <w:t>Background: </w:t>
      </w:r>
      <w:r>
        <w:t>Arjun earns INR 40 lakhs annually, owns a premium apartment in an upscale neighbourhood, drives a luxury sedan, and is socially envied for his 'successful' lifestyle. He graduated from a top business school and has climbed the corporate ladder rapidly. By conventional measures, Arjun has achieved the dream that millions of young Indians pursue.</w:t>
      </w:r>
    </w:p>
    <w:p>
      <w:r>
        <w:rPr>
          <w:b/>
        </w:rPr>
        <w:t>Observation: </w:t>
      </w:r>
      <w:r>
        <w:t>Despite his material achievements, Arjun experiences chronic anxiety about maintaining his lifestyle. He has no meaningful relationships - his marriage ended in divorce - and he finds it difficult to trust people. He works twelve to fourteen hours a day and reports feeling empty and unfulfilled. When asked what gives him joy, he pauses and says, 'I don't know anymore.'</w:t>
      </w:r>
    </w:p>
    <w:p>
      <w:r>
        <w:rPr>
          <w:b/>
        </w:rPr>
        <w:t>Analysis: </w:t>
      </w:r>
      <w:r>
        <w:t>Research consistently shows that while wealth provides security and comfort up to a point, additional income yields diminishing returns on emotional well-being. The seminal work of Richard Easterlin (1974) documented the Easterlin Paradox - that beyond a certain threshold, additional income does not correlate with increased happiness. The hedonic treadmill explains why increases in wealth produce only temporary boosts in well-being.</w:t>
      </w:r>
    </w:p>
    <w:p>
      <w:pPr>
        <w:spacing w:before="200" w:after="80"/>
        <w:jc w:val="center"/>
      </w:pPr>
      <w:r>
        <w:drawing>
          <wp:inline distT="0" distB="0" distL="0" distR="0">
            <wp:extent cx="5486400" cy="2743200"/>
            <wp:effectExtent l="0" t="0" r="0" b="0"/>
            <wp:docPr id="52" name="Chart"/>
            <wp:cNvGraphicFramePr>
              <a:graphicFrameLocks noChangeAspect="1"/>
            </wp:cNvGraphicFramePr>
            <a:graphic>
              <a:graphicData uri="http://schemas.openxmlformats.org/drawingml/2006/chart">
                <ns3:chart r:id="R690f0196a21d4d2a"/>
              </a:graphicData>
            </a:graphic>
          </wp:inline>
        </w:drawing>
      </w:r>
    </w:p>
    <w:p>
      <w:pPr>
        <w:pStyle w:val="Caption"/>
      </w:pPr>
      <w:r>
        <w:t>Figure 9: Income Level vs. Happiness Score (Adapted from Easterlin, 1974 and Kahneman &amp; Deaton, 2010)</w:t>
      </w:r>
    </w:p>
    <w:p>
      <w:pPr>
        <w:pStyle w:val="Quote"/>
      </w:pPr>
      <w:r>
        <w:t>Subjective Insight: Arjun's case reveals a profound truth about human desire - we are conditioned to believe that the next achievement, the next possession, will finally bring contentment. Yet this horizon constantly recedes. True prosperity lies not in accumulation but in the ability to meet genuine needs with gratitude and contentment.</w:t>
      </w:r>
    </w:p>
    <w:p>
      <w:pPr>
        <w:spacing w:before="200" w:after="400"/>
        <w:ind w:left="720"/>
      </w:pPr>
      <w:r>
        <w:rPr>
          <w:b/>
          <w:i/>
          <w:color w:val="4A7C59"/>
        </w:rPr>
        <w:t>Lesson Learned: "Prosperity is the ability to fulfil needs. Happiness is the state of inner harmony. They are not the same."</w:t>
      </w:r>
    </w:p>
    <w:p>
      <w:pPr>
        <w:pStyle w:val="Heading2"/>
      </w:pPr>
      <w:r>
        <w:t>C.3 - Sub-Case 2: Social Status and Public Image</w:t>
      </w:r>
    </w:p>
    <w:p>
      <w:r>
        <w:rPr>
          <w:b/>
        </w:rPr>
        <w:t>Subject: </w:t>
      </w:r>
      <w:r>
        <w:t>Priya Mehta, 28, Lifestyle Influencer, Delhi</w:t>
      </w:r>
    </w:p>
    <w:p>
      <w:r>
        <w:rPr>
          <w:b/>
        </w:rPr>
        <w:t>Background: </w:t>
      </w:r>
      <w:r>
        <w:t>Priya has over 200,000 followers on social media, secures regular brand partnerships, and projects an image of glamour and success. She started her influencer journey five years ago and is considered a 'micro-celebrity' in Delhi's social scene.</w:t>
      </w:r>
    </w:p>
    <w:p>
      <w:r>
        <w:rPr>
          <w:b/>
        </w:rPr>
        <w:t>Observation: </w:t>
      </w:r>
      <w:r>
        <w:t>Priya experiences severe anxiety before posting content, spending hours editing photos and crafting captions. She falls into depression when engagement metrics drop. She has few genuine friendships and admits she does not know who she is without her online persona.</w:t>
      </w:r>
    </w:p>
    <w:p>
      <w:r>
        <w:rPr>
          <w:b/>
        </w:rPr>
        <w:t>Analysis: </w:t>
      </w:r>
      <w:r>
        <w:t>External validation is inherently unstable because it can be withdrawn at any moment. When self-worth is contingent on others' opinions, the individual becomes psychologically dependent on factors entirely outside their control. The 'like' button activates the same dopamine pathways as addictive substances, creating a cycle of craving and temporary satisfaction.</w:t>
      </w:r>
    </w:p>
    <w:p>
      <w:pPr>
        <w:pStyle w:val="Quote"/>
      </w:pPr>
      <w:r>
        <w:t>Subjective Insight: Priya's experience illuminates the fragile nature of identity built on external validation. When we conflate our image with our identity, we become performers rather than authentic beings. True self-worth must be rooted in something internal and stable.</w:t>
      </w:r>
    </w:p>
    <w:p>
      <w:pPr>
        <w:spacing w:before="200" w:after="400"/>
        <w:ind w:left="720"/>
      </w:pPr>
      <w:r>
        <w:rPr>
          <w:b/>
          <w:i/>
          <w:color w:val="4A7C59"/>
        </w:rPr>
        <w:t>Lesson Learned: "Self-worth rooted in others' opinions is not self-worth - it is borrowed identity."</w:t>
      </w:r>
    </w:p>
    <w:p>
      <w:pPr>
        <w:pStyle w:val="Heading2"/>
      </w:pPr>
      <w:r>
        <w:t>C.4 - Sub-Case 3: Physical Appearance</w:t>
      </w:r>
    </w:p>
    <w:p>
      <w:r>
        <w:rPr>
          <w:b/>
        </w:rPr>
        <w:t>Subject: </w:t>
      </w:r>
      <w:r>
        <w:t>Rohan, 20, Second-year Engineering Student</w:t>
      </w:r>
    </w:p>
    <w:p>
      <w:r>
        <w:rPr>
          <w:b/>
        </w:rPr>
        <w:t>Background: </w:t>
      </w:r>
      <w:r>
        <w:t>Rohan has an average build but constantly compares himself to fitness influencers on social media. Growing up, he was teased about being 'skinny,' which created lasting insecurity about his body.</w:t>
      </w:r>
    </w:p>
    <w:p>
      <w:r>
        <w:rPr>
          <w:b/>
        </w:rPr>
        <w:t>Observation: </w:t>
      </w:r>
      <w:r>
        <w:t>Rohan's confidence fluctuates dramatically based on his appearance each day. He has withdrawn from social situations and has developed obsessive patterns around food and exercise. His happiness has become entirely contingent on his appearance in the mirror.</w:t>
      </w:r>
    </w:p>
    <w:p>
      <w:r>
        <w:rPr>
          <w:b/>
        </w:rPr>
        <w:t>Analysis: </w:t>
      </w:r>
      <w:r>
        <w:t>The body is an instrument of the Self - not its measure. When happiness is tied to appearance, an internal state becomes dependent on external and inevitably changing factors. Research in body image psychology shows that body dissatisfaction is associated with lower self-esteem, anxiety, depression, and disordered eating.</w:t>
      </w:r>
    </w:p>
    <w:p>
      <w:pPr>
        <w:pStyle w:val="Quote"/>
      </w:pPr>
      <w:r>
        <w:t>Subjective Insight: Rohan's struggle reflects a cultural obsession with appearance that reduces human beings to visual objects. The body-as-instrument perspective reminds us that our physical form serves the purpose of enabling our consciousness to interact with the world.</w:t>
      </w:r>
    </w:p>
    <w:p>
      <w:pPr>
        <w:spacing w:before="200" w:after="400"/>
        <w:ind w:left="720"/>
      </w:pPr>
      <w:r>
        <w:rPr>
          <w:b/>
          <w:i/>
          <w:color w:val="4A7C59"/>
        </w:rPr>
        <w:t>Lesson Learned: "The Self is not the body. Happiness that depends on appearance is as unstable as appearance itself."</w:t>
      </w:r>
    </w:p>
    <w:p>
      <w:pPr>
        <w:pStyle w:val="Heading2"/>
      </w:pPr>
      <w:r>
        <w:t>C.5 - Sub-Case 4: Comparison with Others</w:t>
      </w:r>
    </w:p>
    <w:p>
      <w:r>
        <w:rPr>
          <w:b/>
        </w:rPr>
        <w:t>Subject: </w:t>
      </w:r>
      <w:r>
        <w:t>Neha, 23, Postgraduate Student</w:t>
      </w:r>
    </w:p>
    <w:p>
      <w:r>
        <w:rPr>
          <w:b/>
        </w:rPr>
        <w:t>Background: </w:t>
      </w:r>
      <w:r>
        <w:t>Neha has a good academic record and comes from a supportive family. However, she constantly compares herself to peers who received higher salary packages or got into more prestigious universities abroad.</w:t>
      </w:r>
    </w:p>
    <w:p>
      <w:r>
        <w:rPr>
          <w:b/>
        </w:rPr>
        <w:t>Observation: </w:t>
      </w:r>
      <w:r>
        <w:t>Neha experiences persistent dissatisfaction despite her objective success. Each achievement is immediately reframed as insufficient by comparison. Her confidence has eroded over time, and she describes feeling like an impostor. She spends hours scrolling through social media, comparing her life to the curated highlight reels of her peers.</w:t>
      </w:r>
    </w:p>
    <w:p>
      <w:r>
        <w:rPr>
          <w:b/>
        </w:rPr>
        <w:t>Analysis: </w:t>
      </w:r>
      <w:r>
        <w:t>Social comparison shifts the goalpost of happiness infinitely - there is always someone 'ahead' in some dimension. Leon Festinger's social comparison theory (1954) demonstrated that humans have a drive to evaluate themselves by comparison with others. Research consistently shows that frequent social comparison is associated with lower life satisfaction, higher depression, and greater anxiety.</w:t>
      </w:r>
    </w:p>
    <w:p>
      <w:pPr>
        <w:spacing w:before="200" w:after="80"/>
        <w:jc w:val="center"/>
      </w:pPr>
      <w:r>
        <w:drawing>
          <wp:inline distT="0" distB="0" distL="0" distR="0">
            <wp:extent cx="5486400" cy="2743200"/>
            <wp:effectExtent l="0" t="0" r="0" b="0"/>
            <wp:docPr id="53" name="Chart"/>
            <wp:cNvGraphicFramePr>
              <a:graphicFrameLocks noChangeAspect="1"/>
            </wp:cNvGraphicFramePr>
            <a:graphic>
              <a:graphicData uri="http://schemas.openxmlformats.org/drawingml/2006/chart">
                <ns3:chart r:id="R23aaad96e49846bf"/>
              </a:graphicData>
            </a:graphic>
          </wp:inline>
        </w:drawing>
      </w:r>
    </w:p>
    <w:p>
      <w:pPr>
        <w:pStyle w:val="Caption"/>
      </w:pPr>
      <w:r>
        <w:t>Figure 10: Degree of Social Comparison vs. Happiness Score (Based on relative deprivation theory, Festinger, 1954)</w:t>
      </w:r>
    </w:p>
    <w:p>
      <w:pPr>
        <w:pStyle w:val="Quote"/>
      </w:pPr>
      <w:r>
        <w:t>Subjective Insight: Neha's experience reveals comparison as a fundamental trap of the human mind. Self-referenced growth - measuring progress against our own past selves - offers the only sustainable path to satisfaction.</w:t>
      </w:r>
    </w:p>
    <w:p>
      <w:pPr>
        <w:spacing w:before="200" w:after="400"/>
        <w:ind w:left="720"/>
      </w:pPr>
      <w:r>
        <w:rPr>
          <w:b/>
          <w:i/>
          <w:color w:val="4A7C59"/>
        </w:rPr>
        <w:t>Lesson Learned: "Comparison steals the present. Your journey has no valid benchmark except your own growth."</w:t>
      </w:r>
    </w:p>
    <w:p>
      <w:pPr>
        <w:pStyle w:val="Heading2"/>
      </w:pPr>
      <w:r>
        <w:t>C.6 - Sub-Case 5: Past Regrets and Future Anxieties</w:t>
      </w:r>
    </w:p>
    <w:p>
      <w:r>
        <w:rPr>
          <w:b/>
        </w:rPr>
        <w:t>Subject: </w:t>
      </w:r>
      <w:r>
        <w:t>Meera, 45, Homemaker and Former Professional</w:t>
      </w:r>
    </w:p>
    <w:p>
      <w:r>
        <w:rPr>
          <w:b/>
        </w:rPr>
        <w:t>Background: </w:t>
      </w:r>
      <w:r>
        <w:t>Meera gave up her career as a marketing executive fifteen years ago to focus on her family. She has two children, both now in their teens, and a supportive husband.</w:t>
      </w:r>
    </w:p>
    <w:p>
      <w:r>
        <w:rPr>
          <w:b/>
        </w:rPr>
        <w:t>Observation: </w:t>
      </w:r>
      <w:r>
        <w:t>Meera spends much of her time caught between regret about her past decision and anxiety about her children's future. She imagines the career she might have had and feels a sense of loss that overshadows her actual experience. She describes her life as feeling like a 'waiting room' where genuine living is perpetually postponed.</w:t>
      </w:r>
    </w:p>
    <w:p>
      <w:r>
        <w:rPr>
          <w:b/>
        </w:rPr>
        <w:t>Analysis: </w:t>
      </w:r>
      <w:r>
        <w:t>Happiness exists only in the present moment. Regret is a form of absence from the now - dwelling in what no longer exists. Anxiety is also absence from the now - projecting into what does not yet exist. Both prevent the experience of what actually is. Research confirms that present-moment awareness is strongly associated with well-being, while rumination and worry are associated with depression and anxiety.</w:t>
      </w:r>
    </w:p>
    <w:p>
      <w:pPr>
        <w:pStyle w:val="Quote"/>
      </w:pPr>
      <w:r>
        <w:t>Subjective Insight: Meera's experience illustrates that the present moment is the only domain in which life actually occurs. The past exists only as memory, the future only as imagination - both are mental constructs. The practice of present-moment awareness is not a philosophical luxury but a practical necessity for well-being.</w:t>
      </w:r>
    </w:p>
    <w:p>
      <w:pPr>
        <w:spacing w:before="200" w:after="400"/>
        <w:ind w:left="720"/>
      </w:pPr>
      <w:r>
        <w:rPr>
          <w:b/>
          <w:i/>
          <w:color w:val="4A7C59"/>
        </w:rPr>
        <w:t>Lesson Learned: "The past is memory. The future is imagination. Happiness can only live in what is real - the present."</w:t>
      </w:r>
    </w:p>
    <w:p>
      <w:pPr>
        <w:pStyle w:val="Heading2"/>
      </w:pPr>
      <w:r>
        <w:t>C.7 - Consolidated Analysis</w:t>
      </w:r>
    </w:p>
    <w:p>
      <w:r>
        <w:t>The five cases examined in this study reveal a consistent pattern: happiness pursued through external means remains perpetually elusive. Each external foundation is inherently unstable, subject to change, loss, or the shifting perspectives of others. Arjun's wealth can be lost through economic downturns, Priya's followers can move on, Rohan's appearance will age, Neha's comparisons will always find someone 'ahead,' and Meera's preoccupations will shift from one concern to another. What unites these cases is the fundamental error of seeking happiness outside oneself.</w:t>
      </w:r>
    </w:p>
    <w:tbl>
      <w:tblPr>
        <w:tblW w:w="5000" w:type="pct"/>
        <w:tblBorders>
          <w:top w:val="single" w:color="1E3A5F" w:sz="12"/>
          <w:left w:val="nil"/>
          <w:bottom w:val="single" w:color="1E3A5F" w:sz="12"/>
          <w:right w:val="nil"/>
          <w:insideH w:val="single" w:color="BDC3C7" w:sz="4"/>
          <w:insideV w:val="nil"/>
        </w:tblBorders>
        <w:tblCellMar>
          <w:top w:w="80" w:type="dxa"/>
          <w:left w:w="150" w:type="dxa"/>
          <w:bottom w:w="80" w:type="dxa"/>
          <w:right w:w="150" w:type="dxa"/>
        </w:tblCellMar>
      </w:tblPr>
      <w:tblGrid>
        <w:gridCol w:w="2500"/>
        <w:gridCol w:w="3750"/>
        <w:gridCol w:w="3750"/>
      </w:tblGrid>
      <w:tr>
        <w:trPr>
          <w:tblHeader/>
        </w:trPr>
        <w:tc>
          <w:tcPr>
            <w:tcW w:w="0" w:type="auto"/>
            <w:tcBorders>
              <w:bottom w:val="single" w:color="1E3A5F" w:sz="8"/>
            </w:tcBorders>
            <w:shd w:val="clear" w:fill="EBF5FB"/>
            <w:vAlign w:val="center"/>
          </w:tcPr>
          <w:p>
            <w:pPr>
              <w:spacing w:before="0" w:after="0"/>
              <w:jc w:val="center"/>
            </w:pPr>
            <w:r>
              <w:rPr>
                <w:b/>
                <w:color w:val="2C3E50"/>
                <w:sz w:val="22"/>
              </w:rPr>
              <w:t>Factor</w:t>
            </w:r>
          </w:p>
        </w:tc>
        <w:tc>
          <w:tcPr>
            <w:tcW w:w="0" w:type="auto"/>
            <w:tcBorders>
              <w:bottom w:val="single" w:color="1E3A5F" w:sz="8"/>
            </w:tcBorders>
            <w:shd w:val="clear" w:fill="EBF5FB"/>
            <w:vAlign w:val="center"/>
          </w:tcPr>
          <w:p>
            <w:pPr>
              <w:spacing w:before="0" w:after="0"/>
              <w:jc w:val="center"/>
            </w:pPr>
            <w:r>
              <w:rPr>
                <w:b/>
                <w:color w:val="2C3E50"/>
                <w:sz w:val="22"/>
              </w:rPr>
              <w:t>Why People Seek It</w:t>
            </w:r>
          </w:p>
        </w:tc>
        <w:tc>
          <w:tcPr>
            <w:tcW w:w="0" w:type="auto"/>
            <w:tcBorders>
              <w:bottom w:val="single" w:color="1E3A5F" w:sz="8"/>
            </w:tcBorders>
            <w:shd w:val="clear" w:fill="EBF5FB"/>
            <w:vAlign w:val="center"/>
          </w:tcPr>
          <w:p>
            <w:pPr>
              <w:spacing w:before="0" w:after="0"/>
              <w:jc w:val="center"/>
            </w:pPr>
            <w:r>
              <w:rPr>
                <w:b/>
                <w:color w:val="2C3E50"/>
                <w:sz w:val="22"/>
              </w:rPr>
              <w:t>Why It Should NOT Define Happiness</w:t>
            </w:r>
          </w:p>
        </w:tc>
      </w:tr>
      <w:tr>
        <w:tc>
          <w:tcPr>
            <w:tcW w:w="0" w:type="auto"/>
            <w:vAlign w:val="center"/>
          </w:tcPr>
          <w:p>
            <w:pPr>
              <w:spacing w:before="0" w:after="0"/>
              <w:jc w:val="center"/>
            </w:pPr>
            <w:r>
              <w:rPr>
                <w:color w:val="2C3E50"/>
                <w:sz w:val="22"/>
              </w:rPr>
              <w:t>Wealth</w:t>
            </w:r>
          </w:p>
        </w:tc>
        <w:tc>
          <w:tcPr>
            <w:tcW w:w="0" w:type="auto"/>
            <w:vAlign w:val="center"/>
          </w:tcPr>
          <w:p>
            <w:pPr>
              <w:spacing w:before="0" w:after="0"/>
              <w:jc w:val="left"/>
            </w:pPr>
            <w:r>
              <w:rPr>
                <w:color w:val="2C3E50"/>
                <w:sz w:val="22"/>
              </w:rPr>
              <w:t>Security, status, comfort</w:t>
            </w:r>
          </w:p>
        </w:tc>
        <w:tc>
          <w:tcPr>
            <w:tcW w:w="0" w:type="auto"/>
            <w:vAlign w:val="center"/>
          </w:tcPr>
          <w:p>
            <w:pPr>
              <w:spacing w:before="0" w:after="0"/>
              <w:jc w:val="left"/>
            </w:pPr>
            <w:r>
              <w:rPr>
                <w:color w:val="2C3E50"/>
                <w:sz w:val="22"/>
              </w:rPr>
              <w:t>Diminishing returns; external and unstable</w:t>
            </w:r>
          </w:p>
        </w:tc>
      </w:tr>
      <w:tr>
        <w:tc>
          <w:tcPr>
            <w:tcW w:w="0" w:type="auto"/>
            <w:vAlign w:val="center"/>
          </w:tcPr>
          <w:p>
            <w:pPr>
              <w:spacing w:before="0" w:after="0"/>
              <w:jc w:val="center"/>
            </w:pPr>
            <w:r>
              <w:rPr>
                <w:color w:val="2C3E50"/>
                <w:sz w:val="22"/>
              </w:rPr>
              <w:t>Social Status</w:t>
            </w:r>
          </w:p>
        </w:tc>
        <w:tc>
          <w:tcPr>
            <w:tcW w:w="0" w:type="auto"/>
            <w:vAlign w:val="center"/>
          </w:tcPr>
          <w:p>
            <w:pPr>
              <w:spacing w:before="0" w:after="0"/>
              <w:jc w:val="left"/>
            </w:pPr>
            <w:r>
              <w:rPr>
                <w:color w:val="2C3E50"/>
                <w:sz w:val="22"/>
              </w:rPr>
              <w:t>Validation, belonging</w:t>
            </w:r>
          </w:p>
        </w:tc>
        <w:tc>
          <w:tcPr>
            <w:tcW w:w="0" w:type="auto"/>
            <w:vAlign w:val="center"/>
          </w:tcPr>
          <w:p>
            <w:pPr>
              <w:spacing w:before="0" w:after="0"/>
              <w:jc w:val="left"/>
            </w:pPr>
            <w:r>
              <w:rPr>
                <w:color w:val="2C3E50"/>
                <w:sz w:val="22"/>
              </w:rPr>
              <w:t>External validation can be withdrawn</w:t>
            </w:r>
          </w:p>
        </w:tc>
      </w:tr>
      <w:tr>
        <w:tc>
          <w:tcPr>
            <w:tcW w:w="0" w:type="auto"/>
            <w:vAlign w:val="center"/>
          </w:tcPr>
          <w:p>
            <w:pPr>
              <w:spacing w:before="0" w:after="0"/>
              <w:jc w:val="center"/>
            </w:pPr>
            <w:r>
              <w:rPr>
                <w:color w:val="2C3E50"/>
                <w:sz w:val="22"/>
              </w:rPr>
              <w:t>Physical Appearance</w:t>
            </w:r>
          </w:p>
        </w:tc>
        <w:tc>
          <w:tcPr>
            <w:tcW w:w="0" w:type="auto"/>
            <w:vAlign w:val="center"/>
          </w:tcPr>
          <w:p>
            <w:pPr>
              <w:spacing w:before="0" w:after="0"/>
              <w:jc w:val="left"/>
            </w:pPr>
            <w:r>
              <w:rPr>
                <w:color w:val="2C3E50"/>
                <w:sz w:val="22"/>
              </w:rPr>
              <w:t>Cultural ideals, acceptance</w:t>
            </w:r>
          </w:p>
        </w:tc>
        <w:tc>
          <w:tcPr>
            <w:tcW w:w="0" w:type="auto"/>
            <w:vAlign w:val="center"/>
          </w:tcPr>
          <w:p>
            <w:pPr>
              <w:spacing w:before="0" w:after="0"/>
              <w:jc w:val="left"/>
            </w:pPr>
            <w:r>
              <w:rPr>
                <w:color w:val="2C3E50"/>
                <w:sz w:val="22"/>
              </w:rPr>
              <w:t>Body changes; Self is not the body</w:t>
            </w:r>
          </w:p>
        </w:tc>
      </w:tr>
      <w:tr>
        <w:tc>
          <w:tcPr>
            <w:tcW w:w="0" w:type="auto"/>
            <w:vAlign w:val="center"/>
          </w:tcPr>
          <w:p>
            <w:pPr>
              <w:spacing w:before="0" w:after="0"/>
              <w:jc w:val="center"/>
            </w:pPr>
            <w:r>
              <w:rPr>
                <w:color w:val="2C3E50"/>
                <w:sz w:val="22"/>
              </w:rPr>
              <w:t>Comparison</w:t>
            </w:r>
          </w:p>
        </w:tc>
        <w:tc>
          <w:tcPr>
            <w:tcW w:w="0" w:type="auto"/>
            <w:vAlign w:val="center"/>
          </w:tcPr>
          <w:p>
            <w:pPr>
              <w:spacing w:before="0" w:after="0"/>
              <w:jc w:val="left"/>
            </w:pPr>
            <w:r>
              <w:rPr>
                <w:color w:val="2C3E50"/>
                <w:sz w:val="22"/>
              </w:rPr>
              <w:t>Benchmarking success</w:t>
            </w:r>
          </w:p>
        </w:tc>
        <w:tc>
          <w:tcPr>
            <w:tcW w:w="0" w:type="auto"/>
            <w:vAlign w:val="center"/>
          </w:tcPr>
          <w:p>
            <w:pPr>
              <w:spacing w:before="0" w:after="0"/>
              <w:jc w:val="left"/>
            </w:pPr>
            <w:r>
              <w:rPr>
                <w:color w:val="2C3E50"/>
                <w:sz w:val="22"/>
              </w:rPr>
              <w:t>Infinite goalpost shifting</w:t>
            </w:r>
          </w:p>
        </w:tc>
      </w:tr>
      <w:tr>
        <w:tc>
          <w:tcPr>
            <w:tcW w:w="0" w:type="auto"/>
            <w:vAlign w:val="center"/>
          </w:tcPr>
          <w:p>
            <w:pPr>
              <w:spacing w:before="0" w:after="0"/>
              <w:jc w:val="center"/>
            </w:pPr>
            <w:r>
              <w:rPr>
                <w:color w:val="2C3E50"/>
                <w:sz w:val="22"/>
              </w:rPr>
              <w:t>Past/Future Focus</w:t>
            </w:r>
          </w:p>
        </w:tc>
        <w:tc>
          <w:tcPr>
            <w:tcW w:w="0" w:type="auto"/>
            <w:vAlign w:val="center"/>
          </w:tcPr>
          <w:p>
            <w:pPr>
              <w:spacing w:before="0" w:after="0"/>
              <w:jc w:val="left"/>
            </w:pPr>
            <w:r>
              <w:rPr>
                <w:color w:val="2C3E50"/>
                <w:sz w:val="22"/>
              </w:rPr>
              <w:t>Learning, planning</w:t>
            </w:r>
          </w:p>
        </w:tc>
        <w:tc>
          <w:tcPr>
            <w:tcW w:w="0" w:type="auto"/>
            <w:vAlign w:val="center"/>
          </w:tcPr>
          <w:p>
            <w:pPr>
              <w:spacing w:before="0" w:after="0"/>
              <w:jc w:val="left"/>
            </w:pPr>
            <w:r>
              <w:rPr>
                <w:color w:val="2C3E50"/>
                <w:sz w:val="22"/>
              </w:rPr>
              <w:t>Happiness exists only in present</w:t>
            </w:r>
          </w:p>
        </w:tc>
      </w:tr>
    </w:tbl>
    <w:p>
      <w:pPr>
        <w:pStyle w:val="Caption"/>
      </w:pPr>
      <w:r>
        <w:t>Table 5: Factors That Should NOT Influence Happiness</w:t>
      </w:r>
    </w:p>
    <w:p>
      <w:pPr>
        <w:pStyle w:val="Heading2"/>
      </w:pPr>
      <w:r>
        <w:t>C.8 - What Should Actually Define Happiness</w:t>
      </w:r>
    </w:p>
    <w:p>
      <w:r>
        <w:t>If the five factors examined above should not define happiness, what should? The alternative is not resignation or asceticism but a reorientation toward internal foundations. True happiness is based on self-understanding rather than external validation, on gratitude rather than accumulation, on present-moment awareness rather than temporal preoccupation, on self-referenced growth rather than comparison, and on the recognition of one's inherent worth as a conscious being.</w:t>
      </w:r>
    </w:p>
    <w:tbl>
      <w:tblPr>
        <w:tblW w:w="5000" w:type="pct"/>
        <w:tblBorders>
          <w:top w:val="single" w:color="1E3A5F" w:sz="12"/>
          <w:left w:val="nil"/>
          <w:bottom w:val="single" w:color="1E3A5F" w:sz="12"/>
          <w:right w:val="nil"/>
          <w:insideH w:val="single" w:color="BDC3C7" w:sz="4"/>
          <w:insideV w:val="nil"/>
        </w:tblBorders>
        <w:tblCellMar>
          <w:top w:w="80" w:type="dxa"/>
          <w:left w:w="150" w:type="dxa"/>
          <w:bottom w:w="80" w:type="dxa"/>
          <w:right w:w="150" w:type="dxa"/>
        </w:tblCellMar>
      </w:tblPr>
      <w:tblGrid>
        <w:gridCol w:w="5000"/>
        <w:gridCol w:w="5000"/>
      </w:tblGrid>
      <w:tr>
        <w:trPr>
          <w:tblHeader/>
        </w:trPr>
        <w:tc>
          <w:tcPr>
            <w:tcW w:w="0" w:type="auto"/>
            <w:tcBorders>
              <w:bottom w:val="single" w:color="1E3A5F" w:sz="8"/>
            </w:tcBorders>
            <w:shd w:val="clear" w:fill="EBF5FB"/>
            <w:vAlign w:val="center"/>
          </w:tcPr>
          <w:p>
            <w:pPr>
              <w:spacing w:before="0" w:after="0"/>
              <w:jc w:val="center"/>
            </w:pPr>
            <w:r>
              <w:rPr>
                <w:b/>
                <w:color w:val="2C3E50"/>
                <w:sz w:val="22"/>
              </w:rPr>
              <w:t>False Basis of Happiness</w:t>
            </w:r>
          </w:p>
        </w:tc>
        <w:tc>
          <w:tcPr>
            <w:tcW w:w="0" w:type="auto"/>
            <w:tcBorders>
              <w:bottom w:val="single" w:color="1E3A5F" w:sz="8"/>
            </w:tcBorders>
            <w:shd w:val="clear" w:fill="EBF5FB"/>
            <w:vAlign w:val="center"/>
          </w:tcPr>
          <w:p>
            <w:pPr>
              <w:spacing w:before="0" w:after="0"/>
              <w:jc w:val="center"/>
            </w:pPr>
            <w:r>
              <w:rPr>
                <w:b/>
                <w:color w:val="2C3E50"/>
                <w:sz w:val="22"/>
              </w:rPr>
              <w:t>True Basis of Happiness</w:t>
            </w:r>
          </w:p>
        </w:tc>
      </w:tr>
      <w:tr>
        <w:tc>
          <w:tcPr>
            <w:tcW w:w="0" w:type="auto"/>
            <w:vAlign w:val="center"/>
          </w:tcPr>
          <w:p>
            <w:pPr>
              <w:spacing w:before="0" w:after="0"/>
              <w:jc w:val="center"/>
            </w:pPr>
            <w:r>
              <w:rPr>
                <w:color w:val="2C3E50"/>
                <w:sz w:val="22"/>
              </w:rPr>
              <w:t>Wealth accumulation</w:t>
            </w:r>
          </w:p>
        </w:tc>
        <w:tc>
          <w:tcPr>
            <w:tcW w:w="0" w:type="auto"/>
            <w:vAlign w:val="center"/>
          </w:tcPr>
          <w:p>
            <w:pPr>
              <w:spacing w:before="0" w:after="0"/>
              <w:jc w:val="left"/>
            </w:pPr>
            <w:r>
              <w:rPr>
                <w:color w:val="2C3E50"/>
                <w:sz w:val="22"/>
              </w:rPr>
              <w:t>Meeting genuine needs with gratitude</w:t>
            </w:r>
          </w:p>
        </w:tc>
      </w:tr>
      <w:tr>
        <w:tc>
          <w:tcPr>
            <w:tcW w:w="0" w:type="auto"/>
            <w:vAlign w:val="center"/>
          </w:tcPr>
          <w:p>
            <w:pPr>
              <w:spacing w:before="0" w:after="0"/>
              <w:jc w:val="center"/>
            </w:pPr>
            <w:r>
              <w:rPr>
                <w:color w:val="2C3E50"/>
                <w:sz w:val="22"/>
              </w:rPr>
              <w:t>Social validation</w:t>
            </w:r>
          </w:p>
        </w:tc>
        <w:tc>
          <w:tcPr>
            <w:tcW w:w="0" w:type="auto"/>
            <w:vAlign w:val="center"/>
          </w:tcPr>
          <w:p>
            <w:pPr>
              <w:spacing w:before="0" w:after="0"/>
              <w:jc w:val="left"/>
            </w:pPr>
            <w:r>
              <w:rPr>
                <w:color w:val="2C3E50"/>
                <w:sz w:val="22"/>
              </w:rPr>
              <w:t>Self-acceptance and inner confidence</w:t>
            </w:r>
          </w:p>
        </w:tc>
      </w:tr>
      <w:tr>
        <w:tc>
          <w:tcPr>
            <w:tcW w:w="0" w:type="auto"/>
            <w:vAlign w:val="center"/>
          </w:tcPr>
          <w:p>
            <w:pPr>
              <w:spacing w:before="0" w:after="0"/>
              <w:jc w:val="center"/>
            </w:pPr>
            <w:r>
              <w:rPr>
                <w:color w:val="2C3E50"/>
                <w:sz w:val="22"/>
              </w:rPr>
              <w:t>Physical appearance</w:t>
            </w:r>
          </w:p>
        </w:tc>
        <w:tc>
          <w:tcPr>
            <w:tcW w:w="0" w:type="auto"/>
            <w:vAlign w:val="center"/>
          </w:tcPr>
          <w:p>
            <w:pPr>
              <w:spacing w:before="0" w:after="0"/>
              <w:jc w:val="left"/>
            </w:pPr>
            <w:r>
              <w:rPr>
                <w:color w:val="2C3E50"/>
                <w:sz w:val="22"/>
              </w:rPr>
              <w:t>Care for body as instrument, not identity</w:t>
            </w:r>
          </w:p>
        </w:tc>
      </w:tr>
      <w:tr>
        <w:tc>
          <w:tcPr>
            <w:tcW w:w="0" w:type="auto"/>
            <w:vAlign w:val="center"/>
          </w:tcPr>
          <w:p>
            <w:pPr>
              <w:spacing w:before="0" w:after="0"/>
              <w:jc w:val="center"/>
            </w:pPr>
            <w:r>
              <w:rPr>
                <w:color w:val="2C3E50"/>
                <w:sz w:val="22"/>
              </w:rPr>
              <w:t>Comparison with others</w:t>
            </w:r>
          </w:p>
        </w:tc>
        <w:tc>
          <w:tcPr>
            <w:tcW w:w="0" w:type="auto"/>
            <w:vAlign w:val="center"/>
          </w:tcPr>
          <w:p>
            <w:pPr>
              <w:spacing w:before="0" w:after="0"/>
              <w:jc w:val="left"/>
            </w:pPr>
            <w:r>
              <w:rPr>
                <w:color w:val="2C3E50"/>
                <w:sz w:val="22"/>
              </w:rPr>
              <w:t>Self-referenced personal growth</w:t>
            </w:r>
          </w:p>
        </w:tc>
      </w:tr>
      <w:tr>
        <w:tc>
          <w:tcPr>
            <w:tcW w:w="0" w:type="auto"/>
            <w:vAlign w:val="center"/>
          </w:tcPr>
          <w:p>
            <w:pPr>
              <w:spacing w:before="0" w:after="0"/>
              <w:jc w:val="center"/>
            </w:pPr>
            <w:r>
              <w:rPr>
                <w:color w:val="2C3E50"/>
                <w:sz w:val="22"/>
              </w:rPr>
              <w:t>Escaping past/future</w:t>
            </w:r>
          </w:p>
        </w:tc>
        <w:tc>
          <w:tcPr>
            <w:tcW w:w="0" w:type="auto"/>
            <w:vAlign w:val="center"/>
          </w:tcPr>
          <w:p>
            <w:pPr>
              <w:spacing w:before="0" w:after="0"/>
              <w:jc w:val="left"/>
            </w:pPr>
            <w:r>
              <w:rPr>
                <w:color w:val="2C3E50"/>
                <w:sz w:val="22"/>
              </w:rPr>
              <w:t>Present-moment awareness and acceptance</w:t>
            </w:r>
          </w:p>
        </w:tc>
      </w:tr>
      <w:tr>
        <w:tc>
          <w:tcPr>
            <w:tcW w:w="0" w:type="auto"/>
            <w:vAlign w:val="center"/>
          </w:tcPr>
          <w:p>
            <w:pPr>
              <w:spacing w:before="0" w:after="0"/>
              <w:jc w:val="center"/>
            </w:pPr>
            <w:r>
              <w:rPr>
                <w:color w:val="2C3E50"/>
                <w:sz w:val="22"/>
              </w:rPr>
              <w:t>Achievement and status</w:t>
            </w:r>
          </w:p>
        </w:tc>
        <w:tc>
          <w:tcPr>
            <w:tcW w:w="0" w:type="auto"/>
            <w:vAlign w:val="center"/>
          </w:tcPr>
          <w:p>
            <w:pPr>
              <w:spacing w:before="0" w:after="0"/>
              <w:jc w:val="left"/>
            </w:pPr>
            <w:r>
              <w:rPr>
                <w:color w:val="2C3E50"/>
                <w:sz w:val="22"/>
              </w:rPr>
              <w:t>Meaningful contribution and relationships</w:t>
            </w:r>
          </w:p>
        </w:tc>
      </w:tr>
    </w:tbl>
    <w:p>
      <w:pPr>
        <w:pStyle w:val="Caption"/>
      </w:pPr>
      <w:r>
        <w:t>Table 6: False Bases vs. True Bases of Happiness</w:t>
      </w:r>
    </w:p>
    <w:p>
      <w:pPr>
        <w:pStyle w:val="Heading2"/>
      </w:pPr>
      <w:r>
        <w:t>C.9 - Conclusion of Case Study</w:t>
      </w:r>
    </w:p>
    <w:p>
      <w:r>
        <w:t>The five cases examined in this study reveal a consistent pattern: happiness pursued through external means - wealth, status, appearance, comparison, or temporal preoccupation - remains perpetually elusive. Each external foundation is inherently unstable, subject to change, loss, or the shifting perspectives of others. The individuals in these cases represent universal human tendencies, demonstrating how cultural conditioning leads us to pursue happiness in directions that cannot yield it.</w:t>
      </w:r>
    </w:p>
    <w:p>
      <w:r>
        <w:t>True happiness, as illuminated through the framework of this course, emerges from Right Understanding (Part A) and recognition of Co-Existence (Part B). It is the state of inner harmony that arises when we understand our true nature as the Self, live in recognition of our interdependence with all existence, and base our well-being on internal rather than external foundations. Happiness is not something to be achieved or acquired - it is the natural state that emerges when the obstacles to it are removed. The journey toward this understanding is the most important journey any human being can undertake.</w:t>
      </w:r>
    </w:p>
    <w:p>
      <w:pPr>
        <w:sectPr>
          <w:type w:val="nextPage"/>
          <w:pgSz w:w="11906" w:h="16838"/>
          <w:pgMar w:top="1440" w:right="1440" w:bottom="1440" w:left="1440" w:header="720" w:footer="720"/>
        </w:sectPr>
      </w:pPr>
    </w:p>
    <w:p>
      <w:pPr>
        <w:pStyle w:val="Heading1"/>
      </w:pPr>
      <w:r>
        <w:t>REFERENCES</w:t>
      </w:r>
    </w:p>
    <w:p>
      <w:pPr>
        <w:spacing w:after="200"/>
        <w:ind w:left="720" w:hanging="720"/>
      </w:pPr>
      <w:r>
        <w:t>Nagaraj, A. (2014). A Foundation Course in Human Values and Professional Ethics. Jeevan Vidya Prakashan.</w:t>
      </w:r>
    </w:p>
    <w:p>
      <w:pPr>
        <w:spacing w:after="200"/>
        <w:ind w:left="720" w:hanging="720"/>
      </w:pPr>
      <w:r>
        <w:t>Rogers, C. R. (1959). A theory of therapy, personality, and interpersonal relationships. McGraw-Hill.</w:t>
      </w:r>
    </w:p>
    <w:p>
      <w:pPr>
        <w:spacing w:after="200"/>
        <w:ind w:left="720" w:hanging="720"/>
      </w:pPr>
      <w:r>
        <w:t>Maslow, A. H. (1943). A theory of human motivation. Psychological Review, 50(4), 370-396.</w:t>
      </w:r>
    </w:p>
    <w:p>
      <w:pPr>
        <w:spacing w:after="200"/>
        <w:ind w:left="720" w:hanging="720"/>
      </w:pPr>
      <w:r>
        <w:t>Easterlin, R. A. (1974). Does economic growth improve the human lot? In P. A. David &amp; M. W. Reder (Eds.), Nations and Households in Economic Growth. Academic Press.</w:t>
      </w:r>
    </w:p>
    <w:p>
      <w:pPr>
        <w:spacing w:after="200"/>
        <w:ind w:left="720" w:hanging="720"/>
      </w:pPr>
      <w:r>
        <w:t>Kahneman, D., &amp; Deaton, A. (2010). High income improves evaluation of life but not emotional well-being. PNAS, 107(38), 16489-16493.</w:t>
      </w:r>
    </w:p>
    <w:p>
      <w:pPr>
        <w:spacing w:after="200"/>
        <w:ind w:left="720" w:hanging="720"/>
      </w:pPr>
      <w:r>
        <w:t>Luft, J., &amp; Ingham, H. (1955). The Johari Window. Proceedings of the Western Training Laboratory in Group Development. UCLA.</w:t>
      </w:r>
    </w:p>
    <w:p>
      <w:pPr>
        <w:spacing w:after="200"/>
        <w:ind w:left="720" w:hanging="720"/>
      </w:pPr>
      <w:r>
        <w:t>Festinger, L. (1954). A theory of social comparison processes. Human Relations, 7(2), 117-140.</w:t>
      </w:r>
    </w:p>
    <w:p>
      <w:pPr>
        <w:spacing w:after="200"/>
        <w:ind w:left="720" w:hanging="720"/>
      </w:pPr>
      <w:r>
        <w:t>Seligman, M. E. P. (2011). Flourish: A Visionary New Understanding of Happiness and Well-Being. Free Press.</w:t>
      </w:r>
    </w:p>
    <w:p>
      <w:pPr>
        <w:spacing w:after="200"/>
        <w:ind w:left="720" w:hanging="720"/>
      </w:pPr>
      <w:r>
        <w:t>Upanishads - Brihadaranyaka Upanishad (Trans. Swami Madhavananda). Advaita Ashrama, 1950.</w:t>
      </w:r>
    </w:p>
    <w:p>
      <w:pPr>
        <w:spacing w:after="200"/>
        <w:ind w:left="720" w:hanging="720"/>
      </w:pPr>
      <w:r>
        <w:t>Helliwell, J., Layard, R., &amp; Sachs, J. (2024). World Happiness Report 2024. Sustainable Development Solutions Network. https://worldhappiness.report</w:t>
      </w:r>
    </w:p>
    <w:p>
      <w:pPr>
        <w:pStyle w:val="Heading1"/>
      </w:pPr>
      <w:r>
        <w:t>PART D - VIDEO INTERVIEW GUIDELINES</w:t>
      </w:r>
    </w:p>
    <w:p>
      <w:pPr>
        <w:pBdr>
          <w:top w:val="double" w:color="1E3A5F" w:sz="6"/>
          <w:left w:val="double" w:color="1E3A5F" w:sz="6"/>
          <w:bottom w:val="double" w:color="1E3A5F" w:sz="6"/>
          <w:right w:val="double" w:color="1E3A5F" w:sz="6"/>
        </w:pBdr>
        <w:shd w:val="clear" w:fill="F8F9FA"/>
        <w:spacing w:before="200" w:after="200"/>
        <w:ind w:left="360" w:right="360"/>
      </w:pPr>
      <w:r>
        <w:rPr>
          <w:b/>
          <w:color w:val="1E3A5F"/>
          <w:sz w:val="28"/>
        </w:rPr>
        <w:t>PART D - VIDEO INTERVIEW GUIDELINES</w:t>
      </w:r>
      <w:r>
        <w:br/>
      </w:r>
      <w:r>
        <w:br/>
      </w:r>
      <w:r>
        <w:rPr>
          <w:b/>
        </w:rPr>
        <w:t>Format: </w:t>
      </w:r>
      <w:r>
        <w:t>Recorded video interview</w:t>
      </w:r>
      <w:r>
        <w:br/>
      </w:r>
      <w:r>
        <w:rPr>
          <w:b/>
        </w:rPr>
        <w:t>Duration: </w:t>
      </w:r>
      <w:r>
        <w:t>Minimum 5 minutes - Maximum 10 minutes</w:t>
      </w:r>
      <w:r>
        <w:br/>
      </w:r>
      <w:r>
        <w:br/>
      </w:r>
      <w:r>
        <w:rPr>
          <w:b/>
          <w:u/>
        </w:rPr>
        <w:t>Suggested Structure:</w:t>
      </w:r>
      <w:r>
        <w:br/>
      </w:r>
      <w:r>
        <w:t>0:00-1:00  -&gt;  Introduce yourself, section, group number</w:t>
      </w:r>
      <w:r>
        <w:br/>
      </w:r>
      <w:r>
        <w:t>1:00-3:00  -&gt;  What did YOU learn about the Self and Right Understanding? (Part A)</w:t>
      </w:r>
      <w:r>
        <w:br/>
      </w:r>
      <w:r>
        <w:t>3:00-5:30  -&gt;  How does Co-existence apply in your own life today? (Part B)</w:t>
      </w:r>
      <w:r>
        <w:br/>
      </w:r>
      <w:r>
        <w:t>5:30-8:00  -&gt;  Which of the 5 case-study factors (Part C) do YOU relate to most?</w:t>
      </w:r>
      <w:r>
        <w:br/>
      </w:r>
      <w:r>
        <w:t>8:00-10:00 -&gt;  Closing: YOUR personal definition of happiness after this project</w:t>
      </w:r>
      <w:r>
        <w:br/>
      </w:r>
      <w:r>
        <w:br/>
      </w:r>
      <w:r>
        <w:rPr>
          <w:b/>
          <w:u/>
        </w:rPr>
        <w:t>Guidelines:</w:t>
      </w:r>
      <w:r>
        <w:br/>
      </w:r>
      <w:r>
        <w:t>• Speak naturally and honestly - this is subjective</w:t>
      </w:r>
      <w:r>
        <w:br/>
      </w:r>
      <w:r>
        <w:t>• No need to read from paper; speak from understanding</w:t>
      </w:r>
      <w:r>
        <w:br/>
      </w:r>
      <w:r>
        <w:t>• Good lighting, clear audio, neutral background preferred</w:t>
      </w:r>
      <w:r>
        <w:br/>
      </w:r>
      <w:r>
        <w:t>• Submit as MP4 or share link (Google Drive / YouTube unlisted)</w:t>
      </w:r>
    </w:p>
    <w:sectPr>
      <w:headerReference w:type="default" r:id="R62aa0f71aeec48ee"/>
      <w:footerReference w:type="default" r:id="R9442b4fda1474d72"/>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5D6D7E"/>
        <w:sz w:val="20"/>
      </w:rPr>
      <w:t>1</w:t>
      <w:instrText xml:space="preserve"> PAGE </w:instrText>
      <w:fldChar w:fldCharType="begin"/>
      <w:fldChar w:fldCharType="separate"/>
      <w:fldChar w:fldCharType="end"/>
    </w:r>
  </w:p>
</w:ftr>
</file>

<file path=word/header1.xml><?xml version="1.0" encoding="utf-8"?>
<w:hdr xmlns:w="http://schemas.openxmlformats.org/wordprocessingml/2006/main">
  <w:p>
    <w:pPr>
      <w:pBdr>
        <w:bottom w:val="single" w:color="BDC3C7" w:sz="4"/>
      </w:pBdr>
      <w:jc w:val="center"/>
    </w:pPr>
    <w:r>
      <w:rPr>
        <w:color w:val="5D6D7E"/>
        <w:sz w:val="20"/>
      </w:rPr>
      <w:t>Human Values and Professional Ethics - Project Report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60" w:lineRule="auto"/>
      <w:jc w:val="both"/>
    </w:pPr>
    <w:rPr>
      <w:rFonts w:ascii="Times New Roman" w:hAnsi="Times New Roman"/>
      <w:color w:val="2C3E50"/>
      <w:sz w:val="24"/>
    </w:rPr>
  </w:style>
  <w:style w:type="paragraph" w:styleId="Heading1">
    <w:name w:val="heading 1"/>
    <w:basedOn w:val="Normal"/>
    <w:pPr>
      <w:keepNext/>
      <w:keepLines/>
      <w:pageBreakBefore/>
      <w:spacing w:before="400" w:after="300" w:line="240" w:lineRule="auto"/>
      <w:jc w:val="center"/>
      <w:outlineLvl w:val="0"/>
    </w:pPr>
    <w:rPr>
      <w:b/>
      <w:caps/>
      <w:color w:val="1E3A5F"/>
      <w:sz w:val="36"/>
    </w:rPr>
  </w:style>
  <w:style w:type="paragraph" w:styleId="Heading2">
    <w:name w:val="heading 2"/>
    <w:basedOn w:val="Normal"/>
    <w:pPr>
      <w:keepNext/>
      <w:keepLines/>
      <w:spacing w:before="360" w:after="200"/>
      <w:outlineLvl w:val="1"/>
    </w:pPr>
    <w:rPr>
      <w:b/>
      <w:color w:val="722F37"/>
      <w:sz w:val="28"/>
    </w:rPr>
  </w:style>
  <w:style w:type="paragraph" w:styleId="Heading3">
    <w:name w:val="heading 3"/>
    <w:basedOn w:val="Normal"/>
    <w:pPr>
      <w:keepNext/>
      <w:keepLines/>
      <w:spacing w:before="280" w:after="160"/>
      <w:outlineLvl w:val="2"/>
    </w:pPr>
    <w:rPr>
      <w:b/>
      <w:i/>
      <w:color w:val="4A7C59"/>
      <w:sz w:val="24"/>
    </w:rPr>
  </w:style>
  <w:style w:type="paragraph" w:styleId="Caption">
    <w:name w:val="Caption"/>
    <w:basedOn w:val="Normal"/>
    <w:pPr>
      <w:keepLines/>
      <w:spacing w:before="80" w:after="360"/>
      <w:jc w:val="center"/>
    </w:pPr>
    <w:rPr>
      <w:i/>
      <w:color w:val="5D6D7E"/>
      <w:sz w:val="20"/>
    </w:rPr>
  </w:style>
  <w:style w:type="paragraph" w:styleId="Quote">
    <w:name w:val="Quote"/>
    <w:basedOn w:val="Normal"/>
    <w:pPr>
      <w:spacing w:before="200" w:after="200"/>
      <w:ind w:left="720" w:right="720"/>
    </w:pPr>
    <w:rPr>
      <w:i/>
      <w:color w:val="722F37"/>
      <w:sz w:val="22"/>
    </w:rPr>
  </w:style>
</w:styles>
</file>

<file path=word/_rels/document.xml.rels><?xml version='1.0' encoding='UTF-8'?>
<Relationships xmlns="http://schemas.openxmlformats.org/package/2006/relationships"><Relationship Type="http://schemas.openxmlformats.org/officeDocument/2006/relationships/styles" Target="styles.xml" Id="R7aabb33097c148cf" /><Relationship Type="http://schemas.openxmlformats.org/officeDocument/2006/relationships/numbering" Target="numbering.xml" Id="R33fea400aa0842f8" /><Relationship Type="http://schemas.openxmlformats.org/officeDocument/2006/relationships/header" Target="header1.xml" Id="R62aa0f71aeec48ee" /><Relationship Type="http://schemas.openxmlformats.org/officeDocument/2006/relationships/footer" Target="footer1.xml" Id="R9442b4fda1474d72" /><Relationship Type="http://schemas.openxmlformats.org/officeDocument/2006/relationships/chart" Target="charts/chart1.xml" Id="R1d5261e6010d4b92" /><Relationship Type="http://schemas.openxmlformats.org/officeDocument/2006/relationships/chart" Target="charts/chart2.xml" Id="Refd13f38b5db493a" /><Relationship Type="http://schemas.openxmlformats.org/officeDocument/2006/relationships/chart" Target="charts/chart3.xml" Id="R690f0196a21d4d2a" /><Relationship Type="http://schemas.openxmlformats.org/officeDocument/2006/relationships/chart" Target="charts/chart4.xml" Id="R23aaad96e49846bf" /><Relationship Type="http://schemas.openxmlformats.org/officeDocument/2006/relationships/settings" Target="settings.xml" Id="R4e1abca2155340fd" /></Relationships>
</file>

<file path=word/charts/chart1.xml><?xml version="1.0" encoding="utf-8"?>
<c:chartSpace xmlns:c="http://schemas.openxmlformats.org/drawingml/2006/chart" xmlns:a="http://schemas.openxmlformats.org/drawingml/2006/main">
  <c:chart>
    <c:plotArea>
      <c:pieChart>
        <c:varyColors val="1"/>
        <c:ser>
          <c:idx val="0"/>
          <c:order val="0"/>
          <c:tx>
            <c:v>Factors Shaping Self-Concept</c:v>
          </c:tx>
          <c:dPt>
            <c:idx val="0"/>
            <c:bubble3D val="0"/>
            <c:spPr>
              <a:solidFill>
                <a:srgbClr val="1E3A5F"/>
              </a:solidFill>
            </c:spPr>
          </c:dPt>
          <c:dPt>
            <c:idx val="1"/>
            <c:bubble3D val="0"/>
            <c:spPr>
              <a:solidFill>
                <a:srgbClr val="722F37"/>
              </a:solidFill>
            </c:spPr>
          </c:dPt>
          <c:dPt>
            <c:idx val="2"/>
            <c:bubble3D val="0"/>
            <c:spPr>
              <a:solidFill>
                <a:srgbClr val="4A7C59"/>
              </a:solidFill>
            </c:spPr>
          </c:dPt>
          <c:dPt>
            <c:idx val="3"/>
            <c:bubble3D val="0"/>
            <c:spPr>
              <a:solidFill>
                <a:srgbClr val="B8860B"/>
              </a:solidFill>
            </c:spPr>
          </c:dPt>
          <c:dPt>
            <c:idx val="4"/>
            <c:bubble3D val="0"/>
            <c:spPr>
              <a:solidFill>
                <a:srgbClr val="5D6D7E"/>
              </a:solidFill>
            </c:spPr>
          </c:dPt>
          <c:cat>
            <c:strRef>
              <c:strCache>
                <c:ptCount val="5"/>
                <c:pt idx="0">
                  <c:v>Family</c:v>
                </c:pt>
                <c:pt idx="1">
                  <c:v>Education</c:v>
                </c:pt>
                <c:pt idx="2">
                  <c:v>Peer Group</c:v>
                </c:pt>
                <c:pt idx="3">
                  <c:v>Media &amp; Pop Culture</c:v>
                </c:pt>
                <c:pt idx="4">
                  <c:v>Religion &amp; Culture</c:v>
                </c:pt>
              </c:strCache>
            </c:strRef>
          </c:cat>
          <c:val>
            <c:numRef>
              <c:numCache>
                <c:formatCode>General</c:formatCode>
                <c:ptCount val="5"/>
                <c:pt idx="0">
                  <c:v>30</c:v>
                </c:pt>
                <c:pt idx="1">
                  <c:v>25</c:v>
                </c:pt>
                <c:pt idx="2">
                  <c:v>20</c:v>
                </c:pt>
                <c:pt idx="3">
                  <c:v>15</c:v>
                </c:pt>
                <c:pt idx="4">
                  <c:v>10</c:v>
                </c:pt>
              </c:numCache>
            </c:numRef>
          </c:val>
        </c:ser>
      </c:pieChart>
    </c:plotArea>
    <c:legend>
      <c:legendPos val="r"/>
      <c:overlay val="0"/>
    </c:legend>
    <c:plotVisOnly val="1"/>
  </c:chart>
</c:chartSpace>
</file>

<file path=word/charts/chart2.xml><?xml version="1.0" encoding="utf-8"?>
<c:chartSpace xmlns:c="http://schemas.openxmlformats.org/drawingml/2006/chart" xmlns:a="http://schemas.openxmlformats.org/drawingml/2006/main">
  <c:chart>
    <c:plotArea>
      <c:barChart>
        <c:barDir val="col"/>
        <c:grouping val="clustered"/>
        <c:varyColors val="0"/>
        <c:ser>
          <c:idx val="0"/>
          <c:order val="0"/>
          <c:tx>
            <c:v>Well-being Score</c:v>
          </c:tx>
          <c:spPr>
            <a:solidFill>
              <a:srgbClr val="1E3A5F"/>
            </a:solidFill>
          </c:spPr>
          <c:cat>
            <c:strRef>
              <c:strCache>
                <c:ptCount val="5"/>
                <c:pt idx="0">
                  <c:v>Bhutan</c:v>
                </c:pt>
                <c:pt idx="1">
                  <c:v>Costa Rica</c:v>
                </c:pt>
                <c:pt idx="2">
                  <c:v>Finland</c:v>
                </c:pt>
                <c:pt idx="3">
                  <c:v>India</c:v>
                </c:pt>
                <c:pt idx="4">
                  <c:v>USA</c:v>
                </c:pt>
              </c:strCache>
            </c:strRef>
          </c:cat>
          <c:val>
            <c:numRef>
              <c:numCache>
                <c:formatCode>General</c:formatCode>
                <c:ptCount val="5"/>
                <c:pt idx="0">
                  <c:v>78</c:v>
                </c:pt>
                <c:pt idx="1">
                  <c:v>72</c:v>
                </c:pt>
                <c:pt idx="2">
                  <c:v>80</c:v>
                </c:pt>
                <c:pt idx="3">
                  <c:v>55</c:v>
                </c:pt>
                <c:pt idx="4">
                  <c:v>68</c:v>
                </c:pt>
              </c:numCache>
            </c:numRef>
          </c:val>
        </c:ser>
        <c:ser>
          <c:idx val="1"/>
          <c:order val="1"/>
          <c:tx>
            <c:v>Environmental Score</c:v>
          </c:tx>
          <c:spPr>
            <a:solidFill>
              <a:srgbClr val="4A7C59"/>
            </a:solidFill>
          </c:spPr>
          <c:cat>
            <c:strRef>
              <c:strCache>
                <c:ptCount val="5"/>
                <c:pt idx="0">
                  <c:v>Bhutan</c:v>
                </c:pt>
                <c:pt idx="1">
                  <c:v>Costa Rica</c:v>
                </c:pt>
                <c:pt idx="2">
                  <c:v>Finland</c:v>
                </c:pt>
                <c:pt idx="3">
                  <c:v>India</c:v>
                </c:pt>
                <c:pt idx="4">
                  <c:v>USA</c:v>
                </c:pt>
              </c:strCache>
            </c:strRef>
          </c:cat>
          <c:val>
            <c:numRef>
              <c:numCache>
                <c:formatCode>General</c:formatCode>
                <c:ptCount val="5"/>
                <c:pt idx="0">
                  <c:v>82</c:v>
                </c:pt>
                <c:pt idx="1">
                  <c:v>75</c:v>
                </c:pt>
                <c:pt idx="2">
                  <c:v>70</c:v>
                </c:pt>
                <c:pt idx="3">
                  <c:v>45</c:v>
                </c:pt>
                <c:pt idx="4">
                  <c:v>58</c:v>
                </c:pt>
              </c:numCache>
            </c:numRef>
          </c:val>
        </c:ser>
        <c:axId val="1"/>
        <c:axId val="2"/>
      </c:barChart>
      <c:catAx>
        <c:axId val="1"/>
        <c:scaling>
          <c:orientation val="minMax"/>
        </c:scaling>
        <c:delete val="0"/>
        <c:axPos val="b"/>
        <c:tickLblPos val="nextTo"/>
        <c:crossAx val="2"/>
        <c:crosses val="autoZero"/>
        <c:auto val="1"/>
      </c:catAx>
      <c:valAx>
        <c:axId val="2"/>
        <c:scaling>
          <c:orientation val="minMax"/>
        </c:scaling>
        <c:delete val="0"/>
        <c:axPos val="l"/>
        <c:majorGridlines/>
        <c:numFmt formatCode="General" sourceLinked="1"/>
        <c:tickLblPos val="nextTo"/>
        <c:crossAx val="1"/>
        <c:crosses val="autoZero"/>
      </c:valAx>
    </c:plotArea>
    <c:legend>
      <c:legendPos val="b"/>
      <c:overlay val="0"/>
    </c:legend>
    <c:plotVisOnly val="1"/>
  </c:chart>
</c:chartSpace>
</file>

<file path=word/charts/chart3.xml><?xml version="1.0" encoding="utf-8"?>
<c:chartSpace xmlns:c="http://schemas.openxmlformats.org/drawingml/2006/chart" xmlns:a="http://schemas.openxmlformats.org/drawingml/2006/main">
  <c:chart>
    <c:plotArea>
      <c:lineChart>
        <c:grouping val="standard"/>
        <c:varyColors val="0"/>
        <c:ser>
          <c:idx val="0"/>
          <c:order val="0"/>
          <c:tx>
            <c:v>Happiness Score</c:v>
          </c:tx>
          <c:spPr>
            <a:ln w="28575">
              <a:solidFill>
                <a:srgbClr val="722F37"/>
              </a:solidFill>
            </a:ln>
          </c:spPr>
          <c:cat>
            <c:strRef>
              <c:strCache>
                <c:ptCount val="8"/>
                <c:pt idx="0">
                  <c:v>0L</c:v>
                </c:pt>
                <c:pt idx="1">
                  <c:v>5L</c:v>
                </c:pt>
                <c:pt idx="2">
                  <c:v>10L</c:v>
                </c:pt>
                <c:pt idx="3">
                  <c:v>15L</c:v>
                </c:pt>
                <c:pt idx="4">
                  <c:v>20L</c:v>
                </c:pt>
                <c:pt idx="5">
                  <c:v>30L</c:v>
                </c:pt>
                <c:pt idx="6">
                  <c:v>50L</c:v>
                </c:pt>
                <c:pt idx="7">
                  <c:v>1Cr+</c:v>
                </c:pt>
              </c:strCache>
            </c:strRef>
          </c:cat>
          <c:val>
            <c:numRef>
              <c:numCache>
                <c:formatCode>General</c:formatCode>
                <c:ptCount val="8"/>
                <c:pt idx="0">
                  <c:v>4</c:v>
                </c:pt>
                <c:pt idx="1">
                  <c:v>5.5</c:v>
                </c:pt>
                <c:pt idx="2">
                  <c:v>6.5</c:v>
                </c:pt>
                <c:pt idx="3">
                  <c:v>7.5</c:v>
                </c:pt>
                <c:pt idx="4">
                  <c:v>8</c:v>
                </c:pt>
                <c:pt idx="5">
                  <c:v>8</c:v>
                </c:pt>
                <c:pt idx="6">
                  <c:v>7.8</c:v>
                </c:pt>
                <c:pt idx="7">
                  <c:v>7.5</c:v>
                </c:pt>
              </c:numCache>
            </c:numRef>
          </c:val>
        </c:ser>
        <c:axId val="1"/>
        <c:axId val="2"/>
      </c:lineChart>
      <c:catAx>
        <c:axId val="1"/>
        <c:scaling>
          <c:orientation val="minMax"/>
        </c:scaling>
        <c:delete val="0"/>
        <c:axPos val="b"/>
        <c:tickLblPos val="nextTo"/>
        <c:crossAx val="2"/>
        <c:crosses val="autoZero"/>
        <c:auto val="1"/>
      </c:catAx>
      <c:valAx>
        <c:axId val="2"/>
        <c:scaling>
          <c:orientation val="minMax"/>
        </c:scaling>
        <c:delete val="0"/>
        <c:axPos val="l"/>
        <c:majorGridlines/>
        <c:numFmt formatCode="General" sourceLinked="1"/>
        <c:tickLblPos val="nextTo"/>
        <c:crossAx val="1"/>
        <c:crosses val="autoZero"/>
      </c:valAx>
    </c:plotArea>
    <c:legend>
      <c:legendPos val="b"/>
      <c:overlay val="0"/>
    </c:legend>
    <c:plotVisOnly val="1"/>
  </c:chart>
</c:chartSpace>
</file>

<file path=word/charts/chart4.xml><?xml version="1.0" encoding="utf-8"?>
<c:chartSpace xmlns:c="http://schemas.openxmlformats.org/drawingml/2006/chart" xmlns:a="http://schemas.openxmlformats.org/drawingml/2006/main">
  <c:chart>
    <c:plotArea>
      <c:barChart>
        <c:barDir val="col"/>
        <c:grouping val="clustered"/>
        <c:varyColors val="0"/>
        <c:ser>
          <c:idx val="0"/>
          <c:order val="0"/>
          <c:tx>
            <c:v>Happiness Score</c:v>
          </c:tx>
          <c:spPr>
            <a:solidFill>
              <a:srgbClr val="1E3A5F"/>
            </a:solidFill>
          </c:spPr>
          <c:cat>
            <c:strRef>
              <c:strCache>
                <c:ptCount val="4"/>
                <c:pt idx="0">
                  <c:v>Low</c:v>
                </c:pt>
                <c:pt idx="1">
                  <c:v>Moderate</c:v>
                </c:pt>
                <c:pt idx="2">
                  <c:v>High</c:v>
                </c:pt>
                <c:pt idx="3">
                  <c:v>Extreme</c:v>
                </c:pt>
              </c:strCache>
            </c:strRef>
          </c:cat>
          <c:val>
            <c:numRef>
              <c:numCache>
                <c:formatCode>General</c:formatCode>
                <c:ptCount val="4"/>
                <c:pt idx="0">
                  <c:v>8</c:v>
                </c:pt>
                <c:pt idx="1">
                  <c:v>6.5</c:v>
                </c:pt>
                <c:pt idx="2">
                  <c:v>4.5</c:v>
                </c:pt>
                <c:pt idx="3">
                  <c:v>3</c:v>
                </c:pt>
              </c:numCache>
            </c:numRef>
          </c:val>
        </c:ser>
        <c:axId val="1"/>
        <c:axId val="2"/>
      </c:barChart>
      <c:catAx>
        <c:axId val="1"/>
        <c:scaling>
          <c:orientation val="minMax"/>
        </c:scaling>
        <c:delete val="0"/>
        <c:axPos val="b"/>
        <c:tickLblPos val="nextTo"/>
        <c:crossAx val="2"/>
        <c:crosses val="autoZero"/>
        <c:auto val="1"/>
      </c:catAx>
      <c:valAx>
        <c:axId val="2"/>
        <c:scaling>
          <c:orientation val="minMax"/>
        </c:scaling>
        <c:delete val="0"/>
        <c:axPos val="l"/>
        <c:majorGridlines/>
        <c:numFmt formatCode="General" sourceLinked="1"/>
        <c:tickLblPos val="nextTo"/>
        <c:crossAx val="1"/>
        <c:crosses val="autoZero"/>
      </c:valAx>
    </c:plotArea>
    <c:legend>
      <c:legendPos val="b"/>
      <c:overlay val="0"/>
    </c:legend>
    <c:plotVisOnly val="1"/>
  </c:chart>
</c:chartSpace>
</file>