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300"/>
              <w:left w:type="dxa" w:w="400"/>
              <w:bottom w:type="dxa" w:w="300"/>
              <w:right w:type="dxa" w:w="400"/>
            </w:tcMar>
          </w:tcPr>
          <w:p>
            <w:pPr>
              <w:spacing w:after="60" w:before="0"/>
              <w:jc w:val="center"/>
            </w:pPr>
            <w:r>
              <w:rPr>
                <w:rFonts w:ascii="Arial" w:cs="Arial" w:eastAsia="Arial" w:hAnsi="Arial"/>
                <w:b/>
                <w:bCs/>
                <w:i w:val="false"/>
                <w:iCs w:val="false"/>
                <w:color w:val="FFFFFF"/>
                <w:sz w:val="96"/>
                <w:szCs w:val="96"/>
              </w:rPr>
              <w:t xml:space="preserve">FINWISE AI</w:t>
            </w:r>
          </w:p>
          <w:p>
            <w:pPr>
              <w:spacing w:after="80" w:before="0"/>
              <w:jc w:val="center"/>
            </w:pPr>
            <w:r>
              <w:rPr>
                <w:rFonts w:ascii="Arial" w:cs="Arial" w:eastAsia="Arial" w:hAnsi="Arial"/>
                <w:b w:val="false"/>
                <w:bCs w:val="false"/>
                <w:i w:val="false"/>
                <w:iCs w:val="false"/>
                <w:color w:val="9BB8D4"/>
                <w:sz w:val="26"/>
                <w:szCs w:val="26"/>
              </w:rPr>
              <w:t xml:space="preserve">India's First Privacy-First, Local AI Finance Platform</w:t>
            </w:r>
          </w:p>
          <w:p>
            <w:pPr>
              <w:pBdr>
                <w:bottom w:val="single" w:color="9BB8D4" w:sz="3" w:space="1"/>
              </w:pBdr>
              <w:spacing w:after="80" w:before="80"/>
            </w:pPr>
            <w:r>
              <w:t xml:space="preserve"/>
            </w:r>
          </w:p>
          <w:p>
            <w:pPr>
              <w:spacing w:after="0" w:before="80"/>
              <w:jc w:val="center"/>
            </w:pPr>
            <w:r>
              <w:rPr>
                <w:rFonts w:ascii="Arial" w:cs="Arial" w:eastAsia="Arial" w:hAnsi="Arial"/>
                <w:b w:val="false"/>
                <w:bCs w:val="false"/>
                <w:i w:val="false"/>
                <w:iCs w:val="false"/>
                <w:color w:val="CCDDEE"/>
                <w:sz w:val="22"/>
                <w:szCs w:val="22"/>
              </w:rPr>
              <w:t xml:space="preserve">Credit Cards  •  Loans  •  Financial Literacy  •  AI-Powered Guidance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0B2545" w:val="clear"/>
            <w:tcMar>
              <w:top w:type="dxa" w:w="160"/>
              <w:left w:type="dxa" w:w="120"/>
              <w:bottom w:type="dxa" w:w="160"/>
              <w:right w:type="dxa" w:w="120"/>
            </w:tcMar>
          </w:tcPr>
          <w:p>
            <w:pPr>
              <w:spacing w:after="20" w:before="0"/>
              <w:jc w:val="center"/>
            </w:pPr>
            <w:r>
              <w:rPr>
                <w:rFonts w:ascii="Arial" w:cs="Arial" w:eastAsia="Arial" w:hAnsi="Arial"/>
                <w:b/>
                <w:bCs/>
                <w:i w:val="false"/>
                <w:iCs w:val="false"/>
                <w:color w:val="FFFFFF"/>
                <w:sz w:val="44"/>
                <w:szCs w:val="44"/>
              </w:rPr>
              <w:t xml:space="preserve">900M+</w:t>
            </w:r>
          </w:p>
          <w:p>
            <w:pPr>
              <w:spacing w:after="16" w:before="0"/>
              <w:jc w:val="center"/>
            </w:pPr>
            <w:r>
              <w:rPr>
                <w:rFonts w:ascii="Arial" w:cs="Arial" w:eastAsia="Arial" w:hAnsi="Arial"/>
                <w:b/>
                <w:bCs/>
                <w:i w:val="false"/>
                <w:iCs w:val="false"/>
                <w:color w:val="DDDDDD"/>
                <w:sz w:val="18"/>
                <w:szCs w:val="18"/>
              </w:rPr>
              <w:t xml:space="preserve">Underserved Users</w:t>
            </w:r>
          </w:p>
          <w:p>
            <w:pPr>
              <w:spacing w:after="0" w:before="0"/>
              <w:jc w:val="center"/>
            </w:pPr>
            <w:r>
              <w:rPr>
                <w:rFonts w:ascii="Arial" w:cs="Arial" w:eastAsia="Arial" w:hAnsi="Arial"/>
                <w:b w:val="false"/>
                <w:bCs w:val="false"/>
                <w:i w:val="false"/>
                <w:iCs w:val="false"/>
                <w:color w:val="BBCCCC"/>
                <w:sz w:val="16"/>
                <w:szCs w:val="16"/>
              </w:rPr>
              <w:t xml:space="preserve">Target Market</w:t>
            </w:r>
          </w:p>
        </w:tc>
        <w:tc>
          <w:tcPr>
            <w:tcW w:type="dxa" w:w="1872"/>
            <w:tcBorders>
              <w:top w:val="none" w:color="FFFFFF" w:sz="0"/>
              <w:left w:val="none" w:color="FFFFFF" w:sz="0"/>
              <w:bottom w:val="none" w:color="FFFFFF" w:sz="0"/>
              <w:right w:val="none" w:color="FFFFFF" w:sz="0"/>
            </w:tcBorders>
            <w:shd w:fill="0E7C86" w:val="clear"/>
            <w:tcMar>
              <w:top w:type="dxa" w:w="160"/>
              <w:left w:type="dxa" w:w="120"/>
              <w:bottom w:type="dxa" w:w="160"/>
              <w:right w:type="dxa" w:w="120"/>
            </w:tcMar>
          </w:tcPr>
          <w:p>
            <w:pPr>
              <w:spacing w:after="20" w:before="0"/>
              <w:jc w:val="center"/>
            </w:pPr>
            <w:r>
              <w:rPr>
                <w:rFonts w:ascii="Arial" w:cs="Arial" w:eastAsia="Arial" w:hAnsi="Arial"/>
                <w:b/>
                <w:bCs/>
                <w:i w:val="false"/>
                <w:iCs w:val="false"/>
                <w:color w:val="FFFFFF"/>
                <w:sz w:val="44"/>
                <w:szCs w:val="44"/>
              </w:rPr>
              <w:t xml:space="preserve">₹38 Cr</w:t>
            </w:r>
          </w:p>
          <w:p>
            <w:pPr>
              <w:spacing w:after="16" w:before="0"/>
              <w:jc w:val="center"/>
            </w:pPr>
            <w:r>
              <w:rPr>
                <w:rFonts w:ascii="Arial" w:cs="Arial" w:eastAsia="Arial" w:hAnsi="Arial"/>
                <w:b/>
                <w:bCs/>
                <w:i w:val="false"/>
                <w:iCs w:val="false"/>
                <w:color w:val="DDDDDD"/>
                <w:sz w:val="18"/>
                <w:szCs w:val="18"/>
              </w:rPr>
              <w:t xml:space="preserve">Year 3 Revenue</w:t>
            </w:r>
          </w:p>
          <w:p>
            <w:pPr>
              <w:spacing w:after="0" w:before="0"/>
              <w:jc w:val="center"/>
            </w:pPr>
            <w:r>
              <w:rPr>
                <w:rFonts w:ascii="Arial" w:cs="Arial" w:eastAsia="Arial" w:hAnsi="Arial"/>
                <w:b w:val="false"/>
                <w:bCs w:val="false"/>
                <w:i w:val="false"/>
                <w:iCs w:val="false"/>
                <w:color w:val="BBCCCC"/>
                <w:sz w:val="16"/>
                <w:szCs w:val="16"/>
              </w:rPr>
              <w:t xml:space="preserve">Conservative Estimate</w:t>
            </w:r>
          </w:p>
        </w:tc>
        <w:tc>
          <w:tcPr>
            <w:tcW w:type="dxa" w:w="1872"/>
            <w:tcBorders>
              <w:top w:val="none" w:color="FFFFFF" w:sz="0"/>
              <w:left w:val="none" w:color="FFFFFF" w:sz="0"/>
              <w:bottom w:val="none" w:color="FFFFFF" w:sz="0"/>
              <w:right w:val="none" w:color="FFFFFF" w:sz="0"/>
            </w:tcBorders>
            <w:shd w:fill="1A6B3C" w:val="clear"/>
            <w:tcMar>
              <w:top w:type="dxa" w:w="160"/>
              <w:left w:type="dxa" w:w="120"/>
              <w:bottom w:type="dxa" w:w="160"/>
              <w:right w:type="dxa" w:w="120"/>
            </w:tcMar>
          </w:tcPr>
          <w:p>
            <w:pPr>
              <w:spacing w:after="20" w:before="0"/>
              <w:jc w:val="center"/>
            </w:pPr>
            <w:r>
              <w:rPr>
                <w:rFonts w:ascii="Arial" w:cs="Arial" w:eastAsia="Arial" w:hAnsi="Arial"/>
                <w:b/>
                <w:bCs/>
                <w:i w:val="false"/>
                <w:iCs w:val="false"/>
                <w:color w:val="FFFFFF"/>
                <w:sz w:val="44"/>
                <w:szCs w:val="44"/>
              </w:rPr>
              <w:t xml:space="preserve">74%</w:t>
            </w:r>
          </w:p>
          <w:p>
            <w:pPr>
              <w:spacing w:after="16" w:before="0"/>
              <w:jc w:val="center"/>
            </w:pPr>
            <w:r>
              <w:rPr>
                <w:rFonts w:ascii="Arial" w:cs="Arial" w:eastAsia="Arial" w:hAnsi="Arial"/>
                <w:b/>
                <w:bCs/>
                <w:i w:val="false"/>
                <w:iCs w:val="false"/>
                <w:color w:val="DDDDDD"/>
                <w:sz w:val="18"/>
                <w:szCs w:val="18"/>
              </w:rPr>
              <w:t xml:space="preserve">Gross Margin</w:t>
            </w:r>
          </w:p>
          <w:p>
            <w:pPr>
              <w:spacing w:after="0" w:before="0"/>
              <w:jc w:val="center"/>
            </w:pPr>
            <w:r>
              <w:rPr>
                <w:rFonts w:ascii="Arial" w:cs="Arial" w:eastAsia="Arial" w:hAnsi="Arial"/>
                <w:b w:val="false"/>
                <w:bCs w:val="false"/>
                <w:i w:val="false"/>
                <w:iCs w:val="false"/>
                <w:color w:val="BBCCCC"/>
                <w:sz w:val="16"/>
                <w:szCs w:val="16"/>
              </w:rPr>
              <w:t xml:space="preserve">At Scale</w:t>
            </w:r>
          </w:p>
        </w:tc>
        <w:tc>
          <w:tcPr>
            <w:tcW w:type="dxa" w:w="1872"/>
            <w:tcBorders>
              <w:top w:val="none" w:color="FFFFFF" w:sz="0"/>
              <w:left w:val="none" w:color="FFFFFF" w:sz="0"/>
              <w:bottom w:val="none" w:color="FFFFFF" w:sz="0"/>
              <w:right w:val="none" w:color="FFFFFF" w:sz="0"/>
            </w:tcBorders>
            <w:shd w:fill="B7860A" w:val="clear"/>
            <w:tcMar>
              <w:top w:type="dxa" w:w="160"/>
              <w:left w:type="dxa" w:w="120"/>
              <w:bottom w:type="dxa" w:w="160"/>
              <w:right w:type="dxa" w:w="120"/>
            </w:tcMar>
          </w:tcPr>
          <w:p>
            <w:pPr>
              <w:spacing w:after="20" w:before="0"/>
              <w:jc w:val="center"/>
            </w:pPr>
            <w:r>
              <w:rPr>
                <w:rFonts w:ascii="Arial" w:cs="Arial" w:eastAsia="Arial" w:hAnsi="Arial"/>
                <w:b/>
                <w:bCs/>
                <w:i w:val="false"/>
                <w:iCs w:val="false"/>
                <w:color w:val="FFFFFF"/>
                <w:sz w:val="44"/>
                <w:szCs w:val="44"/>
              </w:rPr>
              <w:t xml:space="preserve">₹150</w:t>
            </w:r>
          </w:p>
          <w:p>
            <w:pPr>
              <w:spacing w:after="16" w:before="0"/>
              <w:jc w:val="center"/>
            </w:pPr>
            <w:r>
              <w:rPr>
                <w:rFonts w:ascii="Arial" w:cs="Arial" w:eastAsia="Arial" w:hAnsi="Arial"/>
                <w:b/>
                <w:bCs/>
                <w:i w:val="false"/>
                <w:iCs w:val="false"/>
                <w:color w:val="DDDDDD"/>
                <w:sz w:val="18"/>
                <w:szCs w:val="18"/>
              </w:rPr>
              <w:t xml:space="preserve">CAC</w:t>
            </w:r>
          </w:p>
          <w:p>
            <w:pPr>
              <w:spacing w:after="0" w:before="0"/>
              <w:jc w:val="center"/>
            </w:pPr>
            <w:r>
              <w:rPr>
                <w:rFonts w:ascii="Arial" w:cs="Arial" w:eastAsia="Arial" w:hAnsi="Arial"/>
                <w:b w:val="false"/>
                <w:bCs w:val="false"/>
                <w:i w:val="false"/>
                <w:iCs w:val="false"/>
                <w:color w:val="BBCCCC"/>
                <w:sz w:val="16"/>
                <w:szCs w:val="16"/>
              </w:rPr>
              <w:t xml:space="preserve">vs ₹950 LTV</w:t>
            </w:r>
          </w:p>
        </w:tc>
        <w:tc>
          <w:tcPr>
            <w:tcW w:type="dxa" w:w="1872"/>
            <w:tcBorders>
              <w:top w:val="none" w:color="FFFFFF" w:sz="0"/>
              <w:left w:val="none" w:color="FFFFFF" w:sz="0"/>
              <w:bottom w:val="none" w:color="FFFFFF" w:sz="0"/>
              <w:right w:val="none" w:color="FFFFFF" w:sz="0"/>
            </w:tcBorders>
            <w:shd w:fill="4B2D8F" w:val="clear"/>
            <w:tcMar>
              <w:top w:type="dxa" w:w="160"/>
              <w:left w:type="dxa" w:w="120"/>
              <w:bottom w:type="dxa" w:w="160"/>
              <w:right w:type="dxa" w:w="120"/>
            </w:tcMar>
          </w:tcPr>
          <w:p>
            <w:pPr>
              <w:spacing w:after="20" w:before="0"/>
              <w:jc w:val="center"/>
            </w:pPr>
            <w:r>
              <w:rPr>
                <w:rFonts w:ascii="Arial" w:cs="Arial" w:eastAsia="Arial" w:hAnsi="Arial"/>
                <w:b/>
                <w:bCs/>
                <w:i w:val="false"/>
                <w:iCs w:val="false"/>
                <w:color w:val="FFFFFF"/>
                <w:sz w:val="44"/>
                <w:szCs w:val="44"/>
              </w:rPr>
              <w:t xml:space="preserve">Year 6</w:t>
            </w:r>
          </w:p>
          <w:p>
            <w:pPr>
              <w:spacing w:after="16" w:before="0"/>
              <w:jc w:val="center"/>
            </w:pPr>
            <w:r>
              <w:rPr>
                <w:rFonts w:ascii="Arial" w:cs="Arial" w:eastAsia="Arial" w:hAnsi="Arial"/>
                <w:b/>
                <w:bCs/>
                <w:i w:val="false"/>
                <w:iCs w:val="false"/>
                <w:color w:val="DDDDDD"/>
                <w:sz w:val="18"/>
                <w:szCs w:val="18"/>
              </w:rPr>
              <w:t xml:space="preserve">Loan Provider</w:t>
            </w:r>
          </w:p>
          <w:p>
            <w:pPr>
              <w:spacing w:after="0" w:before="0"/>
              <w:jc w:val="center"/>
            </w:pPr>
            <w:r>
              <w:rPr>
                <w:rFonts w:ascii="Arial" w:cs="Arial" w:eastAsia="Arial" w:hAnsi="Arial"/>
                <w:b w:val="false"/>
                <w:bCs w:val="false"/>
                <w:i w:val="false"/>
                <w:iCs w:val="false"/>
                <w:color w:val="BBCCCC"/>
                <w:sz w:val="16"/>
                <w:szCs w:val="16"/>
              </w:rPr>
              <w:t xml:space="preserve">Expansion Phase</w:t>
            </w:r>
          </w:p>
        </w:tc>
      </w:tr>
    </w:tbl>
    <w:p>
      <w:pPr>
        <w:spacing w:after="0" w:before="160"/>
      </w:pPr>
      <w:r>
        <w:t xml:space="preserve"/>
      </w:r>
    </w:p>
    <w:p>
      <w:pPr>
        <w:spacing w:after="80" w:before="80"/>
        <w:jc w:val="center"/>
      </w:pPr>
      <w:r>
        <w:rPr>
          <w:rFonts w:ascii="Arial" w:cs="Arial" w:eastAsia="Arial" w:hAnsi="Arial"/>
          <w:b w:val="false"/>
          <w:bCs w:val="false"/>
          <w:i/>
          <w:iCs/>
          <w:color w:val="6B6B6B"/>
          <w:sz w:val="19"/>
          <w:szCs w:val="19"/>
        </w:rPr>
        <w:t xml:space="preserve">INVESTOR PITCH DECK  —  Series Seed  |  May 2026</w:t>
      </w:r>
    </w:p>
    <w:p>
      <w:pPr>
        <w:spacing w:after="80" w:before="80"/>
        <w:jc w:val="center"/>
      </w:pPr>
      <w:r>
        <w:rPr>
          <w:rFonts w:ascii="Arial" w:cs="Arial" w:eastAsia="Arial" w:hAnsi="Arial"/>
          <w:b w:val="false"/>
          <w:bCs w:val="false"/>
          <w:i w:val="false"/>
          <w:iCs w:val="false"/>
          <w:color w:val="AAAAAA"/>
          <w:sz w:val="18"/>
          <w:szCs w:val="18"/>
        </w:rPr>
        <w:t xml:space="preserve">Prepared for: Seed Investors, Angel Networks, Fintech VCs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2545"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w:t>
            </w:r>
          </w:p>
        </w:tc>
        <w:tc>
          <w:tcPr>
            <w:tcW w:type="dxa" w:w="8560"/>
            <w:tcBorders>
              <w:top w:val="none" w:color="FFFFFF" w:sz="0"/>
              <w:left w:val="none" w:color="FFFFFF" w:sz="0"/>
              <w:bottom w:val="single" w:color="0B2545"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0B2545"/>
                <w:sz w:val="32"/>
                <w:szCs w:val="32"/>
              </w:rPr>
              <w:t xml:space="preserve">Document Index</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c>
          <w:tcPr>
            <w:tcW w:type="dxa" w:w="6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w:t>
            </w:r>
          </w:p>
        </w:tc>
        <w:tc>
          <w:tcPr>
            <w:tcW w:type="dxa" w:w="48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Section</w:t>
            </w:r>
          </w:p>
        </w:tc>
        <w:tc>
          <w:tcPr>
            <w:tcW w:type="dxa" w:w="39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Page Focus</w:t>
            </w:r>
          </w:p>
        </w:tc>
      </w:tr>
      <w:tr>
        <w:tc>
          <w:tcPr>
            <w:tcW w:type="dxa" w:w="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01</w:t>
            </w:r>
          </w:p>
        </w:tc>
        <w:tc>
          <w:tcPr>
            <w:tcW w:type="dxa" w:w="4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The Problem — Why India Needs FinWise</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Market gap, pain points</w:t>
            </w:r>
          </w:p>
        </w:tc>
      </w:tr>
      <w:tr>
        <w:tc>
          <w:tcPr>
            <w:tcW w:type="dxa" w:w="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02</w:t>
            </w:r>
          </w:p>
        </w:tc>
        <w:tc>
          <w:tcPr>
            <w:tcW w:type="dxa" w:w="4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The Solution — What FinWise AI Does</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Platform overview, local AI</w:t>
            </w:r>
          </w:p>
        </w:tc>
      </w:tr>
      <w:tr>
        <w:tc>
          <w:tcPr>
            <w:tcW w:type="dxa" w:w="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03</w:t>
            </w:r>
          </w:p>
        </w:tc>
        <w:tc>
          <w:tcPr>
            <w:tcW w:type="dxa" w:w="4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Product Deep Dive</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Features, UX, tech stack</w:t>
            </w:r>
          </w:p>
        </w:tc>
      </w:tr>
      <w:tr>
        <w:tc>
          <w:tcPr>
            <w:tcW w:type="dxa" w:w="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04</w:t>
            </w:r>
          </w:p>
        </w:tc>
        <w:tc>
          <w:tcPr>
            <w:tcW w:type="dxa" w:w="4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Market Opportunity</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TAM / SAM / SOM, India context</w:t>
            </w:r>
          </w:p>
        </w:tc>
      </w:tr>
      <w:tr>
        <w:tc>
          <w:tcPr>
            <w:tcW w:type="dxa" w:w="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05</w:t>
            </w:r>
          </w:p>
        </w:tc>
        <w:tc>
          <w:tcPr>
            <w:tcW w:type="dxa" w:w="4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Business Model &amp; Revenue Streams</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 streams, detailed projections</w:t>
            </w:r>
          </w:p>
        </w:tc>
      </w:tr>
      <w:tr>
        <w:tc>
          <w:tcPr>
            <w:tcW w:type="dxa" w:w="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06</w:t>
            </w:r>
          </w:p>
        </w:tc>
        <w:tc>
          <w:tcPr>
            <w:tcW w:type="dxa" w:w="4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Financial Projections (5-Year P&amp;L)</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Revenue, costs, EBITDA, unit economics</w:t>
            </w:r>
          </w:p>
        </w:tc>
      </w:tr>
      <w:tr>
        <w:tc>
          <w:tcPr>
            <w:tcW w:type="dxa" w:w="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07</w:t>
            </w:r>
          </w:p>
        </w:tc>
        <w:tc>
          <w:tcPr>
            <w:tcW w:type="dxa" w:w="4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Go-To-Market Strategy</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Launch phases, channels, partnerships</w:t>
            </w:r>
          </w:p>
        </w:tc>
      </w:tr>
      <w:tr>
        <w:tc>
          <w:tcPr>
            <w:tcW w:type="dxa" w:w="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08</w:t>
            </w:r>
          </w:p>
        </w:tc>
        <w:tc>
          <w:tcPr>
            <w:tcW w:type="dxa" w:w="4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Competitive Landscape</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Vs. SaveSage, BankBazaar, others</w:t>
            </w:r>
          </w:p>
        </w:tc>
      </w:tr>
      <w:tr>
        <w:tc>
          <w:tcPr>
            <w:tcW w:type="dxa" w:w="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09</w:t>
            </w:r>
          </w:p>
        </w:tc>
        <w:tc>
          <w:tcPr>
            <w:tcW w:type="dxa" w:w="4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Technology &amp; AI Architecture</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Local model, fine-tuning, stack</w:t>
            </w:r>
          </w:p>
        </w:tc>
      </w:tr>
      <w:tr>
        <w:tc>
          <w:tcPr>
            <w:tcW w:type="dxa" w:w="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w:t>
            </w:r>
          </w:p>
        </w:tc>
        <w:tc>
          <w:tcPr>
            <w:tcW w:type="dxa" w:w="4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Traction &amp; Milestones Roadmap</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Timeline, KPIs, team</w:t>
            </w:r>
          </w:p>
        </w:tc>
      </w:tr>
      <w:tr>
        <w:tc>
          <w:tcPr>
            <w:tcW w:type="dxa" w:w="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11</w:t>
            </w:r>
          </w:p>
        </w:tc>
        <w:tc>
          <w:tcPr>
            <w:tcW w:type="dxa" w:w="4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The Loan Provider Vision — Year 6+</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NBFC license, direct lending</w:t>
            </w:r>
          </w:p>
        </w:tc>
      </w:tr>
      <w:tr>
        <w:tc>
          <w:tcPr>
            <w:tcW w:type="dxa" w:w="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12</w:t>
            </w:r>
          </w:p>
        </w:tc>
        <w:tc>
          <w:tcPr>
            <w:tcW w:type="dxa" w:w="4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Risk Analysis &amp; Mitigation</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Regulatory, tech, market risks</w:t>
            </w:r>
          </w:p>
        </w:tc>
      </w:tr>
      <w:tr>
        <w:tc>
          <w:tcPr>
            <w:tcW w:type="dxa" w:w="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13</w:t>
            </w:r>
          </w:p>
        </w:tc>
        <w:tc>
          <w:tcPr>
            <w:tcW w:type="dxa" w:w="4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The Ask — Funding &amp; Use of Capital</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Seed ask, deployment plan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A93226"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01</w:t>
            </w:r>
          </w:p>
        </w:tc>
        <w:tc>
          <w:tcPr>
            <w:tcW w:type="dxa" w:w="8560"/>
            <w:tcBorders>
              <w:top w:val="none" w:color="FFFFFF" w:sz="0"/>
              <w:left w:val="none" w:color="FFFFFF" w:sz="0"/>
              <w:bottom w:val="single" w:color="A93226"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A93226"/>
                <w:sz w:val="32"/>
                <w:szCs w:val="32"/>
              </w:rPr>
              <w:t xml:space="preserve">The Problem — Why India Needs FinWise</w:t>
            </w:r>
          </w:p>
        </w:tc>
      </w:tr>
    </w:tbl>
    <w:p>
      <w:pPr>
        <w:spacing w:after="0" w:before="100"/>
      </w:pPr>
      <w:r>
        <w:t xml:space="preserve"/>
      </w:r>
    </w:p>
    <w:p>
      <w:pPr>
        <w:spacing w:after="80" w:before="80"/>
        <w:jc w:val="left"/>
      </w:pPr>
      <w:r>
        <w:rPr>
          <w:rFonts w:ascii="Arial" w:cs="Arial" w:eastAsia="Arial" w:hAnsi="Arial"/>
          <w:b w:val="false"/>
          <w:bCs w:val="false"/>
          <w:i w:val="false"/>
          <w:iCs w:val="false"/>
          <w:color w:val="3D3D3D"/>
          <w:sz w:val="21"/>
          <w:szCs w:val="21"/>
        </w:rPr>
        <w:t xml:space="preserve">India has the world's fastest-growing credit market — but most of its users are financially illiterate, exploited by misinformation, or simply ignored by existing tools. Three massive, unsolved pain points define the opportunity: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EF2F2" w:val="clear"/>
            <w:tcMar>
              <w:top w:type="dxa" w:w="200"/>
              <w:left w:type="dxa" w:w="200"/>
              <w:bottom w:type="dxa" w:w="200"/>
              <w:right w:type="dxa" w:w="200"/>
            </w:tcMar>
          </w:tcPr>
          <w:p>
            <w:pPr>
              <w:spacing w:after="60" w:before="0"/>
              <w:jc w:val="center"/>
            </w:pPr>
            <w:r>
              <w:rPr>
                <w:rFonts w:ascii="Arial" w:cs="Arial" w:eastAsia="Arial" w:hAnsi="Arial"/>
                <w:b/>
                <w:bCs/>
                <w:i w:val="false"/>
                <w:iCs w:val="false"/>
                <w:color w:val="A93226"/>
                <w:sz w:val="19"/>
                <w:szCs w:val="19"/>
              </w:rPr>
              <w:t xml:space="preserve">PROBLEM 1</w:t>
            </w:r>
          </w:p>
          <w:p>
            <w:pPr>
              <w:spacing w:after="80" w:before="0"/>
              <w:jc w:val="center"/>
            </w:pPr>
            <w:r>
              <w:rPr>
                <w:rFonts w:ascii="Arial" w:cs="Arial" w:eastAsia="Arial" w:hAnsi="Arial"/>
                <w:b/>
                <w:bCs/>
                <w:i w:val="false"/>
                <w:iCs w:val="false"/>
                <w:color w:val="0B2545"/>
                <w:sz w:val="24"/>
                <w:szCs w:val="24"/>
              </w:rPr>
              <w:t xml:space="preserve">Credit Card Chaos</w:t>
            </w:r>
          </w:p>
          <w:p>
            <w:pPr>
              <w:spacing w:after="0" w:before="0"/>
              <w:jc w:val="center"/>
            </w:pPr>
            <w:r>
              <w:rPr>
                <w:rFonts w:ascii="Arial" w:cs="Arial" w:eastAsia="Arial" w:hAnsi="Arial"/>
                <w:b w:val="false"/>
                <w:bCs w:val="false"/>
                <w:i w:val="false"/>
                <w:iCs w:val="false"/>
                <w:color w:val="3D3D3D"/>
                <w:sz w:val="19"/>
                <w:szCs w:val="19"/>
              </w:rPr>
              <w:t xml:space="preserve">200+ cards in India. Users have no way to compare them meaningfully. 70% never maximize rewards. Most rely on bank call center advice — which is biased.</w:t>
            </w:r>
          </w:p>
        </w:tc>
        <w:tc>
          <w:tcPr>
            <w:tcW w:type="dxa" w:w="3120"/>
            <w:tcBorders>
              <w:top w:val="none" w:color="FFFFFF" w:sz="0"/>
              <w:left w:val="none" w:color="FFFFFF" w:sz="0"/>
              <w:bottom w:val="none" w:color="FFFFFF" w:sz="0"/>
              <w:right w:val="none" w:color="FFFFFF" w:sz="0"/>
            </w:tcBorders>
            <w:shd w:fill="FFF8E1" w:val="clear"/>
            <w:tcMar>
              <w:top w:type="dxa" w:w="200"/>
              <w:left w:type="dxa" w:w="200"/>
              <w:bottom w:type="dxa" w:w="200"/>
              <w:right w:type="dxa" w:w="200"/>
            </w:tcMar>
          </w:tcPr>
          <w:p>
            <w:pPr>
              <w:spacing w:after="60" w:before="0"/>
              <w:jc w:val="center"/>
            </w:pPr>
            <w:r>
              <w:rPr>
                <w:rFonts w:ascii="Arial" w:cs="Arial" w:eastAsia="Arial" w:hAnsi="Arial"/>
                <w:b/>
                <w:bCs/>
                <w:i w:val="false"/>
                <w:iCs w:val="false"/>
                <w:color w:val="B7860A"/>
                <w:sz w:val="19"/>
                <w:szCs w:val="19"/>
              </w:rPr>
              <w:t xml:space="preserve">PROBLEM 2</w:t>
            </w:r>
          </w:p>
          <w:p>
            <w:pPr>
              <w:spacing w:after="80" w:before="0"/>
              <w:jc w:val="center"/>
            </w:pPr>
            <w:r>
              <w:rPr>
                <w:rFonts w:ascii="Arial" w:cs="Arial" w:eastAsia="Arial" w:hAnsi="Arial"/>
                <w:b/>
                <w:bCs/>
                <w:i w:val="false"/>
                <w:iCs w:val="false"/>
                <w:color w:val="0B2545"/>
                <w:sz w:val="24"/>
                <w:szCs w:val="24"/>
              </w:rPr>
              <w:t xml:space="preserve">Loan Misinformation</w:t>
            </w:r>
          </w:p>
          <w:p>
            <w:pPr>
              <w:spacing w:after="0" w:before="0"/>
              <w:jc w:val="center"/>
            </w:pPr>
            <w:r>
              <w:rPr>
                <w:rFonts w:ascii="Arial" w:cs="Arial" w:eastAsia="Arial" w:hAnsi="Arial"/>
                <w:b w:val="false"/>
                <w:bCs w:val="false"/>
                <w:i w:val="false"/>
                <w:iCs w:val="false"/>
                <w:color w:val="3D3D3D"/>
                <w:sz w:val="19"/>
                <w:szCs w:val="19"/>
              </w:rPr>
              <w:t xml:space="preserve">Millions overpay on interest because they don't know NBFC options exist. Loan sharks target the uninformed. CIBIL score is a mystery to most borrowers.</w:t>
            </w:r>
          </w:p>
        </w:tc>
        <w:tc>
          <w:tcPr>
            <w:tcW w:type="dxa" w:w="3120"/>
            <w:tcBorders>
              <w:top w:val="none" w:color="FFFFFF" w:sz="0"/>
              <w:left w:val="none" w:color="FFFFFF" w:sz="0"/>
              <w:bottom w:val="none" w:color="FFFFFF" w:sz="0"/>
              <w:right w:val="none" w:color="FFFFFF" w:sz="0"/>
            </w:tcBorders>
            <w:shd w:fill="F0F4FF" w:val="clear"/>
            <w:tcMar>
              <w:top w:type="dxa" w:w="200"/>
              <w:left w:type="dxa" w:w="200"/>
              <w:bottom w:type="dxa" w:w="200"/>
              <w:right w:type="dxa" w:w="200"/>
            </w:tcMar>
          </w:tcPr>
          <w:p>
            <w:pPr>
              <w:spacing w:after="60" w:before="0"/>
              <w:jc w:val="center"/>
            </w:pPr>
            <w:r>
              <w:rPr>
                <w:rFonts w:ascii="Arial" w:cs="Arial" w:eastAsia="Arial" w:hAnsi="Arial"/>
                <w:b/>
                <w:bCs/>
                <w:i w:val="false"/>
                <w:iCs w:val="false"/>
                <w:color w:val="1A5276"/>
                <w:sz w:val="19"/>
                <w:szCs w:val="19"/>
              </w:rPr>
              <w:t xml:space="preserve">PROBLEM 3</w:t>
            </w:r>
          </w:p>
          <w:p>
            <w:pPr>
              <w:spacing w:after="80" w:before="0"/>
              <w:jc w:val="center"/>
            </w:pPr>
            <w:r>
              <w:rPr>
                <w:rFonts w:ascii="Arial" w:cs="Arial" w:eastAsia="Arial" w:hAnsi="Arial"/>
                <w:b/>
                <w:bCs/>
                <w:i w:val="false"/>
                <w:iCs w:val="false"/>
                <w:color w:val="0B2545"/>
                <w:sz w:val="24"/>
                <w:szCs w:val="24"/>
              </w:rPr>
              <w:t xml:space="preserve">Zero Guidance Layer</w:t>
            </w:r>
          </w:p>
          <w:p>
            <w:pPr>
              <w:spacing w:after="0" w:before="0"/>
              <w:jc w:val="center"/>
            </w:pPr>
            <w:r>
              <w:rPr>
                <w:rFonts w:ascii="Arial" w:cs="Arial" w:eastAsia="Arial" w:hAnsi="Arial"/>
                <w:b w:val="false"/>
                <w:bCs w:val="false"/>
                <w:i w:val="false"/>
                <w:iCs w:val="false"/>
                <w:color w:val="3D3D3D"/>
                <w:sz w:val="19"/>
                <w:szCs w:val="19"/>
              </w:rPr>
              <w:t xml:space="preserve">Existing comparison sites (BankBazaar, Paisabazaar) are static lead generators — not advisors. No platform answers 'What should I do?' in plain Hindi.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EEEE" w:sz="1"/>
              <w:left w:val="single" w:color="A93226" w:sz="20"/>
              <w:bottom w:val="single" w:color="EEEEEE" w:sz="1"/>
              <w:right w:val="single" w:color="EEEEEE" w:sz="1"/>
            </w:tcBorders>
            <w:shd w:fill="FEF9F9" w:val="clear"/>
            <w:tcMar>
              <w:top w:type="dxa" w:w="160"/>
              <w:left w:type="dxa" w:w="260"/>
              <w:bottom w:type="dxa" w:w="160"/>
              <w:right w:type="dxa" w:w="260"/>
            </w:tcMar>
          </w:tcPr>
          <w:p>
            <w:pPr>
              <w:spacing w:after="60" w:before="0"/>
              <w:jc w:val="left"/>
            </w:pPr>
            <w:r>
              <w:rPr>
                <w:rFonts w:ascii="Arial" w:cs="Arial" w:eastAsia="Arial" w:hAnsi="Arial"/>
                <w:b/>
                <w:bCs/>
                <w:i w:val="false"/>
                <w:iCs w:val="false"/>
                <w:color w:val="A93226"/>
                <w:sz w:val="22"/>
                <w:szCs w:val="22"/>
              </w:rPr>
              <w:t xml:space="preserve">The Data Behind the Problem</w:t>
            </w:r>
          </w:p>
          <w:p>
            <w:pPr>
              <w:spacing w:after="0" w:before="0"/>
              <w:jc w:val="left"/>
            </w:pPr>
            <w:r>
              <w:rPr>
                <w:rFonts w:ascii="Arial" w:cs="Arial" w:eastAsia="Arial" w:hAnsi="Arial"/>
                <w:b w:val="false"/>
                <w:bCs w:val="false"/>
                <w:i w:val="false"/>
                <w:iCs w:val="false"/>
                <w:color w:val="3D3D3D"/>
                <w:sz w:val="20"/>
                <w:szCs w:val="20"/>
              </w:rPr>
              <w:t xml:space="preserve">SaveSage's own pan-India survey found that 70% of credit card users fail to maximize rewards. India has 80M+ active card holders yet financial literacy rates for credit products remain below 22% in Tier 2/3 cities. 600M+ loan accounts exist — with the majority sourced through DSAs who charge 1-3% extra in hidden fees. There is no trusted, always-on, personalized financial advisor for the common Indian.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E7C86"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02</w:t>
            </w:r>
          </w:p>
        </w:tc>
        <w:tc>
          <w:tcPr>
            <w:tcW w:type="dxa" w:w="8560"/>
            <w:tcBorders>
              <w:top w:val="none" w:color="FFFFFF" w:sz="0"/>
              <w:left w:val="none" w:color="FFFFFF" w:sz="0"/>
              <w:bottom w:val="single" w:color="0E7C86"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0E7C86"/>
                <w:sz w:val="32"/>
                <w:szCs w:val="32"/>
              </w:rPr>
              <w:t xml:space="preserve">The Solution — What FinWise AI Does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EEEE" w:sz="1"/>
              <w:left w:val="single" w:color="0E7C86" w:sz="20"/>
              <w:bottom w:val="single" w:color="EEEEEE" w:sz="1"/>
              <w:right w:val="single" w:color="EEEEEE" w:sz="1"/>
            </w:tcBorders>
            <w:shd w:fill="E8F8F5" w:val="clear"/>
            <w:tcMar>
              <w:top w:type="dxa" w:w="160"/>
              <w:left w:type="dxa" w:w="260"/>
              <w:bottom w:type="dxa" w:w="160"/>
              <w:right w:type="dxa" w:w="260"/>
            </w:tcMar>
          </w:tcPr>
          <w:p>
            <w:pPr>
              <w:spacing w:after="60" w:before="0"/>
              <w:jc w:val="left"/>
            </w:pPr>
            <w:r>
              <w:rPr>
                <w:rFonts w:ascii="Arial" w:cs="Arial" w:eastAsia="Arial" w:hAnsi="Arial"/>
                <w:b/>
                <w:bCs/>
                <w:i w:val="false"/>
                <w:iCs w:val="false"/>
                <w:color w:val="0E7C86"/>
                <w:sz w:val="22"/>
                <w:szCs w:val="22"/>
              </w:rPr>
              <w:t xml:space="preserve">One-Line Pitch</w:t>
            </w:r>
          </w:p>
          <w:p>
            <w:pPr>
              <w:spacing w:after="0" w:before="0"/>
              <w:jc w:val="left"/>
            </w:pPr>
            <w:r>
              <w:rPr>
                <w:rFonts w:ascii="Arial" w:cs="Arial" w:eastAsia="Arial" w:hAnsi="Arial"/>
                <w:b w:val="false"/>
                <w:bCs w:val="false"/>
                <w:i w:val="false"/>
                <w:iCs w:val="false"/>
                <w:color w:val="3D3D3D"/>
                <w:sz w:val="20"/>
                <w:szCs w:val="20"/>
              </w:rPr>
              <w:t xml:space="preserve">FinWise AI is a locally-hosted, fine-tuned AI financial advisor that answers every credit card and loan question, recommends the right products, and builds financial literacy — entirely on-device, in Hindi and English, with zero cloud dependency.</w:t>
            </w:r>
          </w:p>
        </w:tc>
      </w:tr>
    </w:tbl>
    <w:p>
      <w:pPr>
        <w:spacing w:after="0" w:before="140"/>
      </w:pPr>
      <w:r>
        <w:t xml:space="preserve"/>
      </w:r>
    </w:p>
    <w:p>
      <w:pPr>
        <w:spacing w:after="80" w:before="80"/>
        <w:jc w:val="left"/>
      </w:pPr>
      <w:r>
        <w:rPr>
          <w:rFonts w:ascii="Arial" w:cs="Arial" w:eastAsia="Arial" w:hAnsi="Arial"/>
          <w:b w:val="false"/>
          <w:bCs w:val="false"/>
          <w:i w:val="false"/>
          <w:iCs w:val="false"/>
          <w:color w:val="3D3D3D"/>
          <w:sz w:val="21"/>
          <w:szCs w:val="21"/>
        </w:rPr>
        <w:t xml:space="preserve">FinWise is not a comparison site. It is a conversational financial co-pilot — the difference between a static menu and a knowledgeable friend who knows your financial situation and guides you in real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What It Is</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An AI-powered finance guidance platform: credit cards, loans, financial literacy, doubt solving</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What Makes It Unique</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Local LLM (runs on your server/device — no API, no cloud, no data leakage)</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Primary Interface</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Web app + Android app + WhatsApp bot — meets users where they are</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Languages</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Hindi + English from Day 1 (Tamil, Telugu in Year 2)</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Core AI Capability</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Fine-tuned Mistral 7B on scraped Indian credit card &amp; loan data — answers in &lt;200ms</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Data Privacy</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Zero PII leaves the device/local server. No cloud LLM calls. RBI-friendly architecture</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Target User</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Salaried Indians aged 22-45, first-time credit users, loan seekers in Tier 1/2/3 cities</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Business Model</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Freemium platform + bank referral commissions + sponsorships + B2B API</w:t>
            </w:r>
          </w:p>
        </w:tc>
      </w:tr>
    </w:tbl>
    <w:p>
      <w:pPr>
        <w:spacing w:after="0" w:before="140"/>
      </w:pPr>
      <w:r>
        <w:t xml:space="preserve"/>
      </w:r>
    </w:p>
    <w:p>
      <w:pPr>
        <w:spacing w:after="80" w:before="80"/>
        <w:jc w:val="left"/>
      </w:pPr>
      <w:r>
        <w:rPr>
          <w:rFonts w:ascii="Arial" w:cs="Arial" w:eastAsia="Arial" w:hAnsi="Arial"/>
          <w:b/>
          <w:bCs/>
          <w:i w:val="false"/>
          <w:iCs w:val="false"/>
          <w:color w:val="0B2545"/>
          <w:sz w:val="22"/>
          <w:szCs w:val="22"/>
        </w:rPr>
        <w:t xml:space="preserve">The Five Things FinWise Does That No One Else Does: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400"/>
        <w:gridCol w:w="4520"/>
      </w:tblGrid>
      <w:tr>
        <w:tc>
          <w:tcPr>
            <w:tcW w:type="dxa" w:w="144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w:t>
            </w:r>
          </w:p>
        </w:tc>
        <w:tc>
          <w:tcPr>
            <w:tcW w:type="dxa" w:w="34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Capability</w:t>
            </w:r>
          </w:p>
        </w:tc>
        <w:tc>
          <w:tcPr>
            <w:tcW w:type="dxa" w:w="452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Why It Matters</w:t>
            </w:r>
          </w:p>
        </w:tc>
      </w:tr>
      <w:tr>
        <w:tc>
          <w:tcPr>
            <w:tcW w:type="dxa" w:w="144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w:t>
            </w:r>
          </w:p>
        </w:tc>
        <w:tc>
          <w:tcPr>
            <w:tcW w:type="dxa" w:w="34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Conversational card/loan Q&amp;A in Hindi</w:t>
            </w:r>
          </w:p>
        </w:tc>
        <w:tc>
          <w:tcPr>
            <w:tcW w:type="dxa" w:w="45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Reaches 400M Hindi speakers ignored by English-first tools</w:t>
            </w:r>
          </w:p>
        </w:tc>
      </w:tr>
      <w:tr>
        <w:tc>
          <w:tcPr>
            <w:tcW w:type="dxa" w:w="144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w:t>
            </w:r>
          </w:p>
        </w:tc>
        <w:tc>
          <w:tcPr>
            <w:tcW w:type="dxa" w:w="34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Local AI — no cloud, no API cost</w:t>
            </w:r>
          </w:p>
        </w:tc>
        <w:tc>
          <w:tcPr>
            <w:tcW w:type="dxa" w:w="45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CAC stays low; scales to Tier 3 where ARPU is small</w:t>
            </w:r>
          </w:p>
        </w:tc>
      </w:tr>
      <w:tr>
        <w:tc>
          <w:tcPr>
            <w:tcW w:type="dxa" w:w="144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w:t>
            </w:r>
          </w:p>
        </w:tc>
        <w:tc>
          <w:tcPr>
            <w:tcW w:type="dxa" w:w="34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Loan matching + eligibility pre-check</w:t>
            </w:r>
          </w:p>
        </w:tc>
        <w:tc>
          <w:tcPr>
            <w:tcW w:type="dxa" w:w="45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Saves users from rejection hits on CIBIL score</w:t>
            </w:r>
          </w:p>
        </w:tc>
      </w:tr>
      <w:tr>
        <w:tc>
          <w:tcPr>
            <w:tcW w:type="dxa" w:w="144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w:t>
            </w:r>
          </w:p>
        </w:tc>
        <w:tc>
          <w:tcPr>
            <w:tcW w:type="dxa" w:w="34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Financial literacy modules (not just comparison)</w:t>
            </w:r>
          </w:p>
        </w:tc>
        <w:tc>
          <w:tcPr>
            <w:tcW w:type="dxa" w:w="45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Builds long-term trust and user stickiness</w:t>
            </w:r>
          </w:p>
        </w:tc>
      </w:tr>
      <w:tr>
        <w:tc>
          <w:tcPr>
            <w:tcW w:type="dxa" w:w="144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w:t>
            </w:r>
          </w:p>
        </w:tc>
        <w:tc>
          <w:tcPr>
            <w:tcW w:type="dxa" w:w="34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Full offline capability via quantized model</w:t>
            </w:r>
          </w:p>
        </w:tc>
        <w:tc>
          <w:tcPr>
            <w:tcW w:type="dxa" w:w="45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Works in low-connectivity Tier 2/3 areas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276"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03</w:t>
            </w:r>
          </w:p>
        </w:tc>
        <w:tc>
          <w:tcPr>
            <w:tcW w:type="dxa" w:w="8560"/>
            <w:tcBorders>
              <w:top w:val="none" w:color="FFFFFF" w:sz="0"/>
              <w:left w:val="none" w:color="FFFFFF" w:sz="0"/>
              <w:bottom w:val="single" w:color="1A5276"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1A5276"/>
                <w:sz w:val="32"/>
                <w:szCs w:val="32"/>
              </w:rPr>
              <w:t xml:space="preserve">Product Deep Dive</w:t>
            </w:r>
          </w:p>
        </w:tc>
      </w:tr>
    </w:tbl>
    <w:p>
      <w:pPr>
        <w:spacing w:after="0" w:before="100"/>
      </w:pPr>
      <w:r>
        <w:t xml:space="preserve"/>
      </w:r>
    </w:p>
    <w:p>
      <w:pPr>
        <w:spacing w:after="80" w:before="80"/>
        <w:jc w:val="left"/>
      </w:pPr>
      <w:r>
        <w:rPr>
          <w:rFonts w:ascii="Arial" w:cs="Arial" w:eastAsia="Arial" w:hAnsi="Arial"/>
          <w:b w:val="false"/>
          <w:bCs w:val="false"/>
          <w:i w:val="false"/>
          <w:iCs w:val="false"/>
          <w:color w:val="3D3D3D"/>
          <w:sz w:val="21"/>
          <w:szCs w:val="21"/>
        </w:rPr>
        <w:t xml:space="preserve">FinWise ships as a multi-channel product across web, Android, and WhatsApp. The core AI engine is shared across all channels.</w:t>
      </w:r>
    </w:p>
    <w:p>
      <w:pPr>
        <w:spacing w:after="0" w:before="120"/>
      </w:pPr>
      <w:r>
        <w:t xml:space="preserve"/>
      </w:r>
    </w:p>
    <w:p>
      <w:pPr>
        <w:spacing w:after="80" w:before="80"/>
        <w:jc w:val="left"/>
      </w:pPr>
      <w:r>
        <w:rPr>
          <w:rFonts w:ascii="Arial" w:cs="Arial" w:eastAsia="Arial" w:hAnsi="Arial"/>
          <w:b/>
          <w:bCs/>
          <w:i w:val="false"/>
          <w:iCs w:val="false"/>
          <w:color w:val="0B2545"/>
          <w:sz w:val="26"/>
          <w:szCs w:val="26"/>
        </w:rPr>
        <w:t xml:space="preserve">3.1  Core Feature 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1200"/>
        <w:gridCol w:w="1560"/>
      </w:tblGrid>
      <w:tr>
        <w:tc>
          <w:tcPr>
            <w:tcW w:type="dxa" w:w="26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Feature</w:t>
            </w:r>
          </w:p>
        </w:tc>
        <w:tc>
          <w:tcPr>
            <w:tcW w:type="dxa" w:w="40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Priority</w:t>
            </w:r>
          </w:p>
        </w:tc>
        <w:tc>
          <w:tcPr>
            <w:tcW w:type="dxa" w:w="15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Available</w:t>
            </w:r>
          </w:p>
        </w:tc>
      </w:tr>
      <w:tr>
        <w:tc>
          <w:tcPr>
            <w:tcW w:type="dxa" w:w="2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AI Finance Chat</w:t>
            </w:r>
          </w:p>
        </w:tc>
        <w:tc>
          <w:tcPr>
            <w:tcW w:type="dxa" w:w="4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Unlimited conversational Q&amp;A on cards, loans, fees, CIBIL, EMI — Hindi + English</w:t>
            </w:r>
          </w:p>
        </w:tc>
        <w:tc>
          <w:tcPr>
            <w:tcW w:type="dxa" w:w="1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P0</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Launch</w:t>
            </w:r>
          </w:p>
        </w:tc>
      </w:tr>
      <w:tr>
        <w:tc>
          <w:tcPr>
            <w:tcW w:type="dxa" w:w="2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Smart Card Recommender</w:t>
            </w:r>
          </w:p>
        </w:tc>
        <w:tc>
          <w:tcPr>
            <w:tcW w:type="dxa" w:w="4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Input income + spend habits → ranked top-5 card suggestions with reasoning</w:t>
            </w:r>
          </w:p>
        </w:tc>
        <w:tc>
          <w:tcPr>
            <w:tcW w:type="dxa" w:w="1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P0</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Launch</w:t>
            </w:r>
          </w:p>
        </w:tc>
      </w:tr>
      <w:tr>
        <w:tc>
          <w:tcPr>
            <w:tcW w:type="dxa" w:w="2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Loan Matcher</w:t>
            </w:r>
          </w:p>
        </w:tc>
        <w:tc>
          <w:tcPr>
            <w:tcW w:type="dxa" w:w="4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Input loan need + CIBIL range → best lender, rate comparison, eligibility check</w:t>
            </w:r>
          </w:p>
        </w:tc>
        <w:tc>
          <w:tcPr>
            <w:tcW w:type="dxa" w:w="1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P0</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Launch</w:t>
            </w:r>
          </w:p>
        </w:tc>
      </w:tr>
      <w:tr>
        <w:tc>
          <w:tcPr>
            <w:tcW w:type="dxa" w:w="2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EMI Calculator+</w:t>
            </w:r>
          </w:p>
        </w:tc>
        <w:tc>
          <w:tcPr>
            <w:tcW w:type="dxa" w:w="4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Not just EMI — full amortization schedule, total interest paid, prepayment impact</w:t>
            </w:r>
          </w:p>
        </w:tc>
        <w:tc>
          <w:tcPr>
            <w:tcW w:type="dxa" w:w="1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P0</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Launch</w:t>
            </w:r>
          </w:p>
        </w:tc>
      </w:tr>
      <w:tr>
        <w:tc>
          <w:tcPr>
            <w:tcW w:type="dxa" w:w="2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CIBIL Coach</w:t>
            </w:r>
          </w:p>
        </w:tc>
        <w:tc>
          <w:tcPr>
            <w:tcW w:type="dxa" w:w="4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Explains score, what damaged it, 90-day improvement roadmap</w:t>
            </w:r>
          </w:p>
        </w:tc>
        <w:tc>
          <w:tcPr>
            <w:tcW w:type="dxa" w:w="1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P0</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Launch</w:t>
            </w:r>
          </w:p>
        </w:tc>
      </w:tr>
      <w:tr>
        <w:tc>
          <w:tcPr>
            <w:tcW w:type="dxa" w:w="2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Financial Literacy Hub</w:t>
            </w:r>
          </w:p>
        </w:tc>
        <w:tc>
          <w:tcPr>
            <w:tcW w:type="dxa" w:w="4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Bite-sized explainers: APR, moratorium, minimum due trap, credit utilization</w:t>
            </w:r>
          </w:p>
        </w:tc>
        <w:tc>
          <w:tcPr>
            <w:tcW w:type="dxa" w:w="1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P1</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Month 2</w:t>
            </w:r>
          </w:p>
        </w:tc>
      </w:tr>
      <w:tr>
        <w:tc>
          <w:tcPr>
            <w:tcW w:type="dxa" w:w="2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Doubt Solver</w:t>
            </w:r>
          </w:p>
        </w:tc>
        <w:tc>
          <w:tcPr>
            <w:tcW w:type="dxa" w:w="4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Plain-language answers to billing disputes, charge queries, late fee waivers</w:t>
            </w:r>
          </w:p>
        </w:tc>
        <w:tc>
          <w:tcPr>
            <w:tcW w:type="dxa" w:w="1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P1</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Month 2</w:t>
            </w:r>
          </w:p>
        </w:tc>
      </w:tr>
      <w:tr>
        <w:tc>
          <w:tcPr>
            <w:tcW w:type="dxa" w:w="2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Card vs Card Compare</w:t>
            </w:r>
          </w:p>
        </w:tc>
        <w:tc>
          <w:tcPr>
            <w:tcW w:type="dxa" w:w="4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Side-by-side compare: 3 cards × 15 parameters, clearly visualized</w:t>
            </w:r>
          </w:p>
        </w:tc>
        <w:tc>
          <w:tcPr>
            <w:tcW w:type="dxa" w:w="1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P1</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Month 3</w:t>
            </w:r>
          </w:p>
        </w:tc>
      </w:tr>
      <w:tr>
        <w:tc>
          <w:tcPr>
            <w:tcW w:type="dxa" w:w="2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Spend Optimizer</w:t>
            </w:r>
          </w:p>
        </w:tc>
        <w:tc>
          <w:tcPr>
            <w:tcW w:type="dxa" w:w="4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Tell FinWise your monthly spend pattern → optimal card-for-spend mapping</w:t>
            </w:r>
          </w:p>
        </w:tc>
        <w:tc>
          <w:tcPr>
            <w:tcW w:type="dxa" w:w="1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P2</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Month 6</w:t>
            </w:r>
          </w:p>
        </w:tc>
      </w:tr>
      <w:tr>
        <w:tc>
          <w:tcPr>
            <w:tcW w:type="dxa" w:w="2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WhatsApp Bot</w:t>
            </w:r>
          </w:p>
        </w:tc>
        <w:tc>
          <w:tcPr>
            <w:tcW w:type="dxa" w:w="4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All core features via WhatsApp — zero app install friction</w:t>
            </w:r>
          </w:p>
        </w:tc>
        <w:tc>
          <w:tcPr>
            <w:tcW w:type="dxa" w:w="1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P1</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Month 2</w:t>
            </w:r>
          </w:p>
        </w:tc>
      </w:tr>
      <w:tr>
        <w:tc>
          <w:tcPr>
            <w:tcW w:type="dxa" w:w="2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Expert Connect</w:t>
            </w:r>
          </w:p>
        </w:tc>
        <w:tc>
          <w:tcPr>
            <w:tcW w:type="dxa" w:w="4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Escalate to human certified financial planner (Elite plan)</w:t>
            </w:r>
          </w:p>
        </w:tc>
        <w:tc>
          <w:tcPr>
            <w:tcW w:type="dxa" w:w="1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P2</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Month 6</w:t>
            </w:r>
          </w:p>
        </w:tc>
      </w:tr>
      <w:tr>
        <w:tc>
          <w:tcPr>
            <w:tcW w:type="dxa" w:w="2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FinWise Academy</w:t>
            </w:r>
          </w:p>
        </w:tc>
        <w:tc>
          <w:tcPr>
            <w:tcW w:type="dxa" w:w="4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Short video + text courses on personal finance, sold à la carte</w:t>
            </w:r>
          </w:p>
        </w:tc>
        <w:tc>
          <w:tcPr>
            <w:tcW w:type="dxa" w:w="1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P3</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Month 10</w:t>
            </w:r>
          </w:p>
        </w:tc>
      </w:tr>
    </w:tbl>
    <w:p>
      <w:pPr>
        <w:spacing w:after="0" w:before="140"/>
      </w:pPr>
      <w:r>
        <w:t xml:space="preserve"/>
      </w:r>
    </w:p>
    <w:p>
      <w:pPr>
        <w:spacing w:after="80" w:before="80"/>
        <w:jc w:val="left"/>
      </w:pPr>
      <w:r>
        <w:rPr>
          <w:rFonts w:ascii="Arial" w:cs="Arial" w:eastAsia="Arial" w:hAnsi="Arial"/>
          <w:b/>
          <w:bCs/>
          <w:i w:val="false"/>
          <w:iCs w:val="false"/>
          <w:color w:val="0B2545"/>
          <w:sz w:val="26"/>
          <w:szCs w:val="26"/>
        </w:rPr>
        <w:t xml:space="preserve">3.2  User Journey (Typical 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4440"/>
        <w:gridCol w:w="2200"/>
      </w:tblGrid>
      <w:tr>
        <w:tc>
          <w:tcPr>
            <w:tcW w:type="dxa" w:w="52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Step</w:t>
            </w:r>
          </w:p>
        </w:tc>
        <w:tc>
          <w:tcPr>
            <w:tcW w:type="dxa" w:w="22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Stage</w:t>
            </w:r>
          </w:p>
        </w:tc>
        <w:tc>
          <w:tcPr>
            <w:tcW w:type="dxa" w:w="444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What Happens</w:t>
            </w:r>
          </w:p>
        </w:tc>
        <w:tc>
          <w:tcPr>
            <w:tcW w:type="dxa" w:w="22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Revenue Touch</w:t>
            </w:r>
          </w:p>
        </w:tc>
      </w:tr>
      <w:tr>
        <w:tc>
          <w:tcPr>
            <w:tcW w:type="dxa" w:w="5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Discovery</w:t>
            </w:r>
          </w:p>
        </w:tc>
        <w:tc>
          <w:tcPr>
            <w:tcW w:type="dxa" w:w="444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User Googles 'best card for salary 40K' → lands on FinWise SEO article</w:t>
            </w:r>
          </w:p>
        </w:tc>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Organic traffic</w:t>
            </w:r>
          </w:p>
        </w:tc>
      </w:tr>
      <w:tr>
        <w:tc>
          <w:tcPr>
            <w:tcW w:type="dxa" w:w="5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w:t>
            </w:r>
          </w:p>
        </w:tc>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Onboarding</w:t>
            </w:r>
          </w:p>
        </w:tc>
        <w:tc>
          <w:tcPr>
            <w:tcW w:type="dxa" w:w="444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Answers 5 quick questions: income, spending categories, existing cards, loan history</w:t>
            </w:r>
          </w:p>
        </w:tc>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Data for personalization</w:t>
            </w:r>
          </w:p>
        </w:tc>
      </w:tr>
      <w:tr>
        <w:tc>
          <w:tcPr>
            <w:tcW w:type="dxa" w:w="5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AI Consult</w:t>
            </w:r>
          </w:p>
        </w:tc>
        <w:tc>
          <w:tcPr>
            <w:tcW w:type="dxa" w:w="444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Chat with FinWise AI — asks follow-up questions, explains options in Hindi/English</w:t>
            </w:r>
          </w:p>
        </w:tc>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Engagement, trust build</w:t>
            </w:r>
          </w:p>
        </w:tc>
      </w:tr>
      <w:tr>
        <w:tc>
          <w:tcPr>
            <w:tcW w:type="dxa" w:w="5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w:t>
            </w:r>
          </w:p>
        </w:tc>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Recommendation</w:t>
            </w:r>
          </w:p>
        </w:tc>
        <w:tc>
          <w:tcPr>
            <w:tcW w:type="dxa" w:w="444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AI recommends top 3 cards/loans with full rationale and apply links</w:t>
            </w:r>
          </w:p>
        </w:tc>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Referral commission trigger</w:t>
            </w:r>
          </w:p>
        </w:tc>
      </w:tr>
      <w:tr>
        <w:tc>
          <w:tcPr>
            <w:tcW w:type="dxa" w:w="5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Application</w:t>
            </w:r>
          </w:p>
        </w:tc>
        <w:tc>
          <w:tcPr>
            <w:tcW w:type="dxa" w:w="444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User clicks affiliate link → redirected to bank/NBFC, applies</w:t>
            </w:r>
          </w:p>
        </w:tc>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Commission on approval</w:t>
            </w:r>
          </w:p>
        </w:tc>
      </w:tr>
      <w:tr>
        <w:tc>
          <w:tcPr>
            <w:tcW w:type="dxa" w:w="5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w:t>
            </w:r>
          </w:p>
        </w:tc>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Follow-up</w:t>
            </w:r>
          </w:p>
        </w:tc>
        <w:tc>
          <w:tcPr>
            <w:tcW w:type="dxa" w:w="444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FinWise sends optimization tips, rewards reminders, proactive doubt solving</w:t>
            </w:r>
          </w:p>
        </w:tc>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Retention → upsell to Pro</w:t>
            </w:r>
          </w:p>
        </w:tc>
      </w:tr>
    </w:tbl>
    <w:p>
      <w:pPr>
        <w:spacing w:after="0" w:before="140"/>
      </w:pPr>
      <w:r>
        <w:t xml:space="preserve"/>
      </w:r>
    </w:p>
    <w:p>
      <w:pPr>
        <w:spacing w:after="80" w:before="80"/>
        <w:jc w:val="left"/>
      </w:pPr>
      <w:r>
        <w:rPr>
          <w:rFonts w:ascii="Arial" w:cs="Arial" w:eastAsia="Arial" w:hAnsi="Arial"/>
          <w:b/>
          <w:bCs/>
          <w:i w:val="false"/>
          <w:iCs w:val="false"/>
          <w:color w:val="0B2545"/>
          <w:sz w:val="26"/>
          <w:szCs w:val="26"/>
        </w:rPr>
        <w:t xml:space="preserve">3.3  Technology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AI Base Model</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Mistral 7B Instruct v0.3 — fine-tuned via QLoRA on Indian credit/loan scraped dataset</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Intent Classifier</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IndicBERT (180M params) — routes queries in &lt;20ms before invoking main model</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Inference Engine</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Ollama / llama.cpp — GGUF 4-bit quantized, runs on 8GB RAM (CPU) or single GPU</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API Layer</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FastAPI (Python) — REST endpoints consumed by all client apps</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Vector Database</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Pinecone / Weaviate — semantic search over 50,000+ card/loan fact chunks (RAG)</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Backend Database</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PostgreSQL — user profiles, query history, affiliate tracking</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Web Frontend</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Next.js + Tailwind CSS — fast, SEO-optimized</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Mobile App</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React Native (Android first) — on-device Phi-3 Mini for offline inference</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WhatsApp Layer</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WhatsApp Business API (Meta Cloud) + webhook to FastAPI</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Analytics</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PostHog (self-hosted) — privacy-safe product analytics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6B3C"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04</w:t>
            </w:r>
          </w:p>
        </w:tc>
        <w:tc>
          <w:tcPr>
            <w:tcW w:type="dxa" w:w="8560"/>
            <w:tcBorders>
              <w:top w:val="none" w:color="FFFFFF" w:sz="0"/>
              <w:left w:val="none" w:color="FFFFFF" w:sz="0"/>
              <w:bottom w:val="single" w:color="1A6B3C"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1A6B3C"/>
                <w:sz w:val="32"/>
                <w:szCs w:val="32"/>
              </w:rPr>
              <w:t xml:space="preserve">Market Opportunity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B2545" w:val="clear"/>
            <w:tcMar>
              <w:top w:type="dxa" w:w="160"/>
              <w:left w:type="dxa" w:w="120"/>
              <w:bottom w:type="dxa" w:w="160"/>
              <w:right w:type="dxa" w:w="120"/>
            </w:tcMar>
          </w:tcPr>
          <w:p>
            <w:pPr>
              <w:spacing w:after="20" w:before="0"/>
              <w:jc w:val="center"/>
            </w:pPr>
            <w:r>
              <w:rPr>
                <w:rFonts w:ascii="Arial" w:cs="Arial" w:eastAsia="Arial" w:hAnsi="Arial"/>
                <w:b/>
                <w:bCs/>
                <w:i w:val="false"/>
                <w:iCs w:val="false"/>
                <w:color w:val="FFFFFF"/>
                <w:sz w:val="44"/>
                <w:szCs w:val="44"/>
              </w:rPr>
              <w:t xml:space="preserve">₹18 Lakh Cr</w:t>
            </w:r>
          </w:p>
          <w:p>
            <w:pPr>
              <w:spacing w:after="16" w:before="0"/>
              <w:jc w:val="center"/>
            </w:pPr>
            <w:r>
              <w:rPr>
                <w:rFonts w:ascii="Arial" w:cs="Arial" w:eastAsia="Arial" w:hAnsi="Arial"/>
                <w:b/>
                <w:bCs/>
                <w:i w:val="false"/>
                <w:iCs w:val="false"/>
                <w:color w:val="DDDDDD"/>
                <w:sz w:val="18"/>
                <w:szCs w:val="18"/>
              </w:rPr>
              <w:t xml:space="preserve">Annual Card Spend</w:t>
            </w:r>
          </w:p>
          <w:p>
            <w:pPr>
              <w:spacing w:after="0" w:before="0"/>
              <w:jc w:val="center"/>
            </w:pPr>
            <w:r>
              <w:rPr>
                <w:rFonts w:ascii="Arial" w:cs="Arial" w:eastAsia="Arial" w:hAnsi="Arial"/>
                <w:b w:val="false"/>
                <w:bCs w:val="false"/>
                <w:i w:val="false"/>
                <w:iCs w:val="false"/>
                <w:color w:val="BBCCCC"/>
                <w:sz w:val="16"/>
                <w:szCs w:val="16"/>
              </w:rPr>
              <w:t xml:space="preserve">FY2025, India</w:t>
            </w:r>
          </w:p>
        </w:tc>
        <w:tc>
          <w:tcPr>
            <w:tcW w:type="dxa" w:w="2340"/>
            <w:tcBorders>
              <w:top w:val="none" w:color="FFFFFF" w:sz="0"/>
              <w:left w:val="none" w:color="FFFFFF" w:sz="0"/>
              <w:bottom w:val="none" w:color="FFFFFF" w:sz="0"/>
              <w:right w:val="none" w:color="FFFFFF" w:sz="0"/>
            </w:tcBorders>
            <w:shd w:fill="0E7C86" w:val="clear"/>
            <w:tcMar>
              <w:top w:type="dxa" w:w="160"/>
              <w:left w:type="dxa" w:w="120"/>
              <w:bottom w:type="dxa" w:w="160"/>
              <w:right w:type="dxa" w:w="120"/>
            </w:tcMar>
          </w:tcPr>
          <w:p>
            <w:pPr>
              <w:spacing w:after="20" w:before="0"/>
              <w:jc w:val="center"/>
            </w:pPr>
            <w:r>
              <w:rPr>
                <w:rFonts w:ascii="Arial" w:cs="Arial" w:eastAsia="Arial" w:hAnsi="Arial"/>
                <w:b/>
                <w:bCs/>
                <w:i w:val="false"/>
                <w:iCs w:val="false"/>
                <w:color w:val="FFFFFF"/>
                <w:sz w:val="44"/>
                <w:szCs w:val="44"/>
              </w:rPr>
              <w:t xml:space="preserve">80M+</w:t>
            </w:r>
          </w:p>
          <w:p>
            <w:pPr>
              <w:spacing w:after="16" w:before="0"/>
              <w:jc w:val="center"/>
            </w:pPr>
            <w:r>
              <w:rPr>
                <w:rFonts w:ascii="Arial" w:cs="Arial" w:eastAsia="Arial" w:hAnsi="Arial"/>
                <w:b/>
                <w:bCs/>
                <w:i w:val="false"/>
                <w:iCs w:val="false"/>
                <w:color w:val="DDDDDD"/>
                <w:sz w:val="18"/>
                <w:szCs w:val="18"/>
              </w:rPr>
              <w:t xml:space="preserve">Active Card Holders</w:t>
            </w:r>
          </w:p>
          <w:p>
            <w:pPr>
              <w:spacing w:after="0" w:before="0"/>
              <w:jc w:val="center"/>
            </w:pPr>
            <w:r>
              <w:rPr>
                <w:rFonts w:ascii="Arial" w:cs="Arial" w:eastAsia="Arial" w:hAnsi="Arial"/>
                <w:b w:val="false"/>
                <w:bCs w:val="false"/>
                <w:i w:val="false"/>
                <w:iCs w:val="false"/>
                <w:color w:val="BBCCCC"/>
                <w:sz w:val="16"/>
                <w:szCs w:val="16"/>
              </w:rPr>
              <w:t xml:space="preserve">Growing 22% YoY</w:t>
            </w:r>
          </w:p>
        </w:tc>
        <w:tc>
          <w:tcPr>
            <w:tcW w:type="dxa" w:w="2340"/>
            <w:tcBorders>
              <w:top w:val="none" w:color="FFFFFF" w:sz="0"/>
              <w:left w:val="none" w:color="FFFFFF" w:sz="0"/>
              <w:bottom w:val="none" w:color="FFFFFF" w:sz="0"/>
              <w:right w:val="none" w:color="FFFFFF" w:sz="0"/>
            </w:tcBorders>
            <w:shd w:fill="1A6B3C" w:val="clear"/>
            <w:tcMar>
              <w:top w:type="dxa" w:w="160"/>
              <w:left w:type="dxa" w:w="120"/>
              <w:bottom w:type="dxa" w:w="160"/>
              <w:right w:type="dxa" w:w="120"/>
            </w:tcMar>
          </w:tcPr>
          <w:p>
            <w:pPr>
              <w:spacing w:after="20" w:before="0"/>
              <w:jc w:val="center"/>
            </w:pPr>
            <w:r>
              <w:rPr>
                <w:rFonts w:ascii="Arial" w:cs="Arial" w:eastAsia="Arial" w:hAnsi="Arial"/>
                <w:b/>
                <w:bCs/>
                <w:i w:val="false"/>
                <w:iCs w:val="false"/>
                <w:color w:val="FFFFFF"/>
                <w:sz w:val="44"/>
                <w:szCs w:val="44"/>
              </w:rPr>
              <w:t xml:space="preserve">600M+</w:t>
            </w:r>
          </w:p>
          <w:p>
            <w:pPr>
              <w:spacing w:after="16" w:before="0"/>
              <w:jc w:val="center"/>
            </w:pPr>
            <w:r>
              <w:rPr>
                <w:rFonts w:ascii="Arial" w:cs="Arial" w:eastAsia="Arial" w:hAnsi="Arial"/>
                <w:b/>
                <w:bCs/>
                <w:i w:val="false"/>
                <w:iCs w:val="false"/>
                <w:color w:val="DDDDDD"/>
                <w:sz w:val="18"/>
                <w:szCs w:val="18"/>
              </w:rPr>
              <w:t xml:space="preserve">Loan Accounts</w:t>
            </w:r>
          </w:p>
          <w:p>
            <w:pPr>
              <w:spacing w:after="0" w:before="0"/>
              <w:jc w:val="center"/>
            </w:pPr>
            <w:r>
              <w:rPr>
                <w:rFonts w:ascii="Arial" w:cs="Arial" w:eastAsia="Arial" w:hAnsi="Arial"/>
                <w:b w:val="false"/>
                <w:bCs w:val="false"/>
                <w:i w:val="false"/>
                <w:iCs w:val="false"/>
                <w:color w:val="BBCCCC"/>
                <w:sz w:val="16"/>
                <w:szCs w:val="16"/>
              </w:rPr>
              <w:t xml:space="preserve">Personal + Home + Auto</w:t>
            </w:r>
          </w:p>
        </w:tc>
        <w:tc>
          <w:tcPr>
            <w:tcW w:type="dxa" w:w="2340"/>
            <w:tcBorders>
              <w:top w:val="none" w:color="FFFFFF" w:sz="0"/>
              <w:left w:val="none" w:color="FFFFFF" w:sz="0"/>
              <w:bottom w:val="none" w:color="FFFFFF" w:sz="0"/>
              <w:right w:val="none" w:color="FFFFFF" w:sz="0"/>
            </w:tcBorders>
            <w:shd w:fill="B7860A" w:val="clear"/>
            <w:tcMar>
              <w:top w:type="dxa" w:w="160"/>
              <w:left w:type="dxa" w:w="120"/>
              <w:bottom w:type="dxa" w:w="160"/>
              <w:right w:type="dxa" w:w="120"/>
            </w:tcMar>
          </w:tcPr>
          <w:p>
            <w:pPr>
              <w:spacing w:after="20" w:before="0"/>
              <w:jc w:val="center"/>
            </w:pPr>
            <w:r>
              <w:rPr>
                <w:rFonts w:ascii="Arial" w:cs="Arial" w:eastAsia="Arial" w:hAnsi="Arial"/>
                <w:b/>
                <w:bCs/>
                <w:i w:val="false"/>
                <w:iCs w:val="false"/>
                <w:color w:val="FFFFFF"/>
                <w:sz w:val="44"/>
                <w:szCs w:val="44"/>
              </w:rPr>
              <w:t xml:space="preserve">$2.1B</w:t>
            </w:r>
          </w:p>
          <w:p>
            <w:pPr>
              <w:spacing w:after="16" w:before="0"/>
              <w:jc w:val="center"/>
            </w:pPr>
            <w:r>
              <w:rPr>
                <w:rFonts w:ascii="Arial" w:cs="Arial" w:eastAsia="Arial" w:hAnsi="Arial"/>
                <w:b/>
                <w:bCs/>
                <w:i w:val="false"/>
                <w:iCs w:val="false"/>
                <w:color w:val="DDDDDD"/>
                <w:sz w:val="18"/>
                <w:szCs w:val="18"/>
              </w:rPr>
              <w:t xml:space="preserve">India Fintech AI</w:t>
            </w:r>
          </w:p>
          <w:p>
            <w:pPr>
              <w:spacing w:after="0" w:before="0"/>
              <w:jc w:val="center"/>
            </w:pPr>
            <w:r>
              <w:rPr>
                <w:rFonts w:ascii="Arial" w:cs="Arial" w:eastAsia="Arial" w:hAnsi="Arial"/>
                <w:b w:val="false"/>
                <w:bCs w:val="false"/>
                <w:i w:val="false"/>
                <w:iCs w:val="false"/>
                <w:color w:val="BBCCCC"/>
                <w:sz w:val="16"/>
                <w:szCs w:val="16"/>
              </w:rPr>
              <w:t xml:space="preserve">2025 market, 42% CAGR</w:t>
            </w:r>
          </w:p>
        </w:tc>
      </w:tr>
    </w:tbl>
    <w:p>
      <w:pPr>
        <w:spacing w:after="0" w:before="140"/>
      </w:pPr>
      <w:r>
        <w:t xml:space="preserve"/>
      </w:r>
    </w:p>
    <w:p>
      <w:pPr>
        <w:spacing w:after="80" w:before="80"/>
        <w:jc w:val="left"/>
      </w:pPr>
      <w:r>
        <w:rPr>
          <w:rFonts w:ascii="Arial" w:cs="Arial" w:eastAsia="Arial" w:hAnsi="Arial"/>
          <w:b/>
          <w:bCs/>
          <w:i w:val="false"/>
          <w:iCs w:val="false"/>
          <w:color w:val="0B2545"/>
          <w:sz w:val="26"/>
          <w:szCs w:val="26"/>
        </w:rPr>
        <w:t xml:space="preserve">TAM / SAM / SOM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60"/>
        <w:gridCol w:w="2200"/>
      </w:tblGrid>
      <w:tr>
        <w:tc>
          <w:tcPr>
            <w:tcW w:type="dxa" w:w="24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Market Level</w:t>
            </w:r>
          </w:p>
        </w:tc>
        <w:tc>
          <w:tcPr>
            <w:tcW w:type="dxa" w:w="32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Definition</w:t>
            </w:r>
          </w:p>
        </w:tc>
        <w:tc>
          <w:tcPr>
            <w:tcW w:type="dxa" w:w="15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Size</w:t>
            </w:r>
          </w:p>
        </w:tc>
        <w:tc>
          <w:tcPr>
            <w:tcW w:type="dxa" w:w="22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FinWise Relevance</w:t>
            </w:r>
          </w:p>
        </w:tc>
      </w:tr>
      <w:tr>
        <w:tc>
          <w:tcPr>
            <w:tcW w:type="dxa" w:w="24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TAM — Total Addressable</w:t>
            </w:r>
          </w:p>
        </w:tc>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All Indians who hold or want a credit card or loan product</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~400M users</w:t>
            </w:r>
          </w:p>
        </w:tc>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Full long-term market</w:t>
            </w:r>
          </w:p>
        </w:tc>
      </w:tr>
      <w:tr>
        <w:tc>
          <w:tcPr>
            <w:tcW w:type="dxa" w:w="24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SAM — Serviceable</w:t>
            </w:r>
          </w:p>
        </w:tc>
        <w:tc>
          <w:tcPr>
            <w:tcW w:type="dxa" w:w="3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Smartphone users, digitally active, aged 18-50, Tier 1/2/3</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~150M users</w:t>
            </w:r>
          </w:p>
        </w:tc>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Reachable via web/app/WhatsApp</w:t>
            </w:r>
          </w:p>
        </w:tc>
      </w:tr>
      <w:tr>
        <w:tc>
          <w:tcPr>
            <w:tcW w:type="dxa" w:w="24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SOM — Obtainable (Y3)</w:t>
            </w:r>
          </w:p>
        </w:tc>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Users actively searching for card/loan guidance online</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~10M MAU</w:t>
            </w:r>
          </w:p>
        </w:tc>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3-year realistic target</w:t>
            </w:r>
          </w:p>
        </w:tc>
      </w:tr>
      <w:tr>
        <w:tc>
          <w:tcPr>
            <w:tcW w:type="dxa" w:w="24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SOM — Obtainable (Y5)</w:t>
            </w:r>
          </w:p>
        </w:tc>
        <w:tc>
          <w:tcPr>
            <w:tcW w:type="dxa" w:w="3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With loan provider feature + broader financial OS</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~35M MAU</w:t>
            </w:r>
          </w:p>
        </w:tc>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5-year target with NBFC license</w:t>
            </w:r>
          </w:p>
        </w:tc>
      </w:tr>
    </w:tbl>
    <w:p>
      <w:pPr>
        <w:spacing w:after="0" w:before="140"/>
      </w:pPr>
      <w:r>
        <w:t xml:space="preserve"/>
      </w:r>
    </w:p>
    <w:p>
      <w:pPr>
        <w:spacing w:after="80" w:before="80"/>
        <w:jc w:val="left"/>
      </w:pPr>
      <w:r>
        <w:rPr>
          <w:rFonts w:ascii="Arial" w:cs="Arial" w:eastAsia="Arial" w:hAnsi="Arial"/>
          <w:b/>
          <w:bCs/>
          <w:i w:val="false"/>
          <w:iCs w:val="false"/>
          <w:color w:val="0B2545"/>
          <w:sz w:val="22"/>
          <w:szCs w:val="22"/>
        </w:rPr>
        <w:t xml:space="preserve">Why Now? The Tailwind Factors:</w:t>
      </w:r>
    </w:p>
    <w:p>
      <w:pPr>
        <w:spacing w:after="0" w:before="60"/>
      </w:pPr>
      <w:r>
        <w:t xml:space="preserve"/>
      </w:r>
    </w:p>
    <w:p>
      <w:pPr>
        <w:pStyle w:val="ListParagraph"/>
        <w:numPr>
          <w:ilvl w:val="0"/>
          <w:numId w:val="2"/>
        </w:numPr>
        <w:spacing w:after="55" w:before="55"/>
      </w:pPr>
      <w:r>
        <w:rPr>
          <w:rFonts w:ascii="Arial" w:cs="Arial" w:eastAsia="Arial" w:hAnsi="Arial"/>
          <w:color w:val="3D3D3D"/>
          <w:sz w:val="21"/>
          <w:szCs w:val="21"/>
        </w:rPr>
        <w:t xml:space="preserve">UPI normalization has created 300M+ digitally-active Indians comfortable with fintech apps</w:t>
      </w:r>
    </w:p>
    <w:p>
      <w:pPr>
        <w:pStyle w:val="ListParagraph"/>
        <w:numPr>
          <w:ilvl w:val="0"/>
          <w:numId w:val="2"/>
        </w:numPr>
        <w:spacing w:after="55" w:before="55"/>
      </w:pPr>
      <w:r>
        <w:rPr>
          <w:rFonts w:ascii="Arial" w:cs="Arial" w:eastAsia="Arial" w:hAnsi="Arial"/>
          <w:color w:val="3D3D3D"/>
          <w:sz w:val="21"/>
          <w:szCs w:val="21"/>
        </w:rPr>
        <w:t xml:space="preserve">RBI's Account Aggregator framework (live) enables consent-based financial data access — perfect for FinWise's loan matching</w:t>
      </w:r>
    </w:p>
    <w:p>
      <w:pPr>
        <w:pStyle w:val="ListParagraph"/>
        <w:numPr>
          <w:ilvl w:val="0"/>
          <w:numId w:val="2"/>
        </w:numPr>
        <w:spacing w:after="55" w:before="55"/>
      </w:pPr>
      <w:r>
        <w:rPr>
          <w:rFonts w:ascii="Arial" w:cs="Arial" w:eastAsia="Arial" w:hAnsi="Arial"/>
          <w:color w:val="3D3D3D"/>
          <w:sz w:val="21"/>
          <w:szCs w:val="21"/>
        </w:rPr>
        <w:t xml:space="preserve">Credit card penetration growing 22% YoY — millions entering the ecosystem with zero guidance</w:t>
      </w:r>
    </w:p>
    <w:p>
      <w:pPr>
        <w:pStyle w:val="ListParagraph"/>
        <w:numPr>
          <w:ilvl w:val="0"/>
          <w:numId w:val="2"/>
        </w:numPr>
        <w:spacing w:after="55" w:before="55"/>
      </w:pPr>
      <w:r>
        <w:rPr>
          <w:rFonts w:ascii="Arial" w:cs="Arial" w:eastAsia="Arial" w:hAnsi="Arial"/>
          <w:color w:val="3D3D3D"/>
          <w:sz w:val="21"/>
          <w:szCs w:val="21"/>
        </w:rPr>
        <w:t xml:space="preserve">Open-source LLMs (Mistral, LLaMA 3) now match GPT-3.5 quality — local AI is finally viable and affordable</w:t>
      </w:r>
    </w:p>
    <w:p>
      <w:pPr>
        <w:pStyle w:val="ListParagraph"/>
        <w:numPr>
          <w:ilvl w:val="0"/>
          <w:numId w:val="2"/>
        </w:numPr>
        <w:spacing w:after="55" w:before="55"/>
      </w:pPr>
      <w:r>
        <w:rPr>
          <w:rFonts w:ascii="Arial" w:cs="Arial" w:eastAsia="Arial" w:hAnsi="Arial"/>
          <w:color w:val="3D3D3D"/>
          <w:sz w:val="21"/>
          <w:szCs w:val="21"/>
        </w:rPr>
        <w:t xml:space="preserve">Post-COVID financial anxiety has made Indians hungry for trustworthy, personalized financial guidance</w:t>
      </w:r>
    </w:p>
    <w:p>
      <w:pPr>
        <w:pStyle w:val="ListParagraph"/>
        <w:numPr>
          <w:ilvl w:val="0"/>
          <w:numId w:val="2"/>
        </w:numPr>
        <w:spacing w:after="55" w:before="55"/>
      </w:pPr>
      <w:r>
        <w:rPr>
          <w:rFonts w:ascii="Arial" w:cs="Arial" w:eastAsia="Arial" w:hAnsi="Arial"/>
          <w:color w:val="3D3D3D"/>
          <w:sz w:val="21"/>
          <w:szCs w:val="21"/>
        </w:rPr>
        <w:t xml:space="preserve">Jio + cheap data has made Tier 2/3 cities the fastest-growing fintech user base in the world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7860A"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05</w:t>
            </w:r>
          </w:p>
        </w:tc>
        <w:tc>
          <w:tcPr>
            <w:tcW w:type="dxa" w:w="8560"/>
            <w:tcBorders>
              <w:top w:val="none" w:color="FFFFFF" w:sz="0"/>
              <w:left w:val="none" w:color="FFFFFF" w:sz="0"/>
              <w:bottom w:val="single" w:color="B7860A"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B7860A"/>
                <w:sz w:val="32"/>
                <w:szCs w:val="32"/>
              </w:rPr>
              <w:t xml:space="preserve">Business Model &amp; Revenue Streams</w:t>
            </w:r>
          </w:p>
        </w:tc>
      </w:tr>
    </w:tbl>
    <w:p>
      <w:pPr>
        <w:spacing w:after="0" w:before="100"/>
      </w:pPr>
      <w:r>
        <w:t xml:space="preserve"/>
      </w:r>
    </w:p>
    <w:p>
      <w:pPr>
        <w:spacing w:after="80" w:before="80"/>
        <w:jc w:val="left"/>
      </w:pPr>
      <w:r>
        <w:rPr>
          <w:rFonts w:ascii="Arial" w:cs="Arial" w:eastAsia="Arial" w:hAnsi="Arial"/>
          <w:b w:val="false"/>
          <w:bCs w:val="false"/>
          <w:i w:val="false"/>
          <w:iCs w:val="false"/>
          <w:color w:val="3D3D3D"/>
          <w:sz w:val="21"/>
          <w:szCs w:val="21"/>
        </w:rPr>
        <w:t xml:space="preserve">FinWise operates on a diversified 8-stream revenue model. The model is user-friendly first (free or low-cost for users) while monetizing the financial ecosystem that benefits from FinWise's high-intent, pre-qualified user base.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980"/>
      </w:tblGrid>
      <w:tr>
        <w:tc>
          <w:tcPr>
            <w:tcW w:type="dxa" w:w="380"/>
            <w:tcBorders>
              <w:top w:val="none" w:color="FFFFFF" w:sz="0"/>
              <w:left w:val="none" w:color="FFFFFF" w:sz="0"/>
              <w:bottom w:val="none" w:color="FFFFFF" w:sz="0"/>
              <w:right w:val="none" w:color="FFFFFF" w:sz="0"/>
            </w:tcBorders>
            <w:shd w:fill="0E7C86" w:val="clear"/>
            <w:tcMar>
              <w:top w:type="dxa" w:w="0"/>
              <w:left w:type="dxa" w:w="0"/>
              <w:bottom w:type="dxa" w:w="0"/>
              <w:right w:type="dxa" w:w="0"/>
            </w:tcMar>
          </w:tcPr>
          <w:p>
            <w:pPr>
              <w:spacing w:after="0" w:before="160"/>
              <w:jc w:val="center"/>
            </w:pPr>
            <w:r>
              <w:rPr>
                <w:rFonts w:ascii="Arial" w:cs="Arial" w:eastAsia="Arial" w:hAnsi="Arial"/>
                <w:b/>
                <w:bCs/>
                <w:i w:val="false"/>
                <w:iCs w:val="false"/>
                <w:color w:val="FFFFFF"/>
                <w:sz w:val="28"/>
                <w:szCs w:val="28"/>
              </w:rPr>
              <w:t xml:space="preserve">01</w:t>
            </w:r>
          </w:p>
        </w:tc>
        <w:tc>
          <w:tcPr>
            <w:tcW w:type="dxa" w:w="8980"/>
            <w:tcBorders>
              <w:top w:val="single" w:color="E0E0E0" w:sz="1"/>
              <w:left w:val="single" w:color="0E7C86" w:sz="12"/>
              <w:bottom w:val="single" w:color="E0E0E0" w:sz="1"/>
              <w:right w:val="single" w:color="E0E0E0" w:sz="1"/>
            </w:tcBorders>
            <w:shd w:fill="FAFAFA" w:val="clear"/>
            <w:tcMar>
              <w:top w:type="dxa" w:w="160"/>
              <w:left w:type="dxa" w:w="260"/>
              <w:bottom w:type="dxa" w:w="160"/>
              <w:right w:type="dxa" w:w="260"/>
            </w:tcMar>
          </w:tcPr>
          <w:p>
            <w:pPr>
              <w:spacing w:after="30" w:before="0"/>
              <w:jc w:val="left"/>
            </w:pPr>
            <w:r>
              <w:rPr>
                <w:rFonts w:ascii="Arial" w:cs="Arial" w:eastAsia="Arial" w:hAnsi="Arial"/>
                <w:b/>
                <w:bCs/>
                <w:i w:val="false"/>
                <w:iCs w:val="false"/>
                <w:color w:val="0E7C86"/>
                <w:sz w:val="26"/>
                <w:szCs w:val="26"/>
              </w:rPr>
              <w:t xml:space="preserve">Credit Card Referral Commissions</w:t>
            </w:r>
          </w:p>
          <w:p>
            <w:pPr>
              <w:spacing w:after="100" w:before="0"/>
              <w:jc w:val="left"/>
            </w:pPr>
            <w:r>
              <w:rPr>
                <w:rFonts w:ascii="Arial" w:cs="Arial" w:eastAsia="Arial" w:hAnsi="Arial"/>
                <w:b w:val="false"/>
                <w:bCs w:val="false"/>
                <w:i/>
                <w:iCs/>
                <w:color w:val="6B6B6B"/>
                <w:sz w:val="19"/>
                <w:szCs w:val="19"/>
              </w:rPr>
              <w:t xml:space="preserve">Per-approved-application fee paid by issuing banks</w:t>
            </w:r>
          </w:p>
          <w:p>
            <w:pPr>
              <w:spacing w:after="100" w:before="0"/>
              <w:jc w:val="left"/>
            </w:pPr>
            <w:r>
              <w:rPr>
                <w:rFonts w:ascii="Arial" w:cs="Arial" w:eastAsia="Arial" w:hAnsi="Arial"/>
                <w:b w:val="false"/>
                <w:bCs w:val="false"/>
                <w:i w:val="false"/>
                <w:iCs w:val="false"/>
                <w:color w:val="3D3D3D"/>
                <w:sz w:val="20"/>
                <w:szCs w:val="20"/>
              </w:rPr>
              <w:t xml:space="preserve">Every time FinWise recommends a card and the user applies and gets approved through our tracked link, the bank pays FinWise a commission. Rates vary by card tier. This is the highest-volume revenue stream from Day 1.</w:t>
            </w:r>
          </w:p>
          <w:p>
            <w:pPr>
              <w:spacing w:after="0" w:before="0"/>
              <w:jc w:val="left"/>
            </w:pPr>
            <w:r>
              <w:rPr>
                <w:rFonts w:ascii="Arial" w:cs="Arial" w:eastAsia="Arial" w:hAnsi="Arial"/>
                <w:b/>
                <w:bCs/>
                <w:i w:val="false"/>
                <w:iCs w:val="false"/>
                <w:color w:val="0E7C86"/>
                <w:sz w:val="20"/>
                <w:szCs w:val="20"/>
              </w:rPr>
              <w:t xml:space="preserve">Commission Range: ₹300–₹2,500 per approval  |  Y1: ₹32L  |  Y3: ₹16.6 Cr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980"/>
      </w:tblGrid>
      <w:tr>
        <w:tc>
          <w:tcPr>
            <w:tcW w:type="dxa" w:w="380"/>
            <w:tcBorders>
              <w:top w:val="none" w:color="FFFFFF" w:sz="0"/>
              <w:left w:val="none" w:color="FFFFFF" w:sz="0"/>
              <w:bottom w:val="none" w:color="FFFFFF" w:sz="0"/>
              <w:right w:val="none" w:color="FFFFFF" w:sz="0"/>
            </w:tcBorders>
            <w:shd w:fill="B7860A" w:val="clear"/>
            <w:tcMar>
              <w:top w:type="dxa" w:w="0"/>
              <w:left w:type="dxa" w:w="0"/>
              <w:bottom w:type="dxa" w:w="0"/>
              <w:right w:type="dxa" w:w="0"/>
            </w:tcMar>
          </w:tcPr>
          <w:p>
            <w:pPr>
              <w:spacing w:after="0" w:before="160"/>
              <w:jc w:val="center"/>
            </w:pPr>
            <w:r>
              <w:rPr>
                <w:rFonts w:ascii="Arial" w:cs="Arial" w:eastAsia="Arial" w:hAnsi="Arial"/>
                <w:b/>
                <w:bCs/>
                <w:i w:val="false"/>
                <w:iCs w:val="false"/>
                <w:color w:val="FFFFFF"/>
                <w:sz w:val="28"/>
                <w:szCs w:val="28"/>
              </w:rPr>
              <w:t xml:space="preserve">02</w:t>
            </w:r>
          </w:p>
        </w:tc>
        <w:tc>
          <w:tcPr>
            <w:tcW w:type="dxa" w:w="8980"/>
            <w:tcBorders>
              <w:top w:val="single" w:color="E0E0E0" w:sz="1"/>
              <w:left w:val="single" w:color="B7860A" w:sz="12"/>
              <w:bottom w:val="single" w:color="E0E0E0" w:sz="1"/>
              <w:right w:val="single" w:color="E0E0E0" w:sz="1"/>
            </w:tcBorders>
            <w:shd w:fill="FAFAFA" w:val="clear"/>
            <w:tcMar>
              <w:top w:type="dxa" w:w="160"/>
              <w:left w:type="dxa" w:w="260"/>
              <w:bottom w:type="dxa" w:w="160"/>
              <w:right w:type="dxa" w:w="260"/>
            </w:tcMar>
          </w:tcPr>
          <w:p>
            <w:pPr>
              <w:spacing w:after="30" w:before="0"/>
              <w:jc w:val="left"/>
            </w:pPr>
            <w:r>
              <w:rPr>
                <w:rFonts w:ascii="Arial" w:cs="Arial" w:eastAsia="Arial" w:hAnsi="Arial"/>
                <w:b/>
                <w:bCs/>
                <w:i w:val="false"/>
                <w:iCs w:val="false"/>
                <w:color w:val="B7860A"/>
                <w:sz w:val="26"/>
                <w:szCs w:val="26"/>
              </w:rPr>
              <w:t xml:space="preserve">Credit Card Company Sponsorships</w:t>
            </w:r>
          </w:p>
          <w:p>
            <w:pPr>
              <w:spacing w:after="100" w:before="0"/>
              <w:jc w:val="left"/>
            </w:pPr>
            <w:r>
              <w:rPr>
                <w:rFonts w:ascii="Arial" w:cs="Arial" w:eastAsia="Arial" w:hAnsi="Arial"/>
                <w:b w:val="false"/>
                <w:bCs w:val="false"/>
                <w:i/>
                <w:iCs/>
                <w:color w:val="6B6B6B"/>
                <w:sz w:val="19"/>
                <w:szCs w:val="19"/>
              </w:rPr>
              <w:t xml:space="preserve">Banks pay for featured placement, launch campaigns, newsletter &amp; content partnerships</w:t>
            </w:r>
          </w:p>
          <w:p>
            <w:pPr>
              <w:spacing w:after="100" w:before="0"/>
              <w:jc w:val="left"/>
            </w:pPr>
            <w:r>
              <w:rPr>
                <w:rFonts w:ascii="Arial" w:cs="Arial" w:eastAsia="Arial" w:hAnsi="Arial"/>
                <w:b w:val="false"/>
                <w:bCs w:val="false"/>
                <w:i w:val="false"/>
                <w:iCs w:val="false"/>
                <w:color w:val="3D3D3D"/>
                <w:sz w:val="20"/>
                <w:szCs w:val="20"/>
              </w:rPr>
              <w:t xml:space="preserve">Once FinWise reaches 10,000+ MAU, banks pay for premium visibility. Four products: Featured Placement (₹2L/month/card), Launch Campaign (₹8L flat), Newsletter Sponsorship (₹80K/issue), Co-branded Literacy Content (₹5L/module). All sponsorships clearly disclosed — FinWise's credibility is non-negotiable.</w:t>
            </w:r>
          </w:p>
          <w:p>
            <w:pPr>
              <w:spacing w:after="0" w:before="0"/>
              <w:jc w:val="left"/>
            </w:pPr>
            <w:r>
              <w:rPr>
                <w:rFonts w:ascii="Arial" w:cs="Arial" w:eastAsia="Arial" w:hAnsi="Arial"/>
                <w:b/>
                <w:bCs/>
                <w:i w:val="false"/>
                <w:iCs w:val="false"/>
                <w:color w:val="B7860A"/>
                <w:sz w:val="20"/>
                <w:szCs w:val="20"/>
              </w:rPr>
              <w:t xml:space="preserve">Y1: ₹53L  |  Y2: ₹1.8 Cr  |  Y3: ₹3.76 Cr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980"/>
      </w:tblGrid>
      <w:tr>
        <w:tc>
          <w:tcPr>
            <w:tcW w:type="dxa" w:w="380"/>
            <w:tcBorders>
              <w:top w:val="none" w:color="FFFFFF" w:sz="0"/>
              <w:left w:val="none" w:color="FFFFFF" w:sz="0"/>
              <w:bottom w:val="none" w:color="FFFFFF" w:sz="0"/>
              <w:right w:val="none" w:color="FFFFFF" w:sz="0"/>
            </w:tcBorders>
            <w:shd w:fill="1A6B3C" w:val="clear"/>
            <w:tcMar>
              <w:top w:type="dxa" w:w="0"/>
              <w:left w:type="dxa" w:w="0"/>
              <w:bottom w:type="dxa" w:w="0"/>
              <w:right w:type="dxa" w:w="0"/>
            </w:tcMar>
          </w:tcPr>
          <w:p>
            <w:pPr>
              <w:spacing w:after="0" w:before="160"/>
              <w:jc w:val="center"/>
            </w:pPr>
            <w:r>
              <w:rPr>
                <w:rFonts w:ascii="Arial" w:cs="Arial" w:eastAsia="Arial" w:hAnsi="Arial"/>
                <w:b/>
                <w:bCs/>
                <w:i w:val="false"/>
                <w:iCs w:val="false"/>
                <w:color w:val="FFFFFF"/>
                <w:sz w:val="28"/>
                <w:szCs w:val="28"/>
              </w:rPr>
              <w:t xml:space="preserve">03</w:t>
            </w:r>
          </w:p>
        </w:tc>
        <w:tc>
          <w:tcPr>
            <w:tcW w:type="dxa" w:w="8980"/>
            <w:tcBorders>
              <w:top w:val="single" w:color="E0E0E0" w:sz="1"/>
              <w:left w:val="single" w:color="1A6B3C" w:sz="12"/>
              <w:bottom w:val="single" w:color="E0E0E0" w:sz="1"/>
              <w:right w:val="single" w:color="E0E0E0" w:sz="1"/>
            </w:tcBorders>
            <w:shd w:fill="FAFAFA" w:val="clear"/>
            <w:tcMar>
              <w:top w:type="dxa" w:w="160"/>
              <w:left w:type="dxa" w:w="260"/>
              <w:bottom w:type="dxa" w:w="160"/>
              <w:right w:type="dxa" w:w="260"/>
            </w:tcMar>
          </w:tcPr>
          <w:p>
            <w:pPr>
              <w:spacing w:after="30" w:before="0"/>
              <w:jc w:val="left"/>
            </w:pPr>
            <w:r>
              <w:rPr>
                <w:rFonts w:ascii="Arial" w:cs="Arial" w:eastAsia="Arial" w:hAnsi="Arial"/>
                <w:b/>
                <w:bCs/>
                <w:i w:val="false"/>
                <w:iCs w:val="false"/>
                <w:color w:val="1A6B3C"/>
                <w:sz w:val="26"/>
                <w:szCs w:val="26"/>
              </w:rPr>
              <w:t xml:space="preserve">Personal &amp; Home Loan Referrals</w:t>
            </w:r>
          </w:p>
          <w:p>
            <w:pPr>
              <w:spacing w:after="100" w:before="0"/>
              <w:jc w:val="left"/>
            </w:pPr>
            <w:r>
              <w:rPr>
                <w:rFonts w:ascii="Arial" w:cs="Arial" w:eastAsia="Arial" w:hAnsi="Arial"/>
                <w:b w:val="false"/>
                <w:bCs w:val="false"/>
                <w:i/>
                <w:iCs/>
                <w:color w:val="6B6B6B"/>
                <w:sz w:val="19"/>
                <w:szCs w:val="19"/>
              </w:rPr>
              <w:t xml:space="preserve">NBFC and bank commissions on disbursed loan applications</w:t>
            </w:r>
          </w:p>
          <w:p>
            <w:pPr>
              <w:spacing w:after="100" w:before="0"/>
              <w:jc w:val="left"/>
            </w:pPr>
            <w:r>
              <w:rPr>
                <w:rFonts w:ascii="Arial" w:cs="Arial" w:eastAsia="Arial" w:hAnsi="Arial"/>
                <w:b w:val="false"/>
                <w:bCs w:val="false"/>
                <w:i w:val="false"/>
                <w:iCs w:val="false"/>
                <w:color w:val="3D3D3D"/>
                <w:sz w:val="20"/>
                <w:szCs w:val="20"/>
              </w:rPr>
              <w:t xml:space="preserve">Loan referrals carry the highest per-transaction commission in Indian fintech. FinWise matches users to the right lender based on their income, CIBIL score, and loan purpose — sending pre-qualified leads. Partners include BajajFinserv, MoneyView, HDFC Ltd., Tata Capital, Lendingkart.</w:t>
            </w:r>
          </w:p>
          <w:p>
            <w:pPr>
              <w:spacing w:after="0" w:before="0"/>
              <w:jc w:val="left"/>
            </w:pPr>
            <w:r>
              <w:rPr>
                <w:rFonts w:ascii="Arial" w:cs="Arial" w:eastAsia="Arial" w:hAnsi="Arial"/>
                <w:b/>
                <w:bCs/>
                <w:i w:val="false"/>
                <w:iCs w:val="false"/>
                <w:color w:val="1A6B3C"/>
                <w:sz w:val="20"/>
                <w:szCs w:val="20"/>
              </w:rPr>
              <w:t xml:space="preserve">Commission: ₹1,000–₹5,000 per disbursed loan  |  Y1: ₹11.5L  |  Y3: ₹5.38 Cr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980"/>
      </w:tblGrid>
      <w:tr>
        <w:tc>
          <w:tcPr>
            <w:tcW w:type="dxa" w:w="380"/>
            <w:tcBorders>
              <w:top w:val="none" w:color="FFFFFF" w:sz="0"/>
              <w:left w:val="none" w:color="FFFFFF" w:sz="0"/>
              <w:bottom w:val="none" w:color="FFFFFF" w:sz="0"/>
              <w:right w:val="none" w:color="FFFFFF" w:sz="0"/>
            </w:tcBorders>
            <w:shd w:fill="4B2D8F" w:val="clear"/>
            <w:tcMar>
              <w:top w:type="dxa" w:w="0"/>
              <w:left w:type="dxa" w:w="0"/>
              <w:bottom w:type="dxa" w:w="0"/>
              <w:right w:type="dxa" w:w="0"/>
            </w:tcMar>
          </w:tcPr>
          <w:p>
            <w:pPr>
              <w:spacing w:after="0" w:before="160"/>
              <w:jc w:val="center"/>
            </w:pPr>
            <w:r>
              <w:rPr>
                <w:rFonts w:ascii="Arial" w:cs="Arial" w:eastAsia="Arial" w:hAnsi="Arial"/>
                <w:b/>
                <w:bCs/>
                <w:i w:val="false"/>
                <w:iCs w:val="false"/>
                <w:color w:val="FFFFFF"/>
                <w:sz w:val="28"/>
                <w:szCs w:val="28"/>
              </w:rPr>
              <w:t xml:space="preserve">04</w:t>
            </w:r>
          </w:p>
        </w:tc>
        <w:tc>
          <w:tcPr>
            <w:tcW w:type="dxa" w:w="8980"/>
            <w:tcBorders>
              <w:top w:val="single" w:color="E0E0E0" w:sz="1"/>
              <w:left w:val="single" w:color="4B2D8F" w:sz="12"/>
              <w:bottom w:val="single" w:color="E0E0E0" w:sz="1"/>
              <w:right w:val="single" w:color="E0E0E0" w:sz="1"/>
            </w:tcBorders>
            <w:shd w:fill="FAFAFA" w:val="clear"/>
            <w:tcMar>
              <w:top w:type="dxa" w:w="160"/>
              <w:left w:type="dxa" w:w="260"/>
              <w:bottom w:type="dxa" w:w="160"/>
              <w:right w:type="dxa" w:w="260"/>
            </w:tcMar>
          </w:tcPr>
          <w:p>
            <w:pPr>
              <w:spacing w:after="30" w:before="0"/>
              <w:jc w:val="left"/>
            </w:pPr>
            <w:r>
              <w:rPr>
                <w:rFonts w:ascii="Arial" w:cs="Arial" w:eastAsia="Arial" w:hAnsi="Arial"/>
                <w:b/>
                <w:bCs/>
                <w:i w:val="false"/>
                <w:iCs w:val="false"/>
                <w:color w:val="4B2D8F"/>
                <w:sz w:val="26"/>
                <w:szCs w:val="26"/>
              </w:rPr>
              <w:t xml:space="preserve">Premium Subscription (FinWise Pro / Elite)</w:t>
            </w:r>
          </w:p>
          <w:p>
            <w:pPr>
              <w:spacing w:after="100" w:before="0"/>
              <w:jc w:val="left"/>
            </w:pPr>
            <w:r>
              <w:rPr>
                <w:rFonts w:ascii="Arial" w:cs="Arial" w:eastAsia="Arial" w:hAnsi="Arial"/>
                <w:b w:val="false"/>
                <w:bCs w:val="false"/>
                <w:i/>
                <w:iCs/>
                <w:color w:val="6B6B6B"/>
                <w:sz w:val="19"/>
                <w:szCs w:val="19"/>
              </w:rPr>
              <w:t xml:space="preserve">₹99–₹349/month for power features, unlimited AI, and expert access</w:t>
            </w:r>
          </w:p>
          <w:p>
            <w:pPr>
              <w:spacing w:after="100" w:before="0"/>
              <w:jc w:val="left"/>
            </w:pPr>
            <w:r>
              <w:rPr>
                <w:rFonts w:ascii="Arial" w:cs="Arial" w:eastAsia="Arial" w:hAnsi="Arial"/>
                <w:b w:val="false"/>
                <w:bCs w:val="false"/>
                <w:i w:val="false"/>
                <w:iCs w:val="false"/>
                <w:color w:val="3D3D3D"/>
                <w:sz w:val="20"/>
                <w:szCs w:val="20"/>
              </w:rPr>
              <w:t xml:space="preserve">Free tier is limited to 5 queries/day and basic comparison. Pro (₹99) unlocks unlimited AI, CIBIL coaching, ad-free experience. Elite (₹249) adds monthly expert consultation calls. Family (₹349) covers 3 members. Target 4% MAU-to-paid conversion — industry-standard for fintech freemium.</w:t>
            </w:r>
          </w:p>
          <w:p>
            <w:pPr>
              <w:spacing w:after="0" w:before="0"/>
              <w:jc w:val="left"/>
            </w:pPr>
            <w:r>
              <w:rPr>
                <w:rFonts w:ascii="Arial" w:cs="Arial" w:eastAsia="Arial" w:hAnsi="Arial"/>
                <w:b/>
                <w:bCs/>
                <w:i w:val="false"/>
                <w:iCs w:val="false"/>
                <w:color w:val="4B2D8F"/>
                <w:sz w:val="20"/>
                <w:szCs w:val="20"/>
              </w:rPr>
              <w:t xml:space="preserve">ARPU: ₹130 (Pro) / ₹280 (Elite)  |  Y1: ₹34.4L  |  Y3: ₹7.92 Cr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980"/>
      </w:tblGrid>
      <w:tr>
        <w:tc>
          <w:tcPr>
            <w:tcW w:type="dxa" w:w="380"/>
            <w:tcBorders>
              <w:top w:val="none" w:color="FFFFFF" w:sz="0"/>
              <w:left w:val="none" w:color="FFFFFF" w:sz="0"/>
              <w:bottom w:val="none" w:color="FFFFFF" w:sz="0"/>
              <w:right w:val="none" w:color="FFFFFF" w:sz="0"/>
            </w:tcBorders>
            <w:shd w:fill="CA6F1E" w:val="clear"/>
            <w:tcMar>
              <w:top w:type="dxa" w:w="0"/>
              <w:left w:type="dxa" w:w="0"/>
              <w:bottom w:type="dxa" w:w="0"/>
              <w:right w:type="dxa" w:w="0"/>
            </w:tcMar>
          </w:tcPr>
          <w:p>
            <w:pPr>
              <w:spacing w:after="0" w:before="160"/>
              <w:jc w:val="center"/>
            </w:pPr>
            <w:r>
              <w:rPr>
                <w:rFonts w:ascii="Arial" w:cs="Arial" w:eastAsia="Arial" w:hAnsi="Arial"/>
                <w:b/>
                <w:bCs/>
                <w:i w:val="false"/>
                <w:iCs w:val="false"/>
                <w:color w:val="FFFFFF"/>
                <w:sz w:val="28"/>
                <w:szCs w:val="28"/>
              </w:rPr>
              <w:t xml:space="preserve">05</w:t>
            </w:r>
          </w:p>
        </w:tc>
        <w:tc>
          <w:tcPr>
            <w:tcW w:type="dxa" w:w="8980"/>
            <w:tcBorders>
              <w:top w:val="single" w:color="E0E0E0" w:sz="1"/>
              <w:left w:val="single" w:color="CA6F1E" w:sz="12"/>
              <w:bottom w:val="single" w:color="E0E0E0" w:sz="1"/>
              <w:right w:val="single" w:color="E0E0E0" w:sz="1"/>
            </w:tcBorders>
            <w:shd w:fill="FAFAFA" w:val="clear"/>
            <w:tcMar>
              <w:top w:type="dxa" w:w="160"/>
              <w:left w:type="dxa" w:w="260"/>
              <w:bottom w:type="dxa" w:w="160"/>
              <w:right w:type="dxa" w:w="260"/>
            </w:tcMar>
          </w:tcPr>
          <w:p>
            <w:pPr>
              <w:spacing w:after="30" w:before="0"/>
              <w:jc w:val="left"/>
            </w:pPr>
            <w:r>
              <w:rPr>
                <w:rFonts w:ascii="Arial" w:cs="Arial" w:eastAsia="Arial" w:hAnsi="Arial"/>
                <w:b/>
                <w:bCs/>
                <w:i w:val="false"/>
                <w:iCs w:val="false"/>
                <w:color w:val="CA6F1E"/>
                <w:sz w:val="26"/>
                <w:szCs w:val="26"/>
              </w:rPr>
              <w:t xml:space="preserve">Insurance Referrals</w:t>
            </w:r>
          </w:p>
          <w:p>
            <w:pPr>
              <w:spacing w:after="100" w:before="0"/>
              <w:jc w:val="left"/>
            </w:pPr>
            <w:r>
              <w:rPr>
                <w:rFonts w:ascii="Arial" w:cs="Arial" w:eastAsia="Arial" w:hAnsi="Arial"/>
                <w:b w:val="false"/>
                <w:bCs w:val="false"/>
                <w:i/>
                <w:iCs/>
                <w:color w:val="6B6B6B"/>
                <w:sz w:val="19"/>
                <w:szCs w:val="19"/>
              </w:rPr>
              <w:t xml:space="preserve">Term life, health &amp; vehicle insurance commission when users discover insurance need</w:t>
            </w:r>
          </w:p>
          <w:p>
            <w:pPr>
              <w:spacing w:after="100" w:before="0"/>
              <w:jc w:val="left"/>
            </w:pPr>
            <w:r>
              <w:rPr>
                <w:rFonts w:ascii="Arial" w:cs="Arial" w:eastAsia="Arial" w:hAnsi="Arial"/>
                <w:b w:val="false"/>
                <w:bCs w:val="false"/>
                <w:i w:val="false"/>
                <w:iCs w:val="false"/>
                <w:color w:val="3D3D3D"/>
                <w:sz w:val="20"/>
                <w:szCs w:val="20"/>
              </w:rPr>
              <w:t xml:space="preserve">Financial literacy naturally leads to insurance discovery. A user learning about emergency funds hears about term insurance. FinWise routes to PolicyBazaar, Ditto, or direct insurers. Commission per policy: ₹800–₹5,000.</w:t>
            </w:r>
          </w:p>
          <w:p>
            <w:pPr>
              <w:spacing w:after="0" w:before="0"/>
              <w:jc w:val="left"/>
            </w:pPr>
            <w:r>
              <w:rPr>
                <w:rFonts w:ascii="Arial" w:cs="Arial" w:eastAsia="Arial" w:hAnsi="Arial"/>
                <w:b/>
                <w:bCs/>
                <w:i w:val="false"/>
                <w:iCs w:val="false"/>
                <w:color w:val="CA6F1E"/>
                <w:sz w:val="20"/>
                <w:szCs w:val="20"/>
              </w:rPr>
              <w:t xml:space="preserve">Activates: Month 8  |  Y2: ₹50L  |  Y3: ₹1.5 Cr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980"/>
      </w:tblGrid>
      <w:tr>
        <w:tc>
          <w:tcPr>
            <w:tcW w:type="dxa" w:w="38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spacing w:after="0" w:before="160"/>
              <w:jc w:val="center"/>
            </w:pPr>
            <w:r>
              <w:rPr>
                <w:rFonts w:ascii="Arial" w:cs="Arial" w:eastAsia="Arial" w:hAnsi="Arial"/>
                <w:b/>
                <w:bCs/>
                <w:i w:val="false"/>
                <w:iCs w:val="false"/>
                <w:color w:val="FFFFFF"/>
                <w:sz w:val="28"/>
                <w:szCs w:val="28"/>
              </w:rPr>
              <w:t xml:space="preserve">06</w:t>
            </w:r>
          </w:p>
        </w:tc>
        <w:tc>
          <w:tcPr>
            <w:tcW w:type="dxa" w:w="8980"/>
            <w:tcBorders>
              <w:top w:val="single" w:color="E0E0E0" w:sz="1"/>
              <w:left w:val="single" w:color="1A5276" w:sz="12"/>
              <w:bottom w:val="single" w:color="E0E0E0" w:sz="1"/>
              <w:right w:val="single" w:color="E0E0E0" w:sz="1"/>
            </w:tcBorders>
            <w:shd w:fill="FAFAFA" w:val="clear"/>
            <w:tcMar>
              <w:top w:type="dxa" w:w="160"/>
              <w:left w:type="dxa" w:w="260"/>
              <w:bottom w:type="dxa" w:w="160"/>
              <w:right w:type="dxa" w:w="260"/>
            </w:tcMar>
          </w:tcPr>
          <w:p>
            <w:pPr>
              <w:spacing w:after="30" w:before="0"/>
              <w:jc w:val="left"/>
            </w:pPr>
            <w:r>
              <w:rPr>
                <w:rFonts w:ascii="Arial" w:cs="Arial" w:eastAsia="Arial" w:hAnsi="Arial"/>
                <w:b/>
                <w:bCs/>
                <w:i w:val="false"/>
                <w:iCs w:val="false"/>
                <w:color w:val="1A5276"/>
                <w:sz w:val="26"/>
                <w:szCs w:val="26"/>
              </w:rPr>
              <w:t xml:space="preserve">White-label AI API (B2B)</w:t>
            </w:r>
          </w:p>
          <w:p>
            <w:pPr>
              <w:spacing w:after="100" w:before="0"/>
              <w:jc w:val="left"/>
            </w:pPr>
            <w:r>
              <w:rPr>
                <w:rFonts w:ascii="Arial" w:cs="Arial" w:eastAsia="Arial" w:hAnsi="Arial"/>
                <w:b w:val="false"/>
                <w:bCs w:val="false"/>
                <w:i/>
                <w:iCs/>
                <w:color w:val="6B6B6B"/>
                <w:sz w:val="19"/>
                <w:szCs w:val="19"/>
              </w:rPr>
              <w:t xml:space="preserve">License the fine-tuned finance LLM to banks, NBFCs, and fintechs</w:t>
            </w:r>
          </w:p>
          <w:p>
            <w:pPr>
              <w:spacing w:after="100" w:before="0"/>
              <w:jc w:val="left"/>
            </w:pPr>
            <w:r>
              <w:rPr>
                <w:rFonts w:ascii="Arial" w:cs="Arial" w:eastAsia="Arial" w:hAnsi="Arial"/>
                <w:b w:val="false"/>
                <w:bCs w:val="false"/>
                <w:i w:val="false"/>
                <w:iCs w:val="false"/>
                <w:color w:val="3D3D3D"/>
                <w:sz w:val="20"/>
                <w:szCs w:val="20"/>
              </w:rPr>
              <w:t xml:space="preserve">After 12 months of real-world performance data, FinWise licenses its model to organizations that need a financial AI assistant but lack ML capability. Starter (₹25K/month), Business (₹75K/month), Enterprise (₹2-5L/month). High-margin, recurring, defensible.</w:t>
            </w:r>
          </w:p>
          <w:p>
            <w:pPr>
              <w:spacing w:after="0" w:before="0"/>
              <w:jc w:val="left"/>
            </w:pPr>
            <w:r>
              <w:rPr>
                <w:rFonts w:ascii="Arial" w:cs="Arial" w:eastAsia="Arial" w:hAnsi="Arial"/>
                <w:b/>
                <w:bCs/>
                <w:i w:val="false"/>
                <w:iCs w:val="false"/>
                <w:color w:val="1A5276"/>
                <w:sz w:val="20"/>
                <w:szCs w:val="20"/>
              </w:rPr>
              <w:t xml:space="preserve">Activates: Month 14  |  Y2: ₹36L  |  Y3: ₹1.86 Cr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980"/>
      </w:tblGrid>
      <w:tr>
        <w:tc>
          <w:tcPr>
            <w:tcW w:type="dxa" w:w="380"/>
            <w:tcBorders>
              <w:top w:val="none" w:color="FFFFFF" w:sz="0"/>
              <w:left w:val="none" w:color="FFFFFF" w:sz="0"/>
              <w:bottom w:val="none" w:color="FFFFFF" w:sz="0"/>
              <w:right w:val="none" w:color="FFFFFF" w:sz="0"/>
            </w:tcBorders>
            <w:shd w:fill="A93226" w:val="clear"/>
            <w:tcMar>
              <w:top w:type="dxa" w:w="0"/>
              <w:left w:type="dxa" w:w="0"/>
              <w:bottom w:type="dxa" w:w="0"/>
              <w:right w:type="dxa" w:w="0"/>
            </w:tcMar>
          </w:tcPr>
          <w:p>
            <w:pPr>
              <w:spacing w:after="0" w:before="160"/>
              <w:jc w:val="center"/>
            </w:pPr>
            <w:r>
              <w:rPr>
                <w:rFonts w:ascii="Arial" w:cs="Arial" w:eastAsia="Arial" w:hAnsi="Arial"/>
                <w:b/>
                <w:bCs/>
                <w:i w:val="false"/>
                <w:iCs w:val="false"/>
                <w:color w:val="FFFFFF"/>
                <w:sz w:val="28"/>
                <w:szCs w:val="28"/>
              </w:rPr>
              <w:t xml:space="preserve">07</w:t>
            </w:r>
          </w:p>
        </w:tc>
        <w:tc>
          <w:tcPr>
            <w:tcW w:type="dxa" w:w="8980"/>
            <w:tcBorders>
              <w:top w:val="single" w:color="E0E0E0" w:sz="1"/>
              <w:left w:val="single" w:color="A93226" w:sz="12"/>
              <w:bottom w:val="single" w:color="E0E0E0" w:sz="1"/>
              <w:right w:val="single" w:color="E0E0E0" w:sz="1"/>
            </w:tcBorders>
            <w:shd w:fill="FAFAFA" w:val="clear"/>
            <w:tcMar>
              <w:top w:type="dxa" w:w="160"/>
              <w:left w:type="dxa" w:w="260"/>
              <w:bottom w:type="dxa" w:w="160"/>
              <w:right w:type="dxa" w:w="260"/>
            </w:tcMar>
          </w:tcPr>
          <w:p>
            <w:pPr>
              <w:spacing w:after="30" w:before="0"/>
              <w:jc w:val="left"/>
            </w:pPr>
            <w:r>
              <w:rPr>
                <w:rFonts w:ascii="Arial" w:cs="Arial" w:eastAsia="Arial" w:hAnsi="Arial"/>
                <w:b/>
                <w:bCs/>
                <w:i w:val="false"/>
                <w:iCs w:val="false"/>
                <w:color w:val="A93226"/>
                <w:sz w:val="26"/>
                <w:szCs w:val="26"/>
              </w:rPr>
              <w:t xml:space="preserve">BNPL / EMI Partnership Commissions</w:t>
            </w:r>
          </w:p>
          <w:p>
            <w:pPr>
              <w:spacing w:after="100" w:before="0"/>
              <w:jc w:val="left"/>
            </w:pPr>
            <w:r>
              <w:rPr>
                <w:rFonts w:ascii="Arial" w:cs="Arial" w:eastAsia="Arial" w:hAnsi="Arial"/>
                <w:b w:val="false"/>
                <w:bCs w:val="false"/>
                <w:i/>
                <w:iCs/>
                <w:color w:val="6B6B6B"/>
                <w:sz w:val="19"/>
                <w:szCs w:val="19"/>
              </w:rPr>
              <w:t xml:space="preserve">Revenue from Buy-Now-Pay-Later and no-cost EMI integrations</w:t>
            </w:r>
          </w:p>
          <w:p>
            <w:pPr>
              <w:spacing w:after="100" w:before="0"/>
              <w:jc w:val="left"/>
            </w:pPr>
            <w:r>
              <w:rPr>
                <w:rFonts w:ascii="Arial" w:cs="Arial" w:eastAsia="Arial" w:hAnsi="Arial"/>
                <w:b w:val="false"/>
                <w:bCs w:val="false"/>
                <w:i w:val="false"/>
                <w:iCs w:val="false"/>
                <w:color w:val="3D3D3D"/>
                <w:sz w:val="20"/>
                <w:szCs w:val="20"/>
              </w:rPr>
              <w:t xml:space="preserve">When users calculate EMIs or search for small-ticket credit, FinWise surfaces BNPL options from Simpl, LazyPay, and e-commerce EMI partners. Commission per activated account: ₹150–₹400. Low effort, high volume at scale.</w:t>
            </w:r>
          </w:p>
          <w:p>
            <w:pPr>
              <w:spacing w:after="0" w:before="0"/>
              <w:jc w:val="left"/>
            </w:pPr>
            <w:r>
              <w:rPr>
                <w:rFonts w:ascii="Arial" w:cs="Arial" w:eastAsia="Arial" w:hAnsi="Arial"/>
                <w:b/>
                <w:bCs/>
                <w:i w:val="false"/>
                <w:iCs w:val="false"/>
                <w:color w:val="A93226"/>
                <w:sz w:val="20"/>
                <w:szCs w:val="20"/>
              </w:rPr>
              <w:t xml:space="preserve">Y1: ₹3L  |  Y2: ₹22L  |  Y3: ₹80L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980"/>
      </w:tblGrid>
      <w:tr>
        <w:tc>
          <w:tcPr>
            <w:tcW w:type="dxa" w:w="380"/>
            <w:tcBorders>
              <w:top w:val="none" w:color="FFFFFF" w:sz="0"/>
              <w:left w:val="none" w:color="FFFFFF" w:sz="0"/>
              <w:bottom w:val="none" w:color="FFFFFF" w:sz="0"/>
              <w:right w:val="none" w:color="FFFFFF" w:sz="0"/>
            </w:tcBorders>
            <w:shd w:fill="0B2545" w:val="clear"/>
            <w:tcMar>
              <w:top w:type="dxa" w:w="0"/>
              <w:left w:type="dxa" w:w="0"/>
              <w:bottom w:type="dxa" w:w="0"/>
              <w:right w:type="dxa" w:w="0"/>
            </w:tcMar>
          </w:tcPr>
          <w:p>
            <w:pPr>
              <w:spacing w:after="0" w:before="160"/>
              <w:jc w:val="center"/>
            </w:pPr>
            <w:r>
              <w:rPr>
                <w:rFonts w:ascii="Arial" w:cs="Arial" w:eastAsia="Arial" w:hAnsi="Arial"/>
                <w:b/>
                <w:bCs/>
                <w:i w:val="false"/>
                <w:iCs w:val="false"/>
                <w:color w:val="FFFFFF"/>
                <w:sz w:val="28"/>
                <w:szCs w:val="28"/>
              </w:rPr>
              <w:t xml:space="preserve">08</w:t>
            </w:r>
          </w:p>
        </w:tc>
        <w:tc>
          <w:tcPr>
            <w:tcW w:type="dxa" w:w="8980"/>
            <w:tcBorders>
              <w:top w:val="single" w:color="E0E0E0" w:sz="1"/>
              <w:left w:val="single" w:color="0B2545" w:sz="12"/>
              <w:bottom w:val="single" w:color="E0E0E0" w:sz="1"/>
              <w:right w:val="single" w:color="E0E0E0" w:sz="1"/>
            </w:tcBorders>
            <w:shd w:fill="FAFAFA" w:val="clear"/>
            <w:tcMar>
              <w:top w:type="dxa" w:w="160"/>
              <w:left w:type="dxa" w:w="260"/>
              <w:bottom w:type="dxa" w:w="160"/>
              <w:right w:type="dxa" w:w="260"/>
            </w:tcMar>
          </w:tcPr>
          <w:p>
            <w:pPr>
              <w:spacing w:after="30" w:before="0"/>
              <w:jc w:val="left"/>
            </w:pPr>
            <w:r>
              <w:rPr>
                <w:rFonts w:ascii="Arial" w:cs="Arial" w:eastAsia="Arial" w:hAnsi="Arial"/>
                <w:b/>
                <w:bCs/>
                <w:i w:val="false"/>
                <w:iCs w:val="false"/>
                <w:color w:val="0B2545"/>
                <w:sz w:val="26"/>
                <w:szCs w:val="26"/>
              </w:rPr>
              <w:t xml:space="preserve">FinWise Academy — Paid Courses</w:t>
            </w:r>
          </w:p>
          <w:p>
            <w:pPr>
              <w:spacing w:after="100" w:before="0"/>
              <w:jc w:val="left"/>
            </w:pPr>
            <w:r>
              <w:rPr>
                <w:rFonts w:ascii="Arial" w:cs="Arial" w:eastAsia="Arial" w:hAnsi="Arial"/>
                <w:b w:val="false"/>
                <w:bCs w:val="false"/>
                <w:i/>
                <w:iCs/>
                <w:color w:val="6B6B6B"/>
                <w:sz w:val="19"/>
                <w:szCs w:val="19"/>
              </w:rPr>
              <w:t xml:space="preserve">One-time purchase micro-courses on personal finance topics</w:t>
            </w:r>
          </w:p>
          <w:p>
            <w:pPr>
              <w:spacing w:after="100" w:before="0"/>
              <w:jc w:val="left"/>
            </w:pPr>
            <w:r>
              <w:rPr>
                <w:rFonts w:ascii="Arial" w:cs="Arial" w:eastAsia="Arial" w:hAnsi="Arial"/>
                <w:b w:val="false"/>
                <w:bCs w:val="false"/>
                <w:i w:val="false"/>
                <w:iCs w:val="false"/>
                <w:color w:val="3D3D3D"/>
                <w:sz w:val="20"/>
                <w:szCs w:val="20"/>
              </w:rPr>
              <w:t xml:space="preserve">'Credit Card Mastery' (₹299), 'Loan Negotiation Playbook' (₹199), 'CIBIL Repair Guide' (₹149), 'Tax + Card Bundle' (₹499). Produced once, sold repeatedly. 80%+ gross margin. Reinforces FinWise as a financial education brand.</w:t>
            </w:r>
          </w:p>
          <w:p>
            <w:pPr>
              <w:spacing w:after="0" w:before="0"/>
              <w:jc w:val="left"/>
            </w:pPr>
            <w:r>
              <w:rPr>
                <w:rFonts w:ascii="Arial" w:cs="Arial" w:eastAsia="Arial" w:hAnsi="Arial"/>
                <w:b/>
                <w:bCs/>
                <w:i w:val="false"/>
                <w:iCs w:val="false"/>
                <w:color w:val="0B2545"/>
                <w:sz w:val="20"/>
                <w:szCs w:val="20"/>
              </w:rPr>
              <w:t xml:space="preserve">Activates: Month 10  |  Y2: ₹26.5L  |  Y3: ₹80L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2545"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06</w:t>
            </w:r>
          </w:p>
        </w:tc>
        <w:tc>
          <w:tcPr>
            <w:tcW w:type="dxa" w:w="8560"/>
            <w:tcBorders>
              <w:top w:val="none" w:color="FFFFFF" w:sz="0"/>
              <w:left w:val="none" w:color="FFFFFF" w:sz="0"/>
              <w:bottom w:val="single" w:color="0B2545"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0B2545"/>
                <w:sz w:val="32"/>
                <w:szCs w:val="32"/>
              </w:rPr>
              <w:t xml:space="preserve">Financial Projections — 5-Year Model</w:t>
            </w:r>
          </w:p>
        </w:tc>
      </w:tr>
    </w:tbl>
    <w:p>
      <w:pPr>
        <w:spacing w:after="0" w:before="100"/>
      </w:pPr>
      <w:r>
        <w:t xml:space="preserve"/>
      </w:r>
    </w:p>
    <w:p>
      <w:pPr>
        <w:spacing w:after="80" w:before="80"/>
        <w:jc w:val="left"/>
      </w:pPr>
      <w:r>
        <w:rPr>
          <w:rFonts w:ascii="Arial" w:cs="Arial" w:eastAsia="Arial" w:hAnsi="Arial"/>
          <w:b/>
          <w:bCs/>
          <w:i w:val="false"/>
          <w:iCs w:val="false"/>
          <w:color w:val="0B2545"/>
          <w:sz w:val="24"/>
          <w:szCs w:val="24"/>
        </w:rPr>
        <w:t xml:space="preserve">6.1  Revenue by Stream (₹ in Lakhs)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1100"/>
        <w:gridCol w:w="1100"/>
        <w:gridCol w:w="1560"/>
      </w:tblGrid>
      <w:tr>
        <w:tc>
          <w:tcPr>
            <w:tcW w:type="dxa" w:w="28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Revenue Stream</w:t>
            </w:r>
          </w:p>
        </w:tc>
        <w:tc>
          <w:tcPr>
            <w:tcW w:type="dxa" w:w="9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Y1</w:t>
            </w:r>
          </w:p>
        </w:tc>
        <w:tc>
          <w:tcPr>
            <w:tcW w:type="dxa" w:w="9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Y2</w:t>
            </w:r>
          </w:p>
        </w:tc>
        <w:tc>
          <w:tcPr>
            <w:tcW w:type="dxa" w:w="11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Y3</w:t>
            </w:r>
          </w:p>
        </w:tc>
        <w:tc>
          <w:tcPr>
            <w:tcW w:type="dxa" w:w="11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Y4</w:t>
            </w:r>
          </w:p>
        </w:tc>
        <w:tc>
          <w:tcPr>
            <w:tcW w:type="dxa" w:w="15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Y5</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 Card Referral</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32</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283</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1,660</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3,200</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5,000</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 Sponsorships</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53</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180</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376</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640</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960</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 Loan Referral</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11.5</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103</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538</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1,100</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1,800</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 Subscriptions</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34.4</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198</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792</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1,500</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2,400</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 Insurance Referral</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50</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150</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360</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650</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 B2B API</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36</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186</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480</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900</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 BNPL Commissions</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22</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80</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180</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320</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 Academy Courses</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26.5</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80</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160</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280</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TOTAL (₹ Lakhs)</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133.9</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898.5</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3,862</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7,620</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12,310</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TOTAL (₹ Crores)</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1.34</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8.99</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38.62</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76.20</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123.10</w:t>
            </w:r>
          </w:p>
        </w:tc>
      </w:tr>
    </w:tbl>
    <w:p>
      <w:pPr>
        <w:spacing w:after="0" w:before="140"/>
      </w:pPr>
      <w:r>
        <w:t xml:space="preserve"/>
      </w:r>
    </w:p>
    <w:p>
      <w:pPr>
        <w:spacing w:after="80" w:before="80"/>
        <w:jc w:val="left"/>
      </w:pPr>
      <w:r>
        <w:rPr>
          <w:rFonts w:ascii="Arial" w:cs="Arial" w:eastAsia="Arial" w:hAnsi="Arial"/>
          <w:b/>
          <w:bCs/>
          <w:i w:val="false"/>
          <w:iCs w:val="false"/>
          <w:color w:val="0B2545"/>
          <w:sz w:val="24"/>
          <w:szCs w:val="24"/>
        </w:rPr>
        <w:t xml:space="preserve">6.2  Cost Structure (₹ in Lakhs)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1100"/>
        <w:gridCol w:w="1100"/>
        <w:gridCol w:w="1560"/>
      </w:tblGrid>
      <w:tr>
        <w:tc>
          <w:tcPr>
            <w:tcW w:type="dxa" w:w="28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Cost Category</w:t>
            </w:r>
          </w:p>
        </w:tc>
        <w:tc>
          <w:tcPr>
            <w:tcW w:type="dxa" w:w="9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Y1</w:t>
            </w:r>
          </w:p>
        </w:tc>
        <w:tc>
          <w:tcPr>
            <w:tcW w:type="dxa" w:w="9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Y2</w:t>
            </w:r>
          </w:p>
        </w:tc>
        <w:tc>
          <w:tcPr>
            <w:tcW w:type="dxa" w:w="11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Y3</w:t>
            </w:r>
          </w:p>
        </w:tc>
        <w:tc>
          <w:tcPr>
            <w:tcW w:type="dxa" w:w="11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Y4</w:t>
            </w:r>
          </w:p>
        </w:tc>
        <w:tc>
          <w:tcPr>
            <w:tcW w:type="dxa" w:w="15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Y5</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Team (salaries)</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72</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240</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600</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1,200</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2,000</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Infrastructure / Servers</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24</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60</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120</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200</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Model Training &amp; Compute</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15</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30</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50</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80</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Marketing &amp; Acquisition</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24</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96</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240</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480</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800</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Legal &amp; Compliance</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18</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48</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100</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180</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Platform &amp; SaaS Tools</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18</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36</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60</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Affiliate Payouts</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12</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48</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96</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160</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Office &amp; Misc.</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16</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30</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50</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TOTAL COSTS (₹ Lakhs)</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121</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419</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1,060</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2,112</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3,530</w:t>
            </w:r>
          </w:p>
        </w:tc>
      </w:tr>
    </w:tbl>
    <w:p>
      <w:pPr>
        <w:spacing w:after="0" w:before="140"/>
      </w:pPr>
      <w:r>
        <w:t xml:space="preserve"/>
      </w:r>
    </w:p>
    <w:p>
      <w:pPr>
        <w:spacing w:after="80" w:before="80"/>
        <w:jc w:val="left"/>
      </w:pPr>
      <w:r>
        <w:rPr>
          <w:rFonts w:ascii="Arial" w:cs="Arial" w:eastAsia="Arial" w:hAnsi="Arial"/>
          <w:b/>
          <w:bCs/>
          <w:i w:val="false"/>
          <w:iCs w:val="false"/>
          <w:color w:val="0B2545"/>
          <w:sz w:val="24"/>
          <w:szCs w:val="24"/>
        </w:rPr>
        <w:t xml:space="preserve">6.3  Profit &amp; Loss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20"/>
        <w:gridCol w:w="1020"/>
        <w:gridCol w:w="1020"/>
        <w:gridCol w:w="1240"/>
        <w:gridCol w:w="1260"/>
      </w:tblGrid>
      <w:tr>
        <w:tc>
          <w:tcPr>
            <w:tcW w:type="dxa" w:w="28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P&amp;L Metric</w:t>
            </w:r>
          </w:p>
        </w:tc>
        <w:tc>
          <w:tcPr>
            <w:tcW w:type="dxa" w:w="102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Y1</w:t>
            </w:r>
          </w:p>
        </w:tc>
        <w:tc>
          <w:tcPr>
            <w:tcW w:type="dxa" w:w="102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Y2</w:t>
            </w:r>
          </w:p>
        </w:tc>
        <w:tc>
          <w:tcPr>
            <w:tcW w:type="dxa" w:w="102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Y3</w:t>
            </w:r>
          </w:p>
        </w:tc>
        <w:tc>
          <w:tcPr>
            <w:tcW w:type="dxa" w:w="124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Y4</w:t>
            </w:r>
          </w:p>
        </w:tc>
        <w:tc>
          <w:tcPr>
            <w:tcW w:type="dxa" w:w="12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Y5</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Revenue (₹ Cr)</w:t>
            </w:r>
          </w:p>
        </w:tc>
        <w:tc>
          <w:tcPr>
            <w:tcW w:type="dxa" w:w="10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1.34</w:t>
            </w:r>
          </w:p>
        </w:tc>
        <w:tc>
          <w:tcPr>
            <w:tcW w:type="dxa" w:w="10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8.99</w:t>
            </w:r>
          </w:p>
        </w:tc>
        <w:tc>
          <w:tcPr>
            <w:tcW w:type="dxa" w:w="10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38.62</w:t>
            </w:r>
          </w:p>
        </w:tc>
        <w:tc>
          <w:tcPr>
            <w:tcW w:type="dxa" w:w="124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76.20</w:t>
            </w:r>
          </w:p>
        </w:tc>
        <w:tc>
          <w:tcPr>
            <w:tcW w:type="dxa" w:w="12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123.10</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Total Costs (₹ Cr)</w:t>
            </w:r>
          </w:p>
        </w:tc>
        <w:tc>
          <w:tcPr>
            <w:tcW w:type="dxa" w:w="10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1.21</w:t>
            </w:r>
          </w:p>
        </w:tc>
        <w:tc>
          <w:tcPr>
            <w:tcW w:type="dxa" w:w="10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4.19</w:t>
            </w:r>
          </w:p>
        </w:tc>
        <w:tc>
          <w:tcPr>
            <w:tcW w:type="dxa" w:w="10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10.60</w:t>
            </w:r>
          </w:p>
        </w:tc>
        <w:tc>
          <w:tcPr>
            <w:tcW w:type="dxa" w:w="124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21.12</w:t>
            </w:r>
          </w:p>
        </w:tc>
        <w:tc>
          <w:tcPr>
            <w:tcW w:type="dxa" w:w="12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35.30</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EBITDA (₹ Cr)</w:t>
            </w:r>
          </w:p>
        </w:tc>
        <w:tc>
          <w:tcPr>
            <w:tcW w:type="dxa" w:w="10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+0.13</w:t>
            </w:r>
          </w:p>
        </w:tc>
        <w:tc>
          <w:tcPr>
            <w:tcW w:type="dxa" w:w="10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+4.80</w:t>
            </w:r>
          </w:p>
        </w:tc>
        <w:tc>
          <w:tcPr>
            <w:tcW w:type="dxa" w:w="10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+28.02</w:t>
            </w:r>
          </w:p>
        </w:tc>
        <w:tc>
          <w:tcPr>
            <w:tcW w:type="dxa" w:w="124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+55.08</w:t>
            </w:r>
          </w:p>
        </w:tc>
        <w:tc>
          <w:tcPr>
            <w:tcW w:type="dxa" w:w="12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+87.80</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EBITDA Margin</w:t>
            </w:r>
          </w:p>
        </w:tc>
        <w:tc>
          <w:tcPr>
            <w:tcW w:type="dxa" w:w="10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9.7%</w:t>
            </w:r>
          </w:p>
        </w:tc>
        <w:tc>
          <w:tcPr>
            <w:tcW w:type="dxa" w:w="10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53.4%</w:t>
            </w:r>
          </w:p>
        </w:tc>
        <w:tc>
          <w:tcPr>
            <w:tcW w:type="dxa" w:w="10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72.6%</w:t>
            </w:r>
          </w:p>
        </w:tc>
        <w:tc>
          <w:tcPr>
            <w:tcW w:type="dxa" w:w="124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72.3%</w:t>
            </w:r>
          </w:p>
        </w:tc>
        <w:tc>
          <w:tcPr>
            <w:tcW w:type="dxa" w:w="12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71.3%</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Cash-flow Positive</w:t>
            </w:r>
          </w:p>
        </w:tc>
        <w:tc>
          <w:tcPr>
            <w:tcW w:type="dxa" w:w="10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Month 11</w:t>
            </w:r>
          </w:p>
        </w:tc>
        <w:tc>
          <w:tcPr>
            <w:tcW w:type="dxa" w:w="10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w:t>
            </w:r>
          </w:p>
        </w:tc>
        <w:tc>
          <w:tcPr>
            <w:tcW w:type="dxa" w:w="10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w:t>
            </w:r>
          </w:p>
        </w:tc>
        <w:tc>
          <w:tcPr>
            <w:tcW w:type="dxa" w:w="124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MAU</w:t>
            </w:r>
          </w:p>
        </w:tc>
        <w:tc>
          <w:tcPr>
            <w:tcW w:type="dxa" w:w="10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50K</w:t>
            </w:r>
          </w:p>
        </w:tc>
        <w:tc>
          <w:tcPr>
            <w:tcW w:type="dxa" w:w="10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2.5L</w:t>
            </w:r>
          </w:p>
        </w:tc>
        <w:tc>
          <w:tcPr>
            <w:tcW w:type="dxa" w:w="102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10L</w:t>
            </w:r>
          </w:p>
        </w:tc>
        <w:tc>
          <w:tcPr>
            <w:tcW w:type="dxa" w:w="124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22L</w:t>
            </w:r>
          </w:p>
        </w:tc>
        <w:tc>
          <w:tcPr>
            <w:tcW w:type="dxa" w:w="12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40L</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Paying Subscribers</w:t>
            </w:r>
          </w:p>
        </w:tc>
        <w:tc>
          <w:tcPr>
            <w:tcW w:type="dxa" w:w="10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2,000</w:t>
            </w:r>
          </w:p>
        </w:tc>
        <w:tc>
          <w:tcPr>
            <w:tcW w:type="dxa" w:w="10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11K</w:t>
            </w:r>
          </w:p>
        </w:tc>
        <w:tc>
          <w:tcPr>
            <w:tcW w:type="dxa" w:w="102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40K</w:t>
            </w:r>
          </w:p>
        </w:tc>
        <w:tc>
          <w:tcPr>
            <w:tcW w:type="dxa" w:w="124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88K</w:t>
            </w:r>
          </w:p>
        </w:tc>
        <w:tc>
          <w:tcPr>
            <w:tcW w:type="dxa" w:w="12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1.6L</w:t>
            </w:r>
          </w:p>
        </w:tc>
      </w:tr>
    </w:tbl>
    <w:p>
      <w:pPr>
        <w:spacing w:after="0" w:before="140"/>
      </w:pPr>
      <w:r>
        <w:t xml:space="preserve"/>
      </w:r>
    </w:p>
    <w:p>
      <w:pPr>
        <w:spacing w:after="80" w:before="80"/>
        <w:jc w:val="left"/>
      </w:pPr>
      <w:r>
        <w:rPr>
          <w:rFonts w:ascii="Arial" w:cs="Arial" w:eastAsia="Arial" w:hAnsi="Arial"/>
          <w:b/>
          <w:bCs/>
          <w:i w:val="false"/>
          <w:iCs w:val="false"/>
          <w:color w:val="0B2545"/>
          <w:sz w:val="24"/>
          <w:szCs w:val="24"/>
        </w:rPr>
        <w:t xml:space="preserve">6.4  Unit Economics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B2545" w:val="clear"/>
            <w:tcMar>
              <w:top w:type="dxa" w:w="160"/>
              <w:left w:type="dxa" w:w="120"/>
              <w:bottom w:type="dxa" w:w="160"/>
              <w:right w:type="dxa" w:w="120"/>
            </w:tcMar>
          </w:tcPr>
          <w:p>
            <w:pPr>
              <w:spacing w:after="20" w:before="0"/>
              <w:jc w:val="center"/>
            </w:pPr>
            <w:r>
              <w:rPr>
                <w:rFonts w:ascii="Arial" w:cs="Arial" w:eastAsia="Arial" w:hAnsi="Arial"/>
                <w:b/>
                <w:bCs/>
                <w:i w:val="false"/>
                <w:iCs w:val="false"/>
                <w:color w:val="FFFFFF"/>
                <w:sz w:val="44"/>
                <w:szCs w:val="44"/>
              </w:rPr>
              <w:t xml:space="preserve">₹150</w:t>
            </w:r>
          </w:p>
          <w:p>
            <w:pPr>
              <w:spacing w:after="16" w:before="0"/>
              <w:jc w:val="center"/>
            </w:pPr>
            <w:r>
              <w:rPr>
                <w:rFonts w:ascii="Arial" w:cs="Arial" w:eastAsia="Arial" w:hAnsi="Arial"/>
                <w:b/>
                <w:bCs/>
                <w:i w:val="false"/>
                <w:iCs w:val="false"/>
                <w:color w:val="DDDDDD"/>
                <w:sz w:val="18"/>
                <w:szCs w:val="18"/>
              </w:rPr>
              <w:t xml:space="preserve">CAC (Y1)</w:t>
            </w:r>
          </w:p>
          <w:p>
            <w:pPr>
              <w:spacing w:after="0" w:before="0"/>
              <w:jc w:val="center"/>
            </w:pPr>
            <w:r>
              <w:rPr>
                <w:rFonts w:ascii="Arial" w:cs="Arial" w:eastAsia="Arial" w:hAnsi="Arial"/>
                <w:b w:val="false"/>
                <w:bCs w:val="false"/>
                <w:i w:val="false"/>
                <w:iCs w:val="false"/>
                <w:color w:val="BBCCCC"/>
                <w:sz w:val="16"/>
                <w:szCs w:val="16"/>
              </w:rPr>
              <w:t xml:space="preserve">Cost per MAU acquired</w:t>
            </w:r>
          </w:p>
        </w:tc>
        <w:tc>
          <w:tcPr>
            <w:tcW w:type="dxa" w:w="2340"/>
            <w:tcBorders>
              <w:top w:val="none" w:color="FFFFFF" w:sz="0"/>
              <w:left w:val="none" w:color="FFFFFF" w:sz="0"/>
              <w:bottom w:val="none" w:color="FFFFFF" w:sz="0"/>
              <w:right w:val="none" w:color="FFFFFF" w:sz="0"/>
            </w:tcBorders>
            <w:shd w:fill="0E7C86" w:val="clear"/>
            <w:tcMar>
              <w:top w:type="dxa" w:w="160"/>
              <w:left w:type="dxa" w:w="120"/>
              <w:bottom w:type="dxa" w:w="160"/>
              <w:right w:type="dxa" w:w="120"/>
            </w:tcMar>
          </w:tcPr>
          <w:p>
            <w:pPr>
              <w:spacing w:after="20" w:before="0"/>
              <w:jc w:val="center"/>
            </w:pPr>
            <w:r>
              <w:rPr>
                <w:rFonts w:ascii="Arial" w:cs="Arial" w:eastAsia="Arial" w:hAnsi="Arial"/>
                <w:b/>
                <w:bCs/>
                <w:i w:val="false"/>
                <w:iCs w:val="false"/>
                <w:color w:val="FFFFFF"/>
                <w:sz w:val="44"/>
                <w:szCs w:val="44"/>
              </w:rPr>
              <w:t xml:space="preserve">₹950</w:t>
            </w:r>
          </w:p>
          <w:p>
            <w:pPr>
              <w:spacing w:after="16" w:before="0"/>
              <w:jc w:val="center"/>
            </w:pPr>
            <w:r>
              <w:rPr>
                <w:rFonts w:ascii="Arial" w:cs="Arial" w:eastAsia="Arial" w:hAnsi="Arial"/>
                <w:b/>
                <w:bCs/>
                <w:i w:val="false"/>
                <w:iCs w:val="false"/>
                <w:color w:val="DDDDDD"/>
                <w:sz w:val="18"/>
                <w:szCs w:val="18"/>
              </w:rPr>
              <w:t xml:space="preserve">LTV (18 months)</w:t>
            </w:r>
          </w:p>
          <w:p>
            <w:pPr>
              <w:spacing w:after="0" w:before="0"/>
              <w:jc w:val="center"/>
            </w:pPr>
            <w:r>
              <w:rPr>
                <w:rFonts w:ascii="Arial" w:cs="Arial" w:eastAsia="Arial" w:hAnsi="Arial"/>
                <w:b w:val="false"/>
                <w:bCs w:val="false"/>
                <w:i w:val="false"/>
                <w:iCs w:val="false"/>
                <w:color w:val="BBCCCC"/>
                <w:sz w:val="16"/>
                <w:szCs w:val="16"/>
              </w:rPr>
              <w:t xml:space="preserve">Per user lifetime value</w:t>
            </w:r>
          </w:p>
        </w:tc>
        <w:tc>
          <w:tcPr>
            <w:tcW w:type="dxa" w:w="2340"/>
            <w:tcBorders>
              <w:top w:val="none" w:color="FFFFFF" w:sz="0"/>
              <w:left w:val="none" w:color="FFFFFF" w:sz="0"/>
              <w:bottom w:val="none" w:color="FFFFFF" w:sz="0"/>
              <w:right w:val="none" w:color="FFFFFF" w:sz="0"/>
            </w:tcBorders>
            <w:shd w:fill="1A6B3C" w:val="clear"/>
            <w:tcMar>
              <w:top w:type="dxa" w:w="160"/>
              <w:left w:type="dxa" w:w="120"/>
              <w:bottom w:type="dxa" w:w="160"/>
              <w:right w:type="dxa" w:w="120"/>
            </w:tcMar>
          </w:tcPr>
          <w:p>
            <w:pPr>
              <w:spacing w:after="20" w:before="0"/>
              <w:jc w:val="center"/>
            </w:pPr>
            <w:r>
              <w:rPr>
                <w:rFonts w:ascii="Arial" w:cs="Arial" w:eastAsia="Arial" w:hAnsi="Arial"/>
                <w:b/>
                <w:bCs/>
                <w:i w:val="false"/>
                <w:iCs w:val="false"/>
                <w:color w:val="FFFFFF"/>
                <w:sz w:val="44"/>
                <w:szCs w:val="44"/>
              </w:rPr>
              <w:t xml:space="preserve">6.3x</w:t>
            </w:r>
          </w:p>
          <w:p>
            <w:pPr>
              <w:spacing w:after="16" w:before="0"/>
              <w:jc w:val="center"/>
            </w:pPr>
            <w:r>
              <w:rPr>
                <w:rFonts w:ascii="Arial" w:cs="Arial" w:eastAsia="Arial" w:hAnsi="Arial"/>
                <w:b/>
                <w:bCs/>
                <w:i w:val="false"/>
                <w:iCs w:val="false"/>
                <w:color w:val="DDDDDD"/>
                <w:sz w:val="18"/>
                <w:szCs w:val="18"/>
              </w:rPr>
              <w:t xml:space="preserve">LTV : CAC</w:t>
            </w:r>
          </w:p>
          <w:p>
            <w:pPr>
              <w:spacing w:after="0" w:before="0"/>
              <w:jc w:val="center"/>
            </w:pPr>
            <w:r>
              <w:rPr>
                <w:rFonts w:ascii="Arial" w:cs="Arial" w:eastAsia="Arial" w:hAnsi="Arial"/>
                <w:b w:val="false"/>
                <w:bCs w:val="false"/>
                <w:i w:val="false"/>
                <w:iCs w:val="false"/>
                <w:color w:val="BBCCCC"/>
                <w:sz w:val="16"/>
                <w:szCs w:val="16"/>
              </w:rPr>
              <w:t xml:space="preserve">Benchmark: 3x is healthy</w:t>
            </w:r>
          </w:p>
        </w:tc>
        <w:tc>
          <w:tcPr>
            <w:tcW w:type="dxa" w:w="2340"/>
            <w:tcBorders>
              <w:top w:val="none" w:color="FFFFFF" w:sz="0"/>
              <w:left w:val="none" w:color="FFFFFF" w:sz="0"/>
              <w:bottom w:val="none" w:color="FFFFFF" w:sz="0"/>
              <w:right w:val="none" w:color="FFFFFF" w:sz="0"/>
            </w:tcBorders>
            <w:shd w:fill="B7860A" w:val="clear"/>
            <w:tcMar>
              <w:top w:type="dxa" w:w="160"/>
              <w:left w:type="dxa" w:w="120"/>
              <w:bottom w:type="dxa" w:w="160"/>
              <w:right w:type="dxa" w:w="120"/>
            </w:tcMar>
          </w:tcPr>
          <w:p>
            <w:pPr>
              <w:spacing w:after="20" w:before="0"/>
              <w:jc w:val="center"/>
            </w:pPr>
            <w:r>
              <w:rPr>
                <w:rFonts w:ascii="Arial" w:cs="Arial" w:eastAsia="Arial" w:hAnsi="Arial"/>
                <w:b/>
                <w:bCs/>
                <w:i w:val="false"/>
                <w:iCs w:val="false"/>
                <w:color w:val="FFFFFF"/>
                <w:sz w:val="44"/>
                <w:szCs w:val="44"/>
              </w:rPr>
              <w:t xml:space="preserve">~5 mo</w:t>
            </w:r>
          </w:p>
          <w:p>
            <w:pPr>
              <w:spacing w:after="16" w:before="0"/>
              <w:jc w:val="center"/>
            </w:pPr>
            <w:r>
              <w:rPr>
                <w:rFonts w:ascii="Arial" w:cs="Arial" w:eastAsia="Arial" w:hAnsi="Arial"/>
                <w:b/>
                <w:bCs/>
                <w:i w:val="false"/>
                <w:iCs w:val="false"/>
                <w:color w:val="DDDDDD"/>
                <w:sz w:val="18"/>
                <w:szCs w:val="18"/>
              </w:rPr>
              <w:t xml:space="preserve">CAC Payback</w:t>
            </w:r>
          </w:p>
          <w:p>
            <w:pPr>
              <w:spacing w:after="0" w:before="0"/>
              <w:jc w:val="center"/>
            </w:pPr>
            <w:r>
              <w:rPr>
                <w:rFonts w:ascii="Arial" w:cs="Arial" w:eastAsia="Arial" w:hAnsi="Arial"/>
                <w:b w:val="false"/>
                <w:bCs w:val="false"/>
                <w:i w:val="false"/>
                <w:iCs w:val="false"/>
                <w:color w:val="BBCCCC"/>
                <w:sz w:val="16"/>
                <w:szCs w:val="16"/>
              </w:rPr>
              <w:t xml:space="preserve">Months to recover CAC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Free → Paid Conversion</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 (Y1) → 7% (Y3) — inline with fintech freemium benchmarks</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Card Referral Conversion</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 of recommendation sessions → approved applications</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Avg. Monthly Churn (Paid)</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 (Y1) falling to 3% (Y3) as product matures</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ARPU (blended, all MAU)</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₹22/MAU/month (Y1) → ₹38/MAU/month (Y3)</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Gross Margin at Scale</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~74% — driven by low marginal cost of local AI inference</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Revenue per Employee</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₹22L (Y1) → ₹84L (Y3) — strong leverage model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E7C86"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07</w:t>
            </w:r>
          </w:p>
        </w:tc>
        <w:tc>
          <w:tcPr>
            <w:tcW w:type="dxa" w:w="8560"/>
            <w:tcBorders>
              <w:top w:val="none" w:color="FFFFFF" w:sz="0"/>
              <w:left w:val="none" w:color="FFFFFF" w:sz="0"/>
              <w:bottom w:val="single" w:color="0E7C86"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0E7C86"/>
                <w:sz w:val="32"/>
                <w:szCs w:val="32"/>
              </w:rPr>
              <w:t xml:space="preserve">Go-To-Market Strategy</w:t>
            </w:r>
          </w:p>
        </w:tc>
      </w:tr>
    </w:tbl>
    <w:p>
      <w:pPr>
        <w:spacing w:after="0" w:before="100"/>
      </w:pPr>
      <w:r>
        <w:t xml:space="preserve"/>
      </w:r>
    </w:p>
    <w:p>
      <w:pPr>
        <w:spacing w:after="80" w:before="80"/>
        <w:jc w:val="left"/>
      </w:pPr>
      <w:r>
        <w:rPr>
          <w:rFonts w:ascii="Arial" w:cs="Arial" w:eastAsia="Arial" w:hAnsi="Arial"/>
          <w:b w:val="false"/>
          <w:bCs w:val="false"/>
          <w:i w:val="false"/>
          <w:iCs w:val="false"/>
          <w:color w:val="3D3D3D"/>
          <w:sz w:val="21"/>
          <w:szCs w:val="21"/>
        </w:rPr>
        <w:t xml:space="preserve">FinWise's GTM is built on trust and intent — capturing users at the exact moment they are searching for financial guidance, not carpet-bombing them with ads.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Phase</w:t>
            </w:r>
          </w:p>
        </w:tc>
        <w:tc>
          <w:tcPr>
            <w:tcW w:type="dxa" w:w="20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Timeline</w:t>
            </w:r>
          </w:p>
        </w:tc>
        <w:tc>
          <w:tcPr>
            <w:tcW w:type="dxa" w:w="61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Key Actions &amp; Channels</w:t>
            </w:r>
          </w:p>
        </w:tc>
      </w:tr>
      <w:tr>
        <w:tc>
          <w:tcPr>
            <w:tcW w:type="dxa" w:w="1200"/>
            <w:tcBorders>
              <w:top w:val="single" w:color="DDDDDD" w:sz="1"/>
              <w:left w:val="single" w:color="DDDDDD" w:sz="1"/>
              <w:bottom w:val="single" w:color="DDDDDD" w:sz="1"/>
              <w:right w:val="single" w:color="DDDDDD" w:sz="1"/>
            </w:tcBorders>
            <w:shd w:fill="0E7C86" w:val="clear"/>
            <w:tcMar>
              <w:top w:type="dxa" w:w="110"/>
              <w:left w:type="dxa" w:w="150"/>
              <w:bottom w:type="dxa" w:w="110"/>
              <w:right w:type="dxa" w:w="150"/>
            </w:tcMar>
          </w:tcPr>
          <w:p>
            <w:pPr>
              <w:jc w:val="center"/>
            </w:pPr>
            <w:r>
              <w:rPr>
                <w:rFonts w:ascii="Arial" w:cs="Arial" w:eastAsia="Arial" w:hAnsi="Arial"/>
                <w:b/>
                <w:bCs/>
                <w:color w:val="FFFFFF"/>
                <w:sz w:val="22"/>
                <w:szCs w:val="22"/>
              </w:rPr>
              <w:t xml:space="preserve">Phase 1</w:t>
            </w:r>
          </w:p>
        </w:tc>
        <w:tc>
          <w:tcPr>
            <w:tcW w:type="dxa" w:w="2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bCs/>
                <w:color w:val="0E7C86"/>
                <w:sz w:val="20"/>
                <w:szCs w:val="20"/>
              </w:rPr>
              <w:t xml:space="preserve">Month 1–4
MVP Launch</w:t>
            </w:r>
          </w:p>
        </w:tc>
        <w:tc>
          <w:tcPr>
            <w:tcW w:type="dxa" w:w="6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spacing w:after="30" w:before="30"/>
              <w:jc w:val="left"/>
            </w:pPr>
            <w:r>
              <w:rPr>
                <w:rFonts w:ascii="Arial" w:cs="Arial" w:eastAsia="Arial" w:hAnsi="Arial"/>
                <w:b w:val="false"/>
                <w:bCs w:val="false"/>
                <w:i w:val="false"/>
                <w:iCs w:val="false"/>
                <w:color w:val="3D3D3D"/>
                <w:sz w:val="19"/>
                <w:szCs w:val="19"/>
              </w:rPr>
              <w:t xml:space="preserve">SEO content engine: 200 articles targeting high-intent queries ('best credit card for ₹30K salary', 'personal loan with 680 CIBIL')</w:t>
            </w:r>
          </w:p>
          <w:p>
            <w:pPr>
              <w:spacing w:after="30" w:before="30"/>
              <w:jc w:val="left"/>
            </w:pPr>
            <w:r>
              <w:rPr>
                <w:rFonts w:ascii="Arial" w:cs="Arial" w:eastAsia="Arial" w:hAnsi="Arial"/>
                <w:b w:val="false"/>
                <w:bCs w:val="false"/>
                <w:i w:val="false"/>
                <w:iCs w:val="false"/>
                <w:color w:val="3D3D3D"/>
                <w:sz w:val="19"/>
                <w:szCs w:val="19"/>
              </w:rPr>
              <w:t xml:space="preserve">WhatsApp bot launch: viral 'forward this bot to 5 friends' incentive mechanism</w:t>
            </w:r>
          </w:p>
          <w:p>
            <w:pPr>
              <w:spacing w:after="30" w:before="30"/>
              <w:jc w:val="left"/>
            </w:pPr>
            <w:r>
              <w:rPr>
                <w:rFonts w:ascii="Arial" w:cs="Arial" w:eastAsia="Arial" w:hAnsi="Arial"/>
                <w:b w:val="false"/>
                <w:bCs w:val="false"/>
                <w:i w:val="false"/>
                <w:iCs w:val="false"/>
                <w:color w:val="3D3D3D"/>
                <w:sz w:val="19"/>
                <w:szCs w:val="19"/>
              </w:rPr>
              <w:t xml:space="preserve">Reddit &amp; Quora: answer 50+ finance questions/week, build authority, drive traffic</w:t>
            </w:r>
          </w:p>
          <w:p>
            <w:pPr>
              <w:spacing w:after="30" w:before="30"/>
              <w:jc w:val="left"/>
            </w:pPr>
            <w:r>
              <w:rPr>
                <w:rFonts w:ascii="Arial" w:cs="Arial" w:eastAsia="Arial" w:hAnsi="Arial"/>
                <w:b w:val="false"/>
                <w:bCs w:val="false"/>
                <w:i w:val="false"/>
                <w:iCs w:val="false"/>
                <w:color w:val="3D3D3D"/>
                <w:sz w:val="19"/>
                <w:szCs w:val="19"/>
              </w:rPr>
              <w:t xml:space="preserve">3 YouTube/Instagram finance influencer collaborations (demo-based, not ads)</w:t>
            </w:r>
          </w:p>
          <w:p>
            <w:pPr>
              <w:spacing w:after="30" w:before="30"/>
              <w:jc w:val="left"/>
            </w:pPr>
            <w:r>
              <w:rPr>
                <w:rFonts w:ascii="Arial" w:cs="Arial" w:eastAsia="Arial" w:hAnsi="Arial"/>
                <w:b w:val="false"/>
                <w:bCs w:val="false"/>
                <w:i w:val="false"/>
                <w:iCs w:val="false"/>
                <w:color w:val="3D3D3D"/>
                <w:sz w:val="19"/>
                <w:szCs w:val="19"/>
              </w:rPr>
              <w:t xml:space="preserve">Product Hunt launch for tech audience</w:t>
            </w:r>
          </w:p>
        </w:tc>
      </w:tr>
      <w:tr>
        <w:tc>
          <w:tcPr>
            <w:tcW w:type="dxa" w:w="1200"/>
            <w:tcBorders>
              <w:top w:val="single" w:color="DDDDDD" w:sz="1"/>
              <w:left w:val="single" w:color="DDDDDD" w:sz="1"/>
              <w:bottom w:val="single" w:color="DDDDDD" w:sz="1"/>
              <w:right w:val="single" w:color="DDDDDD" w:sz="1"/>
            </w:tcBorders>
            <w:shd w:fill="1A5276" w:val="clear"/>
            <w:tcMar>
              <w:top w:type="dxa" w:w="110"/>
              <w:left w:type="dxa" w:w="150"/>
              <w:bottom w:type="dxa" w:w="110"/>
              <w:right w:type="dxa" w:w="150"/>
            </w:tcMar>
          </w:tcPr>
          <w:p>
            <w:pPr>
              <w:jc w:val="center"/>
            </w:pPr>
            <w:r>
              <w:rPr>
                <w:rFonts w:ascii="Arial" w:cs="Arial" w:eastAsia="Arial" w:hAnsi="Arial"/>
                <w:b/>
                <w:bCs/>
                <w:color w:val="FFFFFF"/>
                <w:sz w:val="22"/>
                <w:szCs w:val="22"/>
              </w:rPr>
              <w:t xml:space="preserve">Phase 2</w:t>
            </w:r>
          </w:p>
        </w:tc>
        <w:tc>
          <w:tcPr>
            <w:tcW w:type="dxa" w:w="2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bCs/>
                <w:color w:val="1A5276"/>
                <w:sz w:val="20"/>
                <w:szCs w:val="20"/>
              </w:rPr>
              <w:t xml:space="preserve">Month 5–12
Growth Engine</w:t>
            </w:r>
          </w:p>
        </w:tc>
        <w:tc>
          <w:tcPr>
            <w:tcW w:type="dxa" w:w="6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spacing w:after="30" w:before="30"/>
              <w:jc w:val="left"/>
            </w:pPr>
            <w:r>
              <w:rPr>
                <w:rFonts w:ascii="Arial" w:cs="Arial" w:eastAsia="Arial" w:hAnsi="Arial"/>
                <w:b w:val="false"/>
                <w:bCs w:val="false"/>
                <w:i w:val="false"/>
                <w:iCs w:val="false"/>
                <w:color w:val="3D3D3D"/>
                <w:sz w:val="19"/>
                <w:szCs w:val="19"/>
              </w:rPr>
              <w:t xml:space="preserve">Bank partnership program: integrate referral links for HDFC, Axis, ICICI, SBI, Kotak</w:t>
            </w:r>
          </w:p>
          <w:p>
            <w:pPr>
              <w:spacing w:after="30" w:before="30"/>
              <w:jc w:val="left"/>
            </w:pPr>
            <w:r>
              <w:rPr>
                <w:rFonts w:ascii="Arial" w:cs="Arial" w:eastAsia="Arial" w:hAnsi="Arial"/>
                <w:b w:val="false"/>
                <w:bCs w:val="false"/>
                <w:i w:val="false"/>
                <w:iCs w:val="false"/>
                <w:color w:val="3D3D3D"/>
                <w:sz w:val="19"/>
                <w:szCs w:val="19"/>
              </w:rPr>
              <w:t xml:space="preserve">NBFC loan referral network: BajajFinserv, MoneyView, KreditBee, Tata Capital</w:t>
            </w:r>
          </w:p>
          <w:p>
            <w:pPr>
              <w:spacing w:after="30" w:before="30"/>
              <w:jc w:val="left"/>
            </w:pPr>
            <w:r>
              <w:rPr>
                <w:rFonts w:ascii="Arial" w:cs="Arial" w:eastAsia="Arial" w:hAnsi="Arial"/>
                <w:b w:val="false"/>
                <w:bCs w:val="false"/>
                <w:i w:val="false"/>
                <w:iCs w:val="false"/>
                <w:color w:val="3D3D3D"/>
                <w:sz w:val="19"/>
                <w:szCs w:val="19"/>
              </w:rPr>
              <w:t xml:space="preserve">Android app launch with offline AI capability</w:t>
            </w:r>
          </w:p>
          <w:p>
            <w:pPr>
              <w:spacing w:after="30" w:before="30"/>
              <w:jc w:val="left"/>
            </w:pPr>
            <w:r>
              <w:rPr>
                <w:rFonts w:ascii="Arial" w:cs="Arial" w:eastAsia="Arial" w:hAnsi="Arial"/>
                <w:b w:val="false"/>
                <w:bCs w:val="false"/>
                <w:i w:val="false"/>
                <w:iCs w:val="false"/>
                <w:color w:val="3D3D3D"/>
                <w:sz w:val="19"/>
                <w:szCs w:val="19"/>
              </w:rPr>
              <w:t xml:space="preserve">Hindi-first UI rollout for Tier 2/3 city users</w:t>
            </w:r>
          </w:p>
          <w:p>
            <w:pPr>
              <w:spacing w:after="30" w:before="30"/>
              <w:jc w:val="left"/>
            </w:pPr>
            <w:r>
              <w:rPr>
                <w:rFonts w:ascii="Arial" w:cs="Arial" w:eastAsia="Arial" w:hAnsi="Arial"/>
                <w:b w:val="false"/>
                <w:bCs w:val="false"/>
                <w:i w:val="false"/>
                <w:iCs w:val="false"/>
                <w:color w:val="3D3D3D"/>
                <w:sz w:val="19"/>
                <w:szCs w:val="19"/>
              </w:rPr>
              <w:t xml:space="preserve">FinWise Forum: community Q&amp;A (content moat + SEO)</w:t>
            </w:r>
          </w:p>
          <w:p>
            <w:pPr>
              <w:spacing w:after="30" w:before="30"/>
              <w:jc w:val="left"/>
            </w:pPr>
            <w:r>
              <w:rPr>
                <w:rFonts w:ascii="Arial" w:cs="Arial" w:eastAsia="Arial" w:hAnsi="Arial"/>
                <w:b w:val="false"/>
                <w:bCs w:val="false"/>
                <w:i w:val="false"/>
                <w:iCs w:val="false"/>
                <w:color w:val="3D3D3D"/>
                <w:sz w:val="19"/>
                <w:szCs w:val="19"/>
              </w:rPr>
              <w:t xml:space="preserve">First sponsorship deals: target 2 banks for featured placement</w:t>
            </w:r>
          </w:p>
        </w:tc>
      </w:tr>
      <w:tr>
        <w:tc>
          <w:tcPr>
            <w:tcW w:type="dxa" w:w="1200"/>
            <w:tcBorders>
              <w:top w:val="single" w:color="DDDDDD" w:sz="1"/>
              <w:left w:val="single" w:color="DDDDDD" w:sz="1"/>
              <w:bottom w:val="single" w:color="DDDDDD" w:sz="1"/>
              <w:right w:val="single" w:color="DDDDDD" w:sz="1"/>
            </w:tcBorders>
            <w:shd w:fill="1A6B3C" w:val="clear"/>
            <w:tcMar>
              <w:top w:type="dxa" w:w="110"/>
              <w:left w:type="dxa" w:w="150"/>
              <w:bottom w:type="dxa" w:w="110"/>
              <w:right w:type="dxa" w:w="150"/>
            </w:tcMar>
          </w:tcPr>
          <w:p>
            <w:pPr>
              <w:jc w:val="center"/>
            </w:pPr>
            <w:r>
              <w:rPr>
                <w:rFonts w:ascii="Arial" w:cs="Arial" w:eastAsia="Arial" w:hAnsi="Arial"/>
                <w:b/>
                <w:bCs/>
                <w:color w:val="FFFFFF"/>
                <w:sz w:val="22"/>
                <w:szCs w:val="22"/>
              </w:rPr>
              <w:t xml:space="preserve">Phase 3</w:t>
            </w:r>
          </w:p>
        </w:tc>
        <w:tc>
          <w:tcPr>
            <w:tcW w:type="dxa" w:w="2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bCs/>
                <w:color w:val="1A6B3C"/>
                <w:sz w:val="20"/>
                <w:szCs w:val="20"/>
              </w:rPr>
              <w:t xml:space="preserve">Year 2
Scale &amp; Brand</w:t>
            </w:r>
          </w:p>
        </w:tc>
        <w:tc>
          <w:tcPr>
            <w:tcW w:type="dxa" w:w="6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spacing w:after="30" w:before="30"/>
              <w:jc w:val="left"/>
            </w:pPr>
            <w:r>
              <w:rPr>
                <w:rFonts w:ascii="Arial" w:cs="Arial" w:eastAsia="Arial" w:hAnsi="Arial"/>
                <w:b w:val="false"/>
                <w:bCs w:val="false"/>
                <w:i w:val="false"/>
                <w:iCs w:val="false"/>
                <w:color w:val="3D3D3D"/>
                <w:sz w:val="19"/>
                <w:szCs w:val="19"/>
              </w:rPr>
              <w:t xml:space="preserve">B2B API product pilot with 2-3 NBFCs</w:t>
            </w:r>
          </w:p>
          <w:p>
            <w:pPr>
              <w:spacing w:after="30" w:before="30"/>
              <w:jc w:val="left"/>
            </w:pPr>
            <w:r>
              <w:rPr>
                <w:rFonts w:ascii="Arial" w:cs="Arial" w:eastAsia="Arial" w:hAnsi="Arial"/>
                <w:b w:val="false"/>
                <w:bCs w:val="false"/>
                <w:i w:val="false"/>
                <w:iCs w:val="false"/>
                <w:color w:val="3D3D3D"/>
                <w:sz w:val="19"/>
                <w:szCs w:val="19"/>
              </w:rPr>
              <w:t xml:space="preserve">Insurance vertical launch (PolicyBazaar / Ditto partnership)</w:t>
            </w:r>
          </w:p>
          <w:p>
            <w:pPr>
              <w:spacing w:after="30" w:before="30"/>
              <w:jc w:val="left"/>
            </w:pPr>
            <w:r>
              <w:rPr>
                <w:rFonts w:ascii="Arial" w:cs="Arial" w:eastAsia="Arial" w:hAnsi="Arial"/>
                <w:b w:val="false"/>
                <w:bCs w:val="false"/>
                <w:i w:val="false"/>
                <w:iCs w:val="false"/>
                <w:color w:val="3D3D3D"/>
                <w:sz w:val="19"/>
                <w:szCs w:val="19"/>
              </w:rPr>
              <w:t xml:space="preserve">Tamil + Telugu language support</w:t>
            </w:r>
          </w:p>
          <w:p>
            <w:pPr>
              <w:spacing w:after="30" w:before="30"/>
              <w:jc w:val="left"/>
            </w:pPr>
            <w:r>
              <w:rPr>
                <w:rFonts w:ascii="Arial" w:cs="Arial" w:eastAsia="Arial" w:hAnsi="Arial"/>
                <w:b w:val="false"/>
                <w:bCs w:val="false"/>
                <w:i w:val="false"/>
                <w:iCs w:val="false"/>
                <w:color w:val="3D3D3D"/>
                <w:sz w:val="19"/>
                <w:szCs w:val="19"/>
              </w:rPr>
              <w:t xml:space="preserve">FinWise Academy course launch</w:t>
            </w:r>
          </w:p>
          <w:p>
            <w:pPr>
              <w:spacing w:after="30" w:before="30"/>
              <w:jc w:val="left"/>
            </w:pPr>
            <w:r>
              <w:rPr>
                <w:rFonts w:ascii="Arial" w:cs="Arial" w:eastAsia="Arial" w:hAnsi="Arial"/>
                <w:b w:val="false"/>
                <w:bCs w:val="false"/>
                <w:i w:val="false"/>
                <w:iCs w:val="false"/>
                <w:color w:val="3D3D3D"/>
                <w:sz w:val="19"/>
                <w:szCs w:val="19"/>
              </w:rPr>
              <w:t xml:space="preserve">Series A fundraise prep</w:t>
            </w:r>
          </w:p>
          <w:p>
            <w:pPr>
              <w:spacing w:after="30" w:before="30"/>
              <w:jc w:val="left"/>
            </w:pPr>
            <w:r>
              <w:rPr>
                <w:rFonts w:ascii="Arial" w:cs="Arial" w:eastAsia="Arial" w:hAnsi="Arial"/>
                <w:b w:val="false"/>
                <w:bCs w:val="false"/>
                <w:i w:val="false"/>
                <w:iCs w:val="false"/>
                <w:color w:val="3D3D3D"/>
                <w:sz w:val="19"/>
                <w:szCs w:val="19"/>
              </w:rPr>
              <w:t xml:space="preserve">Targeted performance marketing for loan referral flow (high ROAS category)</w:t>
            </w:r>
          </w:p>
        </w:tc>
      </w:tr>
      <w:tr>
        <w:tc>
          <w:tcPr>
            <w:tcW w:type="dxa" w:w="1200"/>
            <w:tcBorders>
              <w:top w:val="single" w:color="DDDDDD" w:sz="1"/>
              <w:left w:val="single" w:color="DDDDDD" w:sz="1"/>
              <w:bottom w:val="single" w:color="DDDDDD" w:sz="1"/>
              <w:right w:val="single" w:color="DDDDDD" w:sz="1"/>
            </w:tcBorders>
            <w:shd w:fill="B7860A" w:val="clear"/>
            <w:tcMar>
              <w:top w:type="dxa" w:w="110"/>
              <w:left w:type="dxa" w:w="150"/>
              <w:bottom w:type="dxa" w:w="110"/>
              <w:right w:type="dxa" w:w="150"/>
            </w:tcMar>
          </w:tcPr>
          <w:p>
            <w:pPr>
              <w:jc w:val="center"/>
            </w:pPr>
            <w:r>
              <w:rPr>
                <w:rFonts w:ascii="Arial" w:cs="Arial" w:eastAsia="Arial" w:hAnsi="Arial"/>
                <w:b/>
                <w:bCs/>
                <w:color w:val="FFFFFF"/>
                <w:sz w:val="22"/>
                <w:szCs w:val="22"/>
              </w:rPr>
              <w:t xml:space="preserve">Phase 4</w:t>
            </w:r>
          </w:p>
        </w:tc>
        <w:tc>
          <w:tcPr>
            <w:tcW w:type="dxa" w:w="2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bCs/>
                <w:color w:val="B7860A"/>
                <w:sz w:val="20"/>
                <w:szCs w:val="20"/>
              </w:rPr>
              <w:t xml:space="preserve">Year 3–4
Domination</w:t>
            </w:r>
          </w:p>
        </w:tc>
        <w:tc>
          <w:tcPr>
            <w:tcW w:type="dxa" w:w="6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spacing w:after="30" w:before="30"/>
              <w:jc w:val="left"/>
            </w:pPr>
            <w:r>
              <w:rPr>
                <w:rFonts w:ascii="Arial" w:cs="Arial" w:eastAsia="Arial" w:hAnsi="Arial"/>
                <w:b w:val="false"/>
                <w:bCs w:val="false"/>
                <w:i w:val="false"/>
                <w:iCs w:val="false"/>
                <w:color w:val="3D3D3D"/>
                <w:sz w:val="19"/>
                <w:szCs w:val="19"/>
              </w:rPr>
              <w:t xml:space="preserve">Expand B2B API to 8-10 institutional clients</w:t>
            </w:r>
          </w:p>
          <w:p>
            <w:pPr>
              <w:spacing w:after="30" w:before="30"/>
              <w:jc w:val="left"/>
            </w:pPr>
            <w:r>
              <w:rPr>
                <w:rFonts w:ascii="Arial" w:cs="Arial" w:eastAsia="Arial" w:hAnsi="Arial"/>
                <w:b w:val="false"/>
                <w:bCs w:val="false"/>
                <w:i w:val="false"/>
                <w:iCs w:val="false"/>
                <w:color w:val="3D3D3D"/>
                <w:sz w:val="19"/>
                <w:szCs w:val="19"/>
              </w:rPr>
              <w:t xml:space="preserve">iOS app launch with on-device AI</w:t>
            </w:r>
          </w:p>
          <w:p>
            <w:pPr>
              <w:spacing w:after="30" w:before="30"/>
              <w:jc w:val="left"/>
            </w:pPr>
            <w:r>
              <w:rPr>
                <w:rFonts w:ascii="Arial" w:cs="Arial" w:eastAsia="Arial" w:hAnsi="Arial"/>
                <w:b w:val="false"/>
                <w:bCs w:val="false"/>
                <w:i w:val="false"/>
                <w:iCs w:val="false"/>
                <w:color w:val="3D3D3D"/>
                <w:sz w:val="19"/>
                <w:szCs w:val="19"/>
              </w:rPr>
              <w:t xml:space="preserve">Mutual fund &amp; FD guidance added</w:t>
            </w:r>
          </w:p>
          <w:p>
            <w:pPr>
              <w:spacing w:after="30" w:before="30"/>
              <w:jc w:val="left"/>
            </w:pPr>
            <w:r>
              <w:rPr>
                <w:rFonts w:ascii="Arial" w:cs="Arial" w:eastAsia="Arial" w:hAnsi="Arial"/>
                <w:b w:val="false"/>
                <w:bCs w:val="false"/>
                <w:i w:val="false"/>
                <w:iCs w:val="false"/>
                <w:color w:val="3D3D3D"/>
                <w:sz w:val="19"/>
                <w:szCs w:val="19"/>
              </w:rPr>
              <w:t xml:space="preserve">Account Aggregator integration for proactive financial insights</w:t>
            </w:r>
          </w:p>
          <w:p>
            <w:pPr>
              <w:spacing w:after="30" w:before="30"/>
              <w:jc w:val="left"/>
            </w:pPr>
            <w:r>
              <w:rPr>
                <w:rFonts w:ascii="Arial" w:cs="Arial" w:eastAsia="Arial" w:hAnsi="Arial"/>
                <w:b w:val="false"/>
                <w:bCs w:val="false"/>
                <w:i w:val="false"/>
                <w:iCs w:val="false"/>
                <w:color w:val="3D3D3D"/>
                <w:sz w:val="19"/>
                <w:szCs w:val="19"/>
              </w:rPr>
              <w:t xml:space="preserve">National brand campaign: 'Your Financial Co-pilot'</w:t>
            </w:r>
          </w:p>
        </w:tc>
      </w:tr>
    </w:tbl>
    <w:p>
      <w:pPr>
        <w:spacing w:after="0" w:before="140"/>
      </w:pPr>
      <w:r>
        <w:t xml:space="preserve"/>
      </w:r>
    </w:p>
    <w:p>
      <w:pPr>
        <w:spacing w:after="80" w:before="80"/>
        <w:jc w:val="left"/>
      </w:pPr>
      <w:r>
        <w:rPr>
          <w:rFonts w:ascii="Arial" w:cs="Arial" w:eastAsia="Arial" w:hAnsi="Arial"/>
          <w:b/>
          <w:bCs/>
          <w:i w:val="false"/>
          <w:iCs w:val="false"/>
          <w:color w:val="0B2545"/>
          <w:sz w:val="22"/>
          <w:szCs w:val="22"/>
        </w:rPr>
        <w:t xml:space="preserve">Distribution Moats (Hard to Replicate):</w:t>
      </w:r>
    </w:p>
    <w:p>
      <w:pPr>
        <w:spacing w:after="0" w:before="60"/>
      </w:pPr>
      <w:r>
        <w:t xml:space="preserve"/>
      </w:r>
    </w:p>
    <w:p>
      <w:pPr>
        <w:pStyle w:val="ListParagraph"/>
        <w:numPr>
          <w:ilvl w:val="0"/>
          <w:numId w:val="2"/>
        </w:numPr>
        <w:spacing w:after="55" w:before="55"/>
      </w:pPr>
      <w:r>
        <w:rPr>
          <w:rFonts w:ascii="Arial" w:cs="Arial" w:eastAsia="Arial" w:hAnsi="Arial"/>
          <w:color w:val="3D3D3D"/>
          <w:sz w:val="21"/>
          <w:szCs w:val="21"/>
        </w:rPr>
        <w:t xml:space="preserve">SEO content library — 1,000+ articles in 24 months = compounding organic traffic with near-zero CAC</w:t>
      </w:r>
    </w:p>
    <w:p>
      <w:pPr>
        <w:pStyle w:val="ListParagraph"/>
        <w:numPr>
          <w:ilvl w:val="0"/>
          <w:numId w:val="2"/>
        </w:numPr>
        <w:spacing w:after="55" w:before="55"/>
      </w:pPr>
      <w:r>
        <w:rPr>
          <w:rFonts w:ascii="Arial" w:cs="Arial" w:eastAsia="Arial" w:hAnsi="Arial"/>
          <w:color w:val="3D3D3D"/>
          <w:sz w:val="21"/>
          <w:szCs w:val="21"/>
        </w:rPr>
        <w:t xml:space="preserve">WhatsApp distribution — 500M+ Indian users, zero app-install friction, shareable by nature</w:t>
      </w:r>
    </w:p>
    <w:p>
      <w:pPr>
        <w:pStyle w:val="ListParagraph"/>
        <w:numPr>
          <w:ilvl w:val="0"/>
          <w:numId w:val="2"/>
        </w:numPr>
        <w:spacing w:after="55" w:before="55"/>
      </w:pPr>
      <w:r>
        <w:rPr>
          <w:rFonts w:ascii="Arial" w:cs="Arial" w:eastAsia="Arial" w:hAnsi="Arial"/>
          <w:color w:val="3D3D3D"/>
          <w:sz w:val="21"/>
          <w:szCs w:val="21"/>
        </w:rPr>
        <w:t xml:space="preserve">Trust capital — FinWise's local AI / no-cloud positioning resonates powerfully in a post-data-breach era</w:t>
      </w:r>
    </w:p>
    <w:p>
      <w:pPr>
        <w:pStyle w:val="ListParagraph"/>
        <w:numPr>
          <w:ilvl w:val="0"/>
          <w:numId w:val="2"/>
        </w:numPr>
        <w:spacing w:after="55" w:before="55"/>
      </w:pPr>
      <w:r>
        <w:rPr>
          <w:rFonts w:ascii="Arial" w:cs="Arial" w:eastAsia="Arial" w:hAnsi="Arial"/>
          <w:color w:val="3D3D3D"/>
          <w:sz w:val="21"/>
          <w:szCs w:val="21"/>
        </w:rPr>
        <w:t xml:space="preserve">Dataset moat — proprietary user query data (anonymized) makes the model smarter over time; competitors can't replicate this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B2D8F"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08</w:t>
            </w:r>
          </w:p>
        </w:tc>
        <w:tc>
          <w:tcPr>
            <w:tcW w:type="dxa" w:w="8560"/>
            <w:tcBorders>
              <w:top w:val="none" w:color="FFFFFF" w:sz="0"/>
              <w:left w:val="none" w:color="FFFFFF" w:sz="0"/>
              <w:bottom w:val="single" w:color="4B2D8F"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4B2D8F"/>
                <w:sz w:val="32"/>
                <w:szCs w:val="32"/>
              </w:rPr>
              <w:t xml:space="preserve">Competitive Landscape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Competitor</w:t>
            </w:r>
          </w:p>
        </w:tc>
        <w:tc>
          <w:tcPr>
            <w:tcW w:type="dxa" w:w="24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What They Do</w:t>
            </w:r>
          </w:p>
        </w:tc>
        <w:tc>
          <w:tcPr>
            <w:tcW w:type="dxa" w:w="22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Strength</w:t>
            </w:r>
          </w:p>
        </w:tc>
        <w:tc>
          <w:tcPr>
            <w:tcW w:type="dxa" w:w="31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Weakness vs FinWise</w:t>
            </w:r>
          </w:p>
        </w:tc>
      </w:tr>
      <w:tr>
        <w:tc>
          <w:tcPr>
            <w:tcW w:type="dxa" w:w="1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SaveSage</w:t>
            </w:r>
          </w:p>
        </w:tc>
        <w:tc>
          <w:tcPr>
            <w:tcW w:type="dxa" w:w="24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Rewards optimization for existing card users</w:t>
            </w:r>
          </w:p>
        </w:tc>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Strong brand, 7.5L users, AI assistant (Savvy)</w:t>
            </w:r>
          </w:p>
        </w:tc>
        <w:tc>
          <w:tcPr>
            <w:tcW w:type="dxa" w:w="3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No loans, no literacy, cloud-based, English-primary, not Tier 2/3 focused</w:t>
            </w:r>
          </w:p>
        </w:tc>
      </w:tr>
      <w:tr>
        <w:tc>
          <w:tcPr>
            <w:tcW w:type="dxa" w:w="1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BankBazaar</w:t>
            </w:r>
          </w:p>
        </w:tc>
        <w:tc>
          <w:tcPr>
            <w:tcW w:type="dxa" w:w="24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Card &amp; loan comparison + lead gen</w:t>
            </w:r>
          </w:p>
        </w:tc>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Scale, bank relationships, SEO dominance</w:t>
            </w:r>
          </w:p>
        </w:tc>
        <w:tc>
          <w:tcPr>
            <w:tcW w:type="dxa" w:w="31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Static comparison only, no conversational AI, no local model, ad-heavy UX</w:t>
            </w:r>
          </w:p>
        </w:tc>
      </w:tr>
      <w:tr>
        <w:tc>
          <w:tcPr>
            <w:tcW w:type="dxa" w:w="1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Paisabazaar</w:t>
            </w:r>
          </w:p>
        </w:tc>
        <w:tc>
          <w:tcPr>
            <w:tcW w:type="dxa" w:w="24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Loan &amp; credit score marketplace</w:t>
            </w:r>
          </w:p>
        </w:tc>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CIBIL integration, strong loan vertical</w:t>
            </w:r>
          </w:p>
        </w:tc>
        <w:tc>
          <w:tcPr>
            <w:tcW w:type="dxa" w:w="3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No card guidance depth, no AI advisor, UI is complex for first-time users</w:t>
            </w:r>
          </w:p>
        </w:tc>
      </w:tr>
      <w:tr>
        <w:tc>
          <w:tcPr>
            <w:tcW w:type="dxa" w:w="1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Jupiter / Fi</w:t>
            </w:r>
          </w:p>
        </w:tc>
        <w:tc>
          <w:tcPr>
            <w:tcW w:type="dxa" w:w="24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Neo-banks with some credit guidance</w:t>
            </w:r>
          </w:p>
        </w:tc>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Strong UX, niche user base</w:t>
            </w:r>
          </w:p>
        </w:tc>
        <w:tc>
          <w:tcPr>
            <w:tcW w:type="dxa" w:w="31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Not focused on credit card guidance, no local AI, limited loan matching</w:t>
            </w:r>
          </w:p>
        </w:tc>
      </w:tr>
      <w:tr>
        <w:tc>
          <w:tcPr>
            <w:tcW w:type="dxa" w:w="1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Google / Bard</w:t>
            </w:r>
          </w:p>
        </w:tc>
        <w:tc>
          <w:tcPr>
            <w:tcW w:type="dxa" w:w="24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General AI that can answer finance queries</w:t>
            </w:r>
          </w:p>
        </w:tc>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Brand trust, quality answers</w:t>
            </w:r>
          </w:p>
        </w:tc>
        <w:tc>
          <w:tcPr>
            <w:tcW w:type="dxa" w:w="3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Not specialized on Indian cards/loans, no referral engine, no local model</w:t>
            </w:r>
          </w:p>
        </w:tc>
      </w:tr>
      <w:tr>
        <w:tc>
          <w:tcPr>
            <w:tcW w:type="dxa" w:w="1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FinWise AI</w:t>
            </w:r>
          </w:p>
        </w:tc>
        <w:tc>
          <w:tcPr>
            <w:tcW w:type="dxa" w:w="24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Local AI finance advisor: cards + loans + literacy</w:t>
            </w:r>
          </w:p>
        </w:tc>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Privacy, Hindi-first, offline, specialized dataset, referral + subscription revenue</w:t>
            </w:r>
          </w:p>
        </w:tc>
        <w:tc>
          <w:tcPr>
            <w:tcW w:type="dxa" w:w="31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EEEE" w:sz="1"/>
              <w:left w:val="single" w:color="4B2D8F" w:sz="20"/>
              <w:bottom w:val="single" w:color="EEEEEE" w:sz="1"/>
              <w:right w:val="single" w:color="EEEEEE" w:sz="1"/>
            </w:tcBorders>
            <w:shd w:fill="F4ECF7" w:val="clear"/>
            <w:tcMar>
              <w:top w:type="dxa" w:w="160"/>
              <w:left w:type="dxa" w:w="260"/>
              <w:bottom w:type="dxa" w:w="160"/>
              <w:right w:type="dxa" w:w="260"/>
            </w:tcMar>
          </w:tcPr>
          <w:p>
            <w:pPr>
              <w:spacing w:after="60" w:before="0"/>
              <w:jc w:val="left"/>
            </w:pPr>
            <w:r>
              <w:rPr>
                <w:rFonts w:ascii="Arial" w:cs="Arial" w:eastAsia="Arial" w:hAnsi="Arial"/>
                <w:b/>
                <w:bCs/>
                <w:i w:val="false"/>
                <w:iCs w:val="false"/>
                <w:color w:val="4B2D8F"/>
                <w:sz w:val="22"/>
                <w:szCs w:val="22"/>
              </w:rPr>
              <w:t xml:space="preserve">FinWise's Defensible Moat</w:t>
            </w:r>
          </w:p>
          <w:p>
            <w:pPr>
              <w:spacing w:after="0" w:before="0"/>
              <w:jc w:val="left"/>
            </w:pPr>
            <w:r>
              <w:rPr>
                <w:rFonts w:ascii="Arial" w:cs="Arial" w:eastAsia="Arial" w:hAnsi="Arial"/>
                <w:b w:val="false"/>
                <w:bCs w:val="false"/>
                <w:i w:val="false"/>
                <w:iCs w:val="false"/>
                <w:color w:val="3D3D3D"/>
                <w:sz w:val="20"/>
                <w:szCs w:val="20"/>
              </w:rPr>
              <w:t xml:space="preserve">FinWise competes on a fundamentally different axis: it is the only platform combining (1) a locally-running, fine-tuned finance AI, (2) bilingual Hindi+English guidance, (3) full loan + card + literacy coverage, and (4) a business model that aligns with user trust. SaveSage is the closest — but they are rewards-focused and cloud-dependent. FinWise is the 10x better version for the 80% of India that SaveSage doesn't 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276"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09</w:t>
            </w:r>
          </w:p>
        </w:tc>
        <w:tc>
          <w:tcPr>
            <w:tcW w:type="dxa" w:w="8560"/>
            <w:tcBorders>
              <w:top w:val="none" w:color="FFFFFF" w:sz="0"/>
              <w:left w:val="none" w:color="FFFFFF" w:sz="0"/>
              <w:bottom w:val="single" w:color="1A5276"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1A5276"/>
                <w:sz w:val="32"/>
                <w:szCs w:val="32"/>
              </w:rPr>
              <w:t xml:space="preserve">Technology &amp; AI Architecture</w:t>
            </w:r>
          </w:p>
        </w:tc>
      </w:tr>
    </w:tbl>
    <w:p>
      <w:pPr>
        <w:spacing w:after="0" w:before="100"/>
      </w:pPr>
      <w:r>
        <w:t xml:space="preserve"/>
      </w:r>
    </w:p>
    <w:p>
      <w:pPr>
        <w:spacing w:after="80" w:before="80"/>
        <w:jc w:val="left"/>
      </w:pPr>
      <w:r>
        <w:rPr>
          <w:rFonts w:ascii="Arial" w:cs="Arial" w:eastAsia="Arial" w:hAnsi="Arial"/>
          <w:b w:val="false"/>
          <w:bCs w:val="false"/>
          <w:i w:val="false"/>
          <w:iCs w:val="false"/>
          <w:color w:val="3D3D3D"/>
          <w:sz w:val="21"/>
          <w:szCs w:val="21"/>
        </w:rPr>
        <w:t xml:space="preserve">FinWise's technology is its deepest competitive barrier. A locally-hosted, fine-tuned LLM trained on proprietary Indian financial data is not something a competitor can replicate in months.</w:t>
      </w:r>
    </w:p>
    <w:p>
      <w:pPr>
        <w:spacing w:after="0" w:before="120"/>
      </w:pPr>
      <w:r>
        <w:t xml:space="preserve"/>
      </w:r>
    </w:p>
    <w:p>
      <w:pPr>
        <w:spacing w:after="80" w:before="80"/>
        <w:jc w:val="left"/>
      </w:pPr>
      <w:r>
        <w:rPr>
          <w:rFonts w:ascii="Arial" w:cs="Arial" w:eastAsia="Arial" w:hAnsi="Arial"/>
          <w:b/>
          <w:bCs/>
          <w:i w:val="false"/>
          <w:iCs w:val="false"/>
          <w:color w:val="0B2545"/>
          <w:sz w:val="24"/>
          <w:szCs w:val="24"/>
        </w:rPr>
        <w:t xml:space="preserve">9.1  Why Local AI Is the Right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Dimension</w:t>
            </w:r>
          </w:p>
        </w:tc>
        <w:tc>
          <w:tcPr>
            <w:tcW w:type="dxa" w:w="32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Cloud LLM (GPT-4, Gemini)</w:t>
            </w:r>
          </w:p>
        </w:tc>
        <w:tc>
          <w:tcPr>
            <w:tcW w:type="dxa" w:w="35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FinWise Local AI</w:t>
            </w:r>
          </w:p>
        </w:tc>
      </w:tr>
      <w:tr>
        <w:tc>
          <w:tcPr>
            <w:tcW w:type="dxa" w:w="2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Cost per query</w:t>
            </w:r>
          </w:p>
        </w:tc>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₹0.08–₹0.40 (API cost)</w:t>
            </w:r>
          </w:p>
        </w:tc>
        <w:tc>
          <w:tcPr>
            <w:tcW w:type="dxa" w:w="3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~₹0.001 (electricity only)</w:t>
            </w:r>
          </w:p>
        </w:tc>
      </w:tr>
      <w:tr>
        <w:tc>
          <w:tcPr>
            <w:tcW w:type="dxa" w:w="2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Latency</w:t>
            </w:r>
          </w:p>
        </w:tc>
        <w:tc>
          <w:tcPr>
            <w:tcW w:type="dxa" w:w="3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800ms–3,000ms</w:t>
            </w:r>
          </w:p>
        </w:tc>
        <w:tc>
          <w:tcPr>
            <w:tcW w:type="dxa" w:w="3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&lt;200ms — feels instant</w:t>
            </w:r>
          </w:p>
        </w:tc>
      </w:tr>
      <w:tr>
        <w:tc>
          <w:tcPr>
            <w:tcW w:type="dxa" w:w="2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Data privacy</w:t>
            </w:r>
          </w:p>
        </w:tc>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PII sent to US servers</w:t>
            </w:r>
          </w:p>
        </w:tc>
        <w:tc>
          <w:tcPr>
            <w:tcW w:type="dxa" w:w="3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Zero data leaves India/device</w:t>
            </w:r>
          </w:p>
        </w:tc>
      </w:tr>
      <w:tr>
        <w:tc>
          <w:tcPr>
            <w:tcW w:type="dxa" w:w="2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Offline capability</w:t>
            </w:r>
          </w:p>
        </w:tc>
        <w:tc>
          <w:tcPr>
            <w:tcW w:type="dxa" w:w="3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Requires internet</w:t>
            </w:r>
          </w:p>
        </w:tc>
        <w:tc>
          <w:tcPr>
            <w:tcW w:type="dxa" w:w="3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Full offline via GGUF model</w:t>
            </w:r>
          </w:p>
        </w:tc>
      </w:tr>
      <w:tr>
        <w:tc>
          <w:tcPr>
            <w:tcW w:type="dxa" w:w="2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Customization</w:t>
            </w:r>
          </w:p>
        </w:tc>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Prompt engineering only</w:t>
            </w:r>
          </w:p>
        </w:tc>
        <w:tc>
          <w:tcPr>
            <w:tcW w:type="dxa" w:w="3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Fine-tuned on our exact dataset</w:t>
            </w:r>
          </w:p>
        </w:tc>
      </w:tr>
      <w:tr>
        <w:tc>
          <w:tcPr>
            <w:tcW w:type="dxa" w:w="2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RBI compliance risk</w:t>
            </w:r>
          </w:p>
        </w:tc>
        <w:tc>
          <w:tcPr>
            <w:tcW w:type="dxa" w:w="3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High — foreign data processing</w:t>
            </w:r>
          </w:p>
        </w:tc>
        <w:tc>
          <w:tcPr>
            <w:tcW w:type="dxa" w:w="3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Low — local processing</w:t>
            </w:r>
          </w:p>
        </w:tc>
      </w:tr>
      <w:tr>
        <w:tc>
          <w:tcPr>
            <w:tcW w:type="dxa" w:w="2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Cost at 10M queries/day</w:t>
            </w:r>
          </w:p>
        </w:tc>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₹8–40 Lakh/day (unviable)</w:t>
            </w:r>
          </w:p>
        </w:tc>
        <w:tc>
          <w:tcPr>
            <w:tcW w:type="dxa" w:w="3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~₹1,000/day (server electricity)</w:t>
            </w:r>
          </w:p>
        </w:tc>
      </w:tr>
    </w:tbl>
    <w:p>
      <w:pPr>
        <w:spacing w:after="0" w:before="120"/>
      </w:pPr>
      <w:r>
        <w:t xml:space="preserve"/>
      </w:r>
    </w:p>
    <w:p>
      <w:pPr>
        <w:spacing w:after="80" w:before="80"/>
        <w:jc w:val="left"/>
      </w:pPr>
      <w:r>
        <w:rPr>
          <w:rFonts w:ascii="Arial" w:cs="Arial" w:eastAsia="Arial" w:hAnsi="Arial"/>
          <w:b/>
          <w:bCs/>
          <w:i w:val="false"/>
          <w:iCs w:val="false"/>
          <w:color w:val="0B2545"/>
          <w:sz w:val="24"/>
          <w:szCs w:val="24"/>
        </w:rPr>
        <w:t xml:space="preserve">9.2  Model Selection &amp; Training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Base Model</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Mistral 7B Instruct v0.3 (Apache 2.0 — commercially safe)</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Intent Router</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IndicBERT (180M) — classifies query type in &lt;20ms, routes to correct module</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Fine-tuning Method</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QLoRA (4-bit quantized LoRA) — LoRA rank 16, alpha 32, 3-5 epochs</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Training Data</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Scraped dataset: 200+ Indian credit cards, 50+ loan products, 10,000+ QA pairs</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Hardware to Train</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Single NVIDIA RTX 3090 (24GB) — accessible, low-cost, 2-3 day training run</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Inference Format</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GGUF Q4_K_M — 6GB file, runs on 8GB RAM CPU or any GPU</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RAG Integration</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Pinecone vector DB stores 50K+ fact chunks; model retrieves before generating</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Accuracy Target</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&lt;2% hallucination rate; ROUGE-L &gt; 0.45; manual factual audit weekly</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Mobile Model</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Phi-3 Mini 3.8B (MIT license) — for on-device Android inference, 3GB RAM</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Update Cycle</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Dataset refreshed weekly (automated scraper); model retrained quarterly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6B3C"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10</w:t>
            </w:r>
          </w:p>
        </w:tc>
        <w:tc>
          <w:tcPr>
            <w:tcW w:type="dxa" w:w="8560"/>
            <w:tcBorders>
              <w:top w:val="none" w:color="FFFFFF" w:sz="0"/>
              <w:left w:val="none" w:color="FFFFFF" w:sz="0"/>
              <w:bottom w:val="single" w:color="1A6B3C"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1A6B3C"/>
                <w:sz w:val="32"/>
                <w:szCs w:val="32"/>
              </w:rPr>
              <w:t xml:space="preserve">Traction &amp; Milestones Roadmap</w:t>
            </w:r>
          </w:p>
        </w:tc>
      </w:tr>
    </w:tbl>
    <w:p>
      <w:pPr>
        <w:spacing w:after="0" w:before="100"/>
      </w:pPr>
      <w:r>
        <w:t xml:space="preserve"/>
      </w:r>
    </w:p>
    <w:p>
      <w:pPr>
        <w:spacing w:after="80" w:before="80"/>
        <w:jc w:val="left"/>
      </w:pPr>
      <w:r>
        <w:rPr>
          <w:rFonts w:ascii="Arial" w:cs="Arial" w:eastAsia="Arial" w:hAnsi="Arial"/>
          <w:b/>
          <w:bCs/>
          <w:i w:val="false"/>
          <w:iCs w:val="false"/>
          <w:color w:val="0B2545"/>
          <w:sz w:val="24"/>
          <w:szCs w:val="24"/>
        </w:rPr>
        <w:t xml:space="preserve">10.1  Current Status (Pre-Launch)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Dataset</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Scraped dataset of 200+ credit cards and 50+ loan products — cleaned and structured</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Base Model</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Mistral 7B downloaded and initial fine-tuning experiments completed</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Architecture</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Two-tier model architecture (IndicBERT + Mistral) designed and tested</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Business Plan</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Complete business plan, revenue model, and pitch documentation prepared</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Partnerships</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Conversations initiated with 2 bank affiliate programs</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Funding Status</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Pre-seed bootstrapped — seeking Seed round to launch MVP</w:t>
            </w:r>
          </w:p>
        </w:tc>
      </w:tr>
    </w:tbl>
    <w:p>
      <w:pPr>
        <w:spacing w:after="0" w:before="120"/>
      </w:pPr>
      <w:r>
        <w:t xml:space="preserve"/>
      </w:r>
    </w:p>
    <w:p>
      <w:pPr>
        <w:spacing w:after="80" w:before="80"/>
        <w:jc w:val="left"/>
      </w:pPr>
      <w:r>
        <w:rPr>
          <w:rFonts w:ascii="Arial" w:cs="Arial" w:eastAsia="Arial" w:hAnsi="Arial"/>
          <w:b/>
          <w:bCs/>
          <w:i w:val="false"/>
          <w:iCs w:val="false"/>
          <w:color w:val="0B2545"/>
          <w:sz w:val="24"/>
          <w:szCs w:val="24"/>
        </w:rPr>
        <w:t xml:space="preserve">10.2  18-Month Milestone Timeline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960"/>
      </w:tblGrid>
      <w:tr>
        <w:tc>
          <w:tcPr>
            <w:tcW w:type="dxa" w:w="8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Month</w:t>
            </w:r>
          </w:p>
        </w:tc>
        <w:tc>
          <w:tcPr>
            <w:tcW w:type="dxa" w:w="46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Milestone</w:t>
            </w:r>
          </w:p>
        </w:tc>
        <w:tc>
          <w:tcPr>
            <w:tcW w:type="dxa" w:w="39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KPI Target</w:t>
            </w:r>
          </w:p>
        </w:tc>
      </w:tr>
      <w:tr>
        <w:tc>
          <w:tcPr>
            <w:tcW w:type="dxa" w:w="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M1–2</w:t>
            </w:r>
          </w:p>
        </w:tc>
        <w:tc>
          <w:tcPr>
            <w:tcW w:type="dxa" w:w="4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MVP web app live — AI chat, card recommender, EMI calculator</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100 beta users, 0 revenue</w:t>
            </w:r>
          </w:p>
        </w:tc>
      </w:tr>
      <w:tr>
        <w:tc>
          <w:tcPr>
            <w:tcW w:type="dxa" w:w="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M2–3</w:t>
            </w:r>
          </w:p>
        </w:tc>
        <w:tc>
          <w:tcPr>
            <w:tcW w:type="dxa" w:w="4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WhatsApp bot launch, first affiliate links live (HDFC, Axis)</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1,000 MAU, first ₹10K commission</w:t>
            </w:r>
          </w:p>
        </w:tc>
      </w:tr>
      <w:tr>
        <w:tc>
          <w:tcPr>
            <w:tcW w:type="dxa" w:w="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M3–4</w:t>
            </w:r>
          </w:p>
        </w:tc>
        <w:tc>
          <w:tcPr>
            <w:tcW w:type="dxa" w:w="4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SEO content engine: 50 articles published</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5,000 MAU, ₹50K/month revenue</w:t>
            </w:r>
          </w:p>
        </w:tc>
      </w:tr>
      <w:tr>
        <w:tc>
          <w:tcPr>
            <w:tcW w:type="dxa" w:w="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M4–6</w:t>
            </w:r>
          </w:p>
        </w:tc>
        <w:tc>
          <w:tcPr>
            <w:tcW w:type="dxa" w:w="4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Loan referral vertical launched (BajajFinserv, MoneyView)</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15,000 MAU, ₹3L/month</w:t>
            </w:r>
          </w:p>
        </w:tc>
      </w:tr>
      <w:tr>
        <w:tc>
          <w:tcPr>
            <w:tcW w:type="dxa" w:w="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M6</w:t>
            </w:r>
          </w:p>
        </w:tc>
        <w:tc>
          <w:tcPr>
            <w:tcW w:type="dxa" w:w="4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Android app launch with offline AI capability</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25,000 MAU, ₹6L/month</w:t>
            </w:r>
          </w:p>
        </w:tc>
      </w:tr>
      <w:tr>
        <w:tc>
          <w:tcPr>
            <w:tcW w:type="dxa" w:w="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M8</w:t>
            </w:r>
          </w:p>
        </w:tc>
        <w:tc>
          <w:tcPr>
            <w:tcW w:type="dxa" w:w="4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First bank sponsorship deal signed</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35,000 MAU, ₹12L/month</w:t>
            </w:r>
          </w:p>
        </w:tc>
      </w:tr>
      <w:tr>
        <w:tc>
          <w:tcPr>
            <w:tcW w:type="dxa" w:w="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M10</w:t>
            </w:r>
          </w:p>
        </w:tc>
        <w:tc>
          <w:tcPr>
            <w:tcW w:type="dxa" w:w="4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FinWise Pro subscription launched (₹99/month)</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50,000 MAU, ₹18L/month</w:t>
            </w:r>
          </w:p>
        </w:tc>
      </w:tr>
      <w:tr>
        <w:tc>
          <w:tcPr>
            <w:tcW w:type="dxa" w:w="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M12</w:t>
            </w:r>
          </w:p>
        </w:tc>
        <w:tc>
          <w:tcPr>
            <w:tcW w:type="dxa" w:w="46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Series A fundraise initiated, B2B API pilot with 1 NBFC</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70,000 MAU, ₹25L/month</w:t>
            </w:r>
          </w:p>
        </w:tc>
      </w:tr>
      <w:tr>
        <w:tc>
          <w:tcPr>
            <w:tcW w:type="dxa" w:w="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M18</w:t>
            </w:r>
          </w:p>
        </w:tc>
        <w:tc>
          <w:tcPr>
            <w:tcW w:type="dxa" w:w="46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2.5L MAU, Tamil + Telugu support, insurance vertical live</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₹75L/month → ₹9 Cr ARR run rate</w:t>
            </w:r>
          </w:p>
        </w:tc>
      </w:tr>
    </w:tbl>
    <w:p>
      <w:pPr>
        <w:spacing w:after="0" w:before="120"/>
      </w:pPr>
      <w:r>
        <w:t xml:space="preserve"/>
      </w:r>
    </w:p>
    <w:p>
      <w:pPr>
        <w:spacing w:after="80" w:before="80"/>
        <w:jc w:val="left"/>
      </w:pPr>
      <w:r>
        <w:rPr>
          <w:rFonts w:ascii="Arial" w:cs="Arial" w:eastAsia="Arial" w:hAnsi="Arial"/>
          <w:b/>
          <w:bCs/>
          <w:i w:val="false"/>
          <w:iCs w:val="false"/>
          <w:color w:val="0B2545"/>
          <w:sz w:val="24"/>
          <w:szCs w:val="24"/>
        </w:rPr>
        <w:t xml:space="preserve">10.3  Founding Team Requirements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Role</w:t>
            </w:r>
          </w:p>
        </w:tc>
        <w:tc>
          <w:tcPr>
            <w:tcW w:type="dxa" w:w="32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Core Responsibility</w:t>
            </w:r>
          </w:p>
        </w:tc>
        <w:tc>
          <w:tcPr>
            <w:tcW w:type="dxa" w:w="18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Hire Type</w:t>
            </w:r>
          </w:p>
        </w:tc>
        <w:tc>
          <w:tcPr>
            <w:tcW w:type="dxa" w:w="21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Priority</w:t>
            </w:r>
          </w:p>
        </w:tc>
      </w:tr>
      <w:tr>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Founder / CEO</w:t>
            </w:r>
          </w:p>
        </w:tc>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Vision, bank partnerships, fundraising, product strategy</w:t>
            </w:r>
          </w:p>
        </w:tc>
        <w:tc>
          <w:tcPr>
            <w:tcW w:type="dxa" w:w="1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Founder</w:t>
            </w:r>
          </w:p>
        </w:tc>
        <w:tc>
          <w:tcPr>
            <w:tcW w:type="dxa" w:w="2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Now</w:t>
            </w:r>
          </w:p>
        </w:tc>
      </w:tr>
      <w:tr>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ML Engineer</w:t>
            </w:r>
          </w:p>
        </w:tc>
        <w:tc>
          <w:tcPr>
            <w:tcW w:type="dxa" w:w="3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Model fine-tuning, RAG pipeline, inference optimization</w:t>
            </w:r>
          </w:p>
        </w:tc>
        <w:tc>
          <w:tcPr>
            <w:tcW w:type="dxa" w:w="1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Full-time</w:t>
            </w:r>
          </w:p>
        </w:tc>
        <w:tc>
          <w:tcPr>
            <w:tcW w:type="dxa" w:w="21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Now</w:t>
            </w:r>
          </w:p>
        </w:tc>
      </w:tr>
      <w:tr>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Backend Engineer</w:t>
            </w:r>
          </w:p>
        </w:tc>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FastAPI, database, affiliate tracking, WhatsApp integration</w:t>
            </w:r>
          </w:p>
        </w:tc>
        <w:tc>
          <w:tcPr>
            <w:tcW w:type="dxa" w:w="1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Full-time</w:t>
            </w:r>
          </w:p>
        </w:tc>
        <w:tc>
          <w:tcPr>
            <w:tcW w:type="dxa" w:w="2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Now</w:t>
            </w:r>
          </w:p>
        </w:tc>
      </w:tr>
      <w:tr>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Frontend / Mobile Dev</w:t>
            </w:r>
          </w:p>
        </w:tc>
        <w:tc>
          <w:tcPr>
            <w:tcW w:type="dxa" w:w="3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Next.js web + React Native Android app</w:t>
            </w:r>
          </w:p>
        </w:tc>
        <w:tc>
          <w:tcPr>
            <w:tcW w:type="dxa" w:w="1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Full-time</w:t>
            </w:r>
          </w:p>
        </w:tc>
        <w:tc>
          <w:tcPr>
            <w:tcW w:type="dxa" w:w="21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Month 1</w:t>
            </w:r>
          </w:p>
        </w:tc>
      </w:tr>
      <w:tr>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Data Curator / Analyst</w:t>
            </w:r>
          </w:p>
        </w:tc>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Dataset cleaning, weekly scraper, fact-checking, QA</w:t>
            </w:r>
          </w:p>
        </w:tc>
        <w:tc>
          <w:tcPr>
            <w:tcW w:type="dxa" w:w="1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Contract → FT</w:t>
            </w:r>
          </w:p>
        </w:tc>
        <w:tc>
          <w:tcPr>
            <w:tcW w:type="dxa" w:w="2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Month 1</w:t>
            </w:r>
          </w:p>
        </w:tc>
      </w:tr>
      <w:tr>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Growth / Content Lead</w:t>
            </w:r>
          </w:p>
        </w:tc>
        <w:tc>
          <w:tcPr>
            <w:tcW w:type="dxa" w:w="3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SEO strategy, financial articles, influencer relationships</w:t>
            </w:r>
          </w:p>
        </w:tc>
        <w:tc>
          <w:tcPr>
            <w:tcW w:type="dxa" w:w="1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Part-time → FT</w:t>
            </w:r>
          </w:p>
        </w:tc>
        <w:tc>
          <w:tcPr>
            <w:tcW w:type="dxa" w:w="21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Month 2</w:t>
            </w:r>
          </w:p>
        </w:tc>
      </w:tr>
      <w:tr>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Finance + Legal</w:t>
            </w:r>
          </w:p>
        </w:tc>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RBI compliance, affiliate contracts, accounting</w:t>
            </w:r>
          </w:p>
        </w:tc>
        <w:tc>
          <w:tcPr>
            <w:tcW w:type="dxa" w:w="1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Advisor / Retainer</w:t>
            </w:r>
          </w:p>
        </w:tc>
        <w:tc>
          <w:tcPr>
            <w:tcW w:type="dxa" w:w="2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Month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B2D8F"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11</w:t>
            </w:r>
          </w:p>
        </w:tc>
        <w:tc>
          <w:tcPr>
            <w:tcW w:type="dxa" w:w="8560"/>
            <w:tcBorders>
              <w:top w:val="none" w:color="FFFFFF" w:sz="0"/>
              <w:left w:val="none" w:color="FFFFFF" w:sz="0"/>
              <w:bottom w:val="single" w:color="4B2D8F"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4B2D8F"/>
                <w:sz w:val="32"/>
                <w:szCs w:val="32"/>
              </w:rPr>
              <w:t xml:space="preserve">The Loan Provider Vision — Year 6+</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EEEE" w:sz="1"/>
              <w:left w:val="single" w:color="4B2D8F" w:sz="20"/>
              <w:bottom w:val="single" w:color="EEEEEE" w:sz="1"/>
              <w:right w:val="single" w:color="EEEEEE" w:sz="1"/>
            </w:tcBorders>
            <w:shd w:fill="F4ECF7" w:val="clear"/>
            <w:tcMar>
              <w:top w:type="dxa" w:w="160"/>
              <w:left w:type="dxa" w:w="260"/>
              <w:bottom w:type="dxa" w:w="160"/>
              <w:right w:type="dxa" w:w="260"/>
            </w:tcMar>
          </w:tcPr>
          <w:p>
            <w:pPr>
              <w:spacing w:after="60" w:before="0"/>
              <w:jc w:val="left"/>
            </w:pPr>
            <w:r>
              <w:rPr>
                <w:rFonts w:ascii="Arial" w:cs="Arial" w:eastAsia="Arial" w:hAnsi="Arial"/>
                <w:b/>
                <w:bCs/>
                <w:i w:val="false"/>
                <w:iCs w:val="false"/>
                <w:color w:val="4B2D8F"/>
                <w:sz w:val="22"/>
                <w:szCs w:val="22"/>
              </w:rPr>
              <w:t xml:space="preserve">The Long Game</w:t>
            </w:r>
          </w:p>
          <w:p>
            <w:pPr>
              <w:spacing w:after="0" w:before="0"/>
              <w:jc w:val="left"/>
            </w:pPr>
            <w:r>
              <w:rPr>
                <w:rFonts w:ascii="Arial" w:cs="Arial" w:eastAsia="Arial" w:hAnsi="Arial"/>
                <w:b w:val="false"/>
                <w:bCs w:val="false"/>
                <w:i w:val="false"/>
                <w:iCs w:val="false"/>
                <w:color w:val="3D3D3D"/>
                <w:sz w:val="20"/>
                <w:szCs w:val="20"/>
              </w:rPr>
              <w:t xml:space="preserve">After 5 years of operating as an advisory and referral platform, FinWise will have built the most detailed understanding of Indian borrowers' financial behavior of any platform in the country. That data moat, combined with a trusted brand and an active user base of 35M+, creates a unique opportunity: become a licensed direct lender — eliminating the referral middleman and capturing the full spread.</w:t>
            </w:r>
          </w:p>
        </w:tc>
      </w:tr>
    </w:tbl>
    <w:p>
      <w:pPr>
        <w:spacing w:after="0" w:before="140"/>
      </w:pPr>
      <w:r>
        <w:t xml:space="preserve"/>
      </w:r>
    </w:p>
    <w:p>
      <w:pPr>
        <w:spacing w:after="80" w:before="80"/>
        <w:jc w:val="left"/>
      </w:pPr>
      <w:r>
        <w:rPr>
          <w:rFonts w:ascii="Arial" w:cs="Arial" w:eastAsia="Arial" w:hAnsi="Arial"/>
          <w:b/>
          <w:bCs/>
          <w:i w:val="false"/>
          <w:iCs w:val="false"/>
          <w:color w:val="0B2545"/>
          <w:sz w:val="24"/>
          <w:szCs w:val="24"/>
        </w:rPr>
        <w:t xml:space="preserve">11.1  Why This Makes Sense — The Setup Phase (Year 1-5)</w:t>
      </w:r>
    </w:p>
    <w:p>
      <w:pPr>
        <w:spacing w:after="0" w:before="60"/>
      </w:pPr>
      <w:r>
        <w:t xml:space="preserve"/>
      </w:r>
    </w:p>
    <w:p>
      <w:pPr>
        <w:pStyle w:val="ListParagraph"/>
        <w:numPr>
          <w:ilvl w:val="0"/>
          <w:numId w:val="2"/>
        </w:numPr>
        <w:spacing w:after="55" w:before="55"/>
      </w:pPr>
      <w:r>
        <w:rPr>
          <w:rFonts w:ascii="Arial" w:cs="Arial" w:eastAsia="Arial" w:hAnsi="Arial"/>
          <w:color w:val="3D3D3D"/>
          <w:sz w:val="21"/>
          <w:szCs w:val="21"/>
        </w:rPr>
        <w:t xml:space="preserve">5 years of AI-driven financial profiling: FinWise knows each user's income trajectory, repayment behavior, spending discipline, and financial goals</w:t>
      </w:r>
    </w:p>
    <w:p>
      <w:pPr>
        <w:pStyle w:val="ListParagraph"/>
        <w:numPr>
          <w:ilvl w:val="0"/>
          <w:numId w:val="2"/>
        </w:numPr>
        <w:spacing w:after="55" w:before="55"/>
      </w:pPr>
      <w:r>
        <w:rPr>
          <w:rFonts w:ascii="Arial" w:cs="Arial" w:eastAsia="Arial" w:hAnsi="Arial"/>
          <w:color w:val="3D3D3D"/>
          <w:sz w:val="21"/>
          <w:szCs w:val="21"/>
        </w:rPr>
        <w:t xml:space="preserve">Trusted relationship: users who've relied on FinWise for card guidance and loan matching trust FinWise deeply — brand equity for direct lending</w:t>
      </w:r>
    </w:p>
    <w:p>
      <w:pPr>
        <w:pStyle w:val="ListParagraph"/>
        <w:numPr>
          <w:ilvl w:val="0"/>
          <w:numId w:val="2"/>
        </w:numPr>
        <w:spacing w:after="55" w:before="55"/>
      </w:pPr>
      <w:r>
        <w:rPr>
          <w:rFonts w:ascii="Arial" w:cs="Arial" w:eastAsia="Arial" w:hAnsi="Arial"/>
          <w:color w:val="3D3D3D"/>
          <w:sz w:val="21"/>
          <w:szCs w:val="21"/>
        </w:rPr>
        <w:t xml:space="preserve">Proprietary credit signal: FinWise's query history and spending pattern data supplements CIBIL — a richer creditworthiness picture than traditional banks use</w:t>
      </w:r>
    </w:p>
    <w:p>
      <w:pPr>
        <w:pStyle w:val="ListParagraph"/>
        <w:numPr>
          <w:ilvl w:val="0"/>
          <w:numId w:val="2"/>
        </w:numPr>
        <w:spacing w:after="55" w:before="55"/>
      </w:pPr>
      <w:r>
        <w:rPr>
          <w:rFonts w:ascii="Arial" w:cs="Arial" w:eastAsia="Arial" w:hAnsi="Arial"/>
          <w:color w:val="3D3D3D"/>
          <w:sz w:val="21"/>
          <w:szCs w:val="21"/>
        </w:rPr>
        <w:t xml:space="preserve">Existing NBFC relationships: 5 years of referral partnerships = relationships, regulatory familiarity, and co-lending opportunity</w:t>
      </w:r>
    </w:p>
    <w:p>
      <w:pPr>
        <w:spacing w:after="0" w:before="120"/>
      </w:pPr>
      <w:r>
        <w:t xml:space="preserve"/>
      </w:r>
    </w:p>
    <w:p>
      <w:pPr>
        <w:spacing w:after="80" w:before="80"/>
        <w:jc w:val="left"/>
      </w:pPr>
      <w:r>
        <w:rPr>
          <w:rFonts w:ascii="Arial" w:cs="Arial" w:eastAsia="Arial" w:hAnsi="Arial"/>
          <w:b/>
          <w:bCs/>
          <w:i w:val="false"/>
          <w:iCs w:val="false"/>
          <w:color w:val="0B2545"/>
          <w:sz w:val="24"/>
          <w:szCs w:val="24"/>
        </w:rPr>
        <w:t xml:space="preserve">11.2  The Loan Provider Model — Year 6+</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License Required</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NBFC (Non-Banking Financial Company) license from RBI — ₹2 Cr paid-up capital requirement</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Loan Type (Phase 1)</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Personal loans: ₹10,000–₹2,00,000 — short tenure, high velocity, lower risk</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Target Segment</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Thin-file borrowers: users with limited CIBIL history but strong FinWise behavioral score</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FinWise Credit Score</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Proprietary score combining: CIBIL (40%) + FinWise behavioral data (35%) + income signals (25%)</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Interest Rate</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18–28% APR — competitive vs. informal lenders (40–60%), premium vs. banks (12–16%)</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Underwriting Engine</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Fine-tuned ML model on 5-year FinWise user data — automated approval in &lt;2 minutes</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Capital Model</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Co-lending with existing NBFC partners initially; graduate to full balance sheet lending with Series C capital</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NPA Target</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&lt;4% net NPA — achievable with behavioral data underwriting and small-ticket focus</w:t>
            </w:r>
          </w:p>
        </w:tc>
      </w:tr>
    </w:tbl>
    <w:p>
      <w:pPr>
        <w:spacing w:after="0" w:before="120"/>
      </w:pPr>
      <w:r>
        <w:t xml:space="preserve"/>
      </w:r>
    </w:p>
    <w:p>
      <w:pPr>
        <w:spacing w:after="80" w:before="80"/>
        <w:jc w:val="left"/>
      </w:pPr>
      <w:r>
        <w:rPr>
          <w:rFonts w:ascii="Arial" w:cs="Arial" w:eastAsia="Arial" w:hAnsi="Arial"/>
          <w:b/>
          <w:bCs/>
          <w:i w:val="false"/>
          <w:iCs w:val="false"/>
          <w:color w:val="0B2545"/>
          <w:sz w:val="24"/>
          <w:szCs w:val="24"/>
        </w:rPr>
        <w:t xml:space="preserve">11.3  Revenue Uplift from Direct Lending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Metric</w:t>
            </w:r>
          </w:p>
        </w:tc>
        <w:tc>
          <w:tcPr>
            <w:tcW w:type="dxa" w:w="20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Year 6 (Launch)</w:t>
            </w:r>
          </w:p>
        </w:tc>
        <w:tc>
          <w:tcPr>
            <w:tcW w:type="dxa" w:w="20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Year 7</w:t>
            </w:r>
          </w:p>
        </w:tc>
        <w:tc>
          <w:tcPr>
            <w:tcW w:type="dxa" w:w="21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Year 8</w:t>
            </w:r>
          </w:p>
        </w:tc>
      </w:tr>
      <w:tr>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Loan Book Size</w:t>
            </w:r>
          </w:p>
        </w:tc>
        <w:tc>
          <w:tcPr>
            <w:tcW w:type="dxa" w:w="2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₹50 Cr</w:t>
            </w:r>
          </w:p>
        </w:tc>
        <w:tc>
          <w:tcPr>
            <w:tcW w:type="dxa" w:w="2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₹200 Cr</w:t>
            </w:r>
          </w:p>
        </w:tc>
        <w:tc>
          <w:tcPr>
            <w:tcW w:type="dxa" w:w="2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₹600 Cr</w:t>
            </w:r>
          </w:p>
        </w:tc>
      </w:tr>
      <w:tr>
        <w:tc>
          <w:tcPr>
            <w:tcW w:type="dxa" w:w="3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Avg Loan Size</w:t>
            </w:r>
          </w:p>
        </w:tc>
        <w:tc>
          <w:tcPr>
            <w:tcW w:type="dxa" w:w="2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₹50,000</w:t>
            </w:r>
          </w:p>
        </w:tc>
        <w:tc>
          <w:tcPr>
            <w:tcW w:type="dxa" w:w="2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₹60,000</w:t>
            </w:r>
          </w:p>
        </w:tc>
        <w:tc>
          <w:tcPr>
            <w:tcW w:type="dxa" w:w="21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₹70,000</w:t>
            </w:r>
          </w:p>
        </w:tc>
      </w:tr>
      <w:tr>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Number of Loans Disbursed</w:t>
            </w:r>
          </w:p>
        </w:tc>
        <w:tc>
          <w:tcPr>
            <w:tcW w:type="dxa" w:w="2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10,000</w:t>
            </w:r>
          </w:p>
        </w:tc>
        <w:tc>
          <w:tcPr>
            <w:tcW w:type="dxa" w:w="2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33,333</w:t>
            </w:r>
          </w:p>
        </w:tc>
        <w:tc>
          <w:tcPr>
            <w:tcW w:type="dxa" w:w="2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85,714</w:t>
            </w:r>
          </w:p>
        </w:tc>
      </w:tr>
      <w:tr>
        <w:tc>
          <w:tcPr>
            <w:tcW w:type="dxa" w:w="3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Avg Interest Rate (APR)</w:t>
            </w:r>
          </w:p>
        </w:tc>
        <w:tc>
          <w:tcPr>
            <w:tcW w:type="dxa" w:w="2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22%</w:t>
            </w:r>
          </w:p>
        </w:tc>
        <w:tc>
          <w:tcPr>
            <w:tcW w:type="dxa" w:w="2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21%</w:t>
            </w:r>
          </w:p>
        </w:tc>
        <w:tc>
          <w:tcPr>
            <w:tcW w:type="dxa" w:w="21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20%</w:t>
            </w:r>
          </w:p>
        </w:tc>
      </w:tr>
      <w:tr>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Net Interest Margin</w:t>
            </w:r>
          </w:p>
        </w:tc>
        <w:tc>
          <w:tcPr>
            <w:tcW w:type="dxa" w:w="2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8–10%</w:t>
            </w:r>
          </w:p>
        </w:tc>
        <w:tc>
          <w:tcPr>
            <w:tcW w:type="dxa" w:w="2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9–11%</w:t>
            </w:r>
          </w:p>
        </w:tc>
        <w:tc>
          <w:tcPr>
            <w:tcW w:type="dxa" w:w="2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10–12%</w:t>
            </w:r>
          </w:p>
        </w:tc>
      </w:tr>
      <w:tr>
        <w:tc>
          <w:tcPr>
            <w:tcW w:type="dxa" w:w="3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NII (Net Interest Income)</w:t>
            </w:r>
          </w:p>
        </w:tc>
        <w:tc>
          <w:tcPr>
            <w:tcW w:type="dxa" w:w="2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₹4–5 Cr</w:t>
            </w:r>
          </w:p>
        </w:tc>
        <w:tc>
          <w:tcPr>
            <w:tcW w:type="dxa" w:w="2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₹18–22 Cr</w:t>
            </w:r>
          </w:p>
        </w:tc>
        <w:tc>
          <w:tcPr>
            <w:tcW w:type="dxa" w:w="21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₹60–72 Cr</w:t>
            </w:r>
          </w:p>
        </w:tc>
      </w:tr>
      <w:tr>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Processing Fee Revenue (1%)</w:t>
            </w:r>
          </w:p>
        </w:tc>
        <w:tc>
          <w:tcPr>
            <w:tcW w:type="dxa" w:w="2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₹50L</w:t>
            </w:r>
          </w:p>
        </w:tc>
        <w:tc>
          <w:tcPr>
            <w:tcW w:type="dxa" w:w="2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 Cr</w:t>
            </w:r>
          </w:p>
        </w:tc>
        <w:tc>
          <w:tcPr>
            <w:tcW w:type="dxa" w:w="2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 Cr</w:t>
            </w:r>
          </w:p>
        </w:tc>
      </w:tr>
      <w:tr>
        <w:tc>
          <w:tcPr>
            <w:tcW w:type="dxa" w:w="3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Total Lending Revenue</w:t>
            </w:r>
          </w:p>
        </w:tc>
        <w:tc>
          <w:tcPr>
            <w:tcW w:type="dxa" w:w="2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₹4.5–5.5 Cr</w:t>
            </w:r>
          </w:p>
        </w:tc>
        <w:tc>
          <w:tcPr>
            <w:tcW w:type="dxa" w:w="20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₹20–24 Cr</w:t>
            </w:r>
          </w:p>
        </w:tc>
        <w:tc>
          <w:tcPr>
            <w:tcW w:type="dxa" w:w="21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₹66–78 Cr</w:t>
            </w:r>
          </w:p>
        </w:tc>
      </w:tr>
      <w:tr>
        <w:tc>
          <w:tcPr>
            <w:tcW w:type="dxa" w:w="3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Existing Platform Revenue</w:t>
            </w:r>
          </w:p>
        </w:tc>
        <w:tc>
          <w:tcPr>
            <w:tcW w:type="dxa" w:w="2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₹180 Cr+</w:t>
            </w:r>
          </w:p>
        </w:tc>
        <w:tc>
          <w:tcPr>
            <w:tcW w:type="dxa" w:w="20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₹240 Cr+</w:t>
            </w:r>
          </w:p>
        </w:tc>
        <w:tc>
          <w:tcPr>
            <w:tcW w:type="dxa" w:w="21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₹320 Cr+</w:t>
            </w:r>
          </w:p>
        </w:tc>
      </w:tr>
    </w:tbl>
    <w:p>
      <w:pPr>
        <w:spacing w:after="0" w:before="120"/>
      </w:pPr>
      <w:r>
        <w:t xml:space="preserve"/>
      </w:r>
    </w:p>
    <w:p>
      <w:pPr>
        <w:spacing w:after="80" w:before="80"/>
        <w:jc w:val="left"/>
      </w:pPr>
      <w:r>
        <w:rPr>
          <w:rFonts w:ascii="Arial" w:cs="Arial" w:eastAsia="Arial" w:hAnsi="Arial"/>
          <w:b/>
          <w:bCs/>
          <w:i w:val="false"/>
          <w:iCs w:val="false"/>
          <w:color w:val="0B2545"/>
          <w:sz w:val="24"/>
          <w:szCs w:val="24"/>
        </w:rPr>
        <w:t xml:space="preserve">11.4  Path to NBFC License</w:t>
      </w:r>
    </w:p>
    <w:p>
      <w:pPr>
        <w:spacing w:after="0" w:before="60"/>
      </w:pPr>
      <w:r>
        <w:t xml:space="preserve"/>
      </w:r>
    </w:p>
    <w:p>
      <w:pPr>
        <w:pStyle w:val="ListParagraph"/>
        <w:numPr>
          <w:ilvl w:val="0"/>
          <w:numId w:val="3"/>
        </w:numPr>
        <w:spacing w:after="55" w:before="55"/>
      </w:pPr>
      <w:r>
        <w:rPr>
          <w:rFonts w:ascii="Arial" w:cs="Arial" w:eastAsia="Arial" w:hAnsi="Arial"/>
          <w:color w:val="3D3D3D"/>
          <w:sz w:val="21"/>
          <w:szCs w:val="21"/>
        </w:rPr>
        <w:t xml:space="preserve">Year 3-4: Establish co-lending agreement with a licensed NBFC partner — FinWise provides leads + underwriting signals; NBFC holds the book</w:t>
      </w:r>
    </w:p>
    <w:p>
      <w:pPr>
        <w:pStyle w:val="ListParagraph"/>
        <w:numPr>
          <w:ilvl w:val="0"/>
          <w:numId w:val="3"/>
        </w:numPr>
        <w:spacing w:after="55" w:before="55"/>
      </w:pPr>
      <w:r>
        <w:rPr>
          <w:rFonts w:ascii="Arial" w:cs="Arial" w:eastAsia="Arial" w:hAnsi="Arial"/>
          <w:color w:val="3D3D3D"/>
          <w:sz w:val="21"/>
          <w:szCs w:val="21"/>
        </w:rPr>
        <w:t xml:space="preserve">Year 4-5: Apply for NBFC license with RBI. Requirements: ₹2 Cr minimum paid-up capital (easily met by Y4 profitability), 12 months of audited financials, fit-and-proper criteria for directors</w:t>
      </w:r>
    </w:p>
    <w:p>
      <w:pPr>
        <w:pStyle w:val="ListParagraph"/>
        <w:numPr>
          <w:ilvl w:val="0"/>
          <w:numId w:val="3"/>
        </w:numPr>
        <w:spacing w:after="55" w:before="55"/>
      </w:pPr>
      <w:r>
        <w:rPr>
          <w:rFonts w:ascii="Arial" w:cs="Arial" w:eastAsia="Arial" w:hAnsi="Arial"/>
          <w:color w:val="3D3D3D"/>
          <w:sz w:val="21"/>
          <w:szCs w:val="21"/>
        </w:rPr>
        <w:t xml:space="preserve">Year 5: Shadow lending period — operate under co-lending while NBFC license processes (typically 12-18 months)</w:t>
      </w:r>
    </w:p>
    <w:p>
      <w:pPr>
        <w:pStyle w:val="ListParagraph"/>
        <w:numPr>
          <w:ilvl w:val="0"/>
          <w:numId w:val="3"/>
        </w:numPr>
        <w:spacing w:after="55" w:before="55"/>
      </w:pPr>
      <w:r>
        <w:rPr>
          <w:rFonts w:ascii="Arial" w:cs="Arial" w:eastAsia="Arial" w:hAnsi="Arial"/>
          <w:color w:val="3D3D3D"/>
          <w:sz w:val="21"/>
          <w:szCs w:val="21"/>
        </w:rPr>
        <w:t xml:space="preserve">Year 6: Full NBFC license operational — begin balance-sheet lending for personal loans up to ₹2L</w:t>
      </w:r>
    </w:p>
    <w:p>
      <w:pPr>
        <w:pStyle w:val="ListParagraph"/>
        <w:numPr>
          <w:ilvl w:val="0"/>
          <w:numId w:val="3"/>
        </w:numPr>
        <w:spacing w:after="55" w:before="55"/>
      </w:pPr>
      <w:r>
        <w:rPr>
          <w:rFonts w:ascii="Arial" w:cs="Arial" w:eastAsia="Arial" w:hAnsi="Arial"/>
          <w:color w:val="3D3D3D"/>
          <w:sz w:val="21"/>
          <w:szCs w:val="21"/>
        </w:rPr>
        <w:t xml:space="preserve">Year 7-8: Scale loan book with Series C capital; introduce secured products (loan against securities, ESOP-backed loans)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EEEE" w:sz="1"/>
              <w:left w:val="single" w:color="4B2D8F" w:sz="20"/>
              <w:bottom w:val="single" w:color="EEEEEE" w:sz="1"/>
              <w:right w:val="single" w:color="EEEEEE" w:sz="1"/>
            </w:tcBorders>
            <w:shd w:fill="F4ECF7" w:val="clear"/>
            <w:tcMar>
              <w:top w:type="dxa" w:w="160"/>
              <w:left w:type="dxa" w:w="260"/>
              <w:bottom w:type="dxa" w:w="160"/>
              <w:right w:type="dxa" w:w="260"/>
            </w:tcMar>
          </w:tcPr>
          <w:p>
            <w:pPr>
              <w:spacing w:after="60" w:before="0"/>
              <w:jc w:val="left"/>
            </w:pPr>
            <w:r>
              <w:rPr>
                <w:rFonts w:ascii="Arial" w:cs="Arial" w:eastAsia="Arial" w:hAnsi="Arial"/>
                <w:b/>
                <w:bCs/>
                <w:i w:val="false"/>
                <w:iCs w:val="false"/>
                <w:color w:val="4B2D8F"/>
                <w:sz w:val="22"/>
                <w:szCs w:val="22"/>
              </w:rPr>
              <w:t xml:space="preserve">Valuation Impact of NBFC License</w:t>
            </w:r>
          </w:p>
          <w:p>
            <w:pPr>
              <w:spacing w:after="0" w:before="0"/>
              <w:jc w:val="left"/>
            </w:pPr>
            <w:r>
              <w:rPr>
                <w:rFonts w:ascii="Arial" w:cs="Arial" w:eastAsia="Arial" w:hAnsi="Arial"/>
                <w:b w:val="false"/>
                <w:bCs w:val="false"/>
                <w:i w:val="false"/>
                <w:iCs w:val="false"/>
                <w:color w:val="3D3D3D"/>
                <w:sz w:val="20"/>
                <w:szCs w:val="20"/>
              </w:rPr>
              <w:t xml:space="preserve">Fintech lending companies in India trade at 3-5x book value + 15-25x earnings. Adding a lending vertical to FinWise's advisory+SaaS base creates a multi-category fintech valued on blended multiples. Comparable Indian fintechs with lending capabilities (Slice, KreditBee, MoneyTap pre-acquisition) were valued at $500M–$2B. FinWise's 5-year user data moat and brand trust would command a significant premium in that landscape.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A93226"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12</w:t>
            </w:r>
          </w:p>
        </w:tc>
        <w:tc>
          <w:tcPr>
            <w:tcW w:type="dxa" w:w="8560"/>
            <w:tcBorders>
              <w:top w:val="none" w:color="FFFFFF" w:sz="0"/>
              <w:left w:val="none" w:color="FFFFFF" w:sz="0"/>
              <w:bottom w:val="single" w:color="A93226"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A93226"/>
                <w:sz w:val="32"/>
                <w:szCs w:val="32"/>
              </w:rPr>
              <w:t xml:space="preserve">Risk Analysis &amp; Mitigation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900"/>
        <w:gridCol w:w="3960"/>
      </w:tblGrid>
      <w:tr>
        <w:tc>
          <w:tcPr>
            <w:tcW w:type="dxa" w:w="22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Category</w:t>
            </w:r>
          </w:p>
        </w:tc>
        <w:tc>
          <w:tcPr>
            <w:tcW w:type="dxa" w:w="11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Likelihood</w:t>
            </w:r>
          </w:p>
        </w:tc>
        <w:tc>
          <w:tcPr>
            <w:tcW w:type="dxa" w:w="9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Impact</w:t>
            </w:r>
          </w:p>
        </w:tc>
        <w:tc>
          <w:tcPr>
            <w:tcW w:type="dxa" w:w="39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Mitigation Strategy</w:t>
            </w:r>
          </w:p>
        </w:tc>
      </w:tr>
      <w:tr>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AI model hallucination
(wrong fee / interest rate)</w:t>
            </w:r>
          </w:p>
        </w:tc>
        <w:tc>
          <w:tcPr>
            <w:tcW w:type="dxa" w:w="1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Technical</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Medium</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High</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RAG over verified dataset; weekly automated fact-check; 'Verify with bank' CTA on every answer</w:t>
            </w:r>
          </w:p>
        </w:tc>
      </w:tr>
      <w:tr>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RBI regulatory action
(acting as financial advisor)</w:t>
            </w:r>
          </w:p>
        </w:tc>
        <w:tc>
          <w:tcPr>
            <w:tcW w:type="dxa" w:w="1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Regulatory</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Medium</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High</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Position as 'information platform'; add SEBI/RBI disclaimers; consult fintech-specialized lawyers from Month 1</w:t>
            </w:r>
          </w:p>
        </w:tc>
      </w:tr>
      <w:tr>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Data breach / privacy
concern</w:t>
            </w:r>
          </w:p>
        </w:tc>
        <w:tc>
          <w:tcPr>
            <w:tcW w:type="dxa" w:w="1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Security</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Low</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High</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Local-first architecture eliminates cloud risk; SOC 2 audit in Year 2; no PII stored in cloud</w:t>
            </w:r>
          </w:p>
        </w:tc>
      </w:tr>
      <w:tr>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Bank affiliate program
commission cuts</w:t>
            </w:r>
          </w:p>
        </w:tc>
        <w:tc>
          <w:tcPr>
            <w:tcW w:type="dxa" w:w="1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Commercial</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Medium</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Medium</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Diversify across 8 revenue streams; no single stream &gt;44% of revenue by Y3</w:t>
            </w:r>
          </w:p>
        </w:tc>
      </w:tr>
      <w:tr>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Dataset staleness
(card terms change frequently)</w:t>
            </w:r>
          </w:p>
        </w:tc>
        <w:tc>
          <w:tcPr>
            <w:tcW w:type="dxa" w:w="1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Operational</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High</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Medium</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Automated weekly scrapers; user 'flag incorrect info' button; dataset version control</w:t>
            </w:r>
          </w:p>
        </w:tc>
      </w:tr>
      <w:tr>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Competition: SaveSage /
BankBazaar launches AI</w:t>
            </w:r>
          </w:p>
        </w:tc>
        <w:tc>
          <w:tcPr>
            <w:tcW w:type="dxa" w:w="1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Competitive</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Medium</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Medium</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Local model + Hindi-first + loan vertical = different enough; 18-month data moat head start</w:t>
            </w:r>
          </w:p>
        </w:tc>
      </w:tr>
      <w:tr>
        <w:tc>
          <w:tcPr>
            <w:tcW w:type="dxa" w:w="2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Low NBFC conversion
(loan referral quality)</w:t>
            </w:r>
          </w:p>
        </w:tc>
        <w:tc>
          <w:tcPr>
            <w:tcW w:type="dxa" w:w="12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Commercial</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Low</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Medium</w:t>
            </w:r>
          </w:p>
        </w:tc>
        <w:tc>
          <w:tcPr>
            <w:tcW w:type="dxa" w:w="39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Pre-screen users with CIBIL range check before sending referral; reduces junk leads</w:t>
            </w:r>
          </w:p>
        </w:tc>
      </w:tr>
      <w:tr>
        <w:tc>
          <w:tcPr>
            <w:tcW w:type="dxa" w:w="2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Founder/key person risk</w:t>
            </w:r>
          </w:p>
        </w:tc>
        <w:tc>
          <w:tcPr>
            <w:tcW w:type="dxa" w:w="12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Operational</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Medium</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High</w:t>
            </w:r>
          </w:p>
        </w:tc>
        <w:tc>
          <w:tcPr>
            <w:tcW w:type="dxa" w:w="39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Document all processes; cross-train ML engineer; ESOP structure for retention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7860A" w:val="clear"/>
            <w:tcMar>
              <w:top w:type="dxa" w:w="120"/>
              <w:left w:type="dxa" w:w="120"/>
              <w:bottom w:type="dxa" w:w="120"/>
              <w:right w:type="dxa" w:w="120"/>
            </w:tcMar>
          </w:tcPr>
          <w:p>
            <w:pPr>
              <w:spacing w:after="0" w:before="0"/>
              <w:jc w:val="center"/>
            </w:pPr>
            <w:r>
              <w:rPr>
                <w:rFonts w:ascii="Arial" w:cs="Arial" w:eastAsia="Arial" w:hAnsi="Arial"/>
                <w:b/>
                <w:bCs/>
                <w:i w:val="false"/>
                <w:iCs w:val="false"/>
                <w:color w:val="FFFFFF"/>
                <w:sz w:val="36"/>
                <w:szCs w:val="36"/>
              </w:rPr>
              <w:t xml:space="preserve">13</w:t>
            </w:r>
          </w:p>
        </w:tc>
        <w:tc>
          <w:tcPr>
            <w:tcW w:type="dxa" w:w="8560"/>
            <w:tcBorders>
              <w:top w:val="none" w:color="FFFFFF" w:sz="0"/>
              <w:left w:val="none" w:color="FFFFFF" w:sz="0"/>
              <w:bottom w:val="single" w:color="B7860A" w:sz="4"/>
              <w:right w:val="none" w:color="FFFFFF" w:sz="0"/>
            </w:tcBorders>
            <w:shd w:fill="F8F9FA"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B7860A"/>
                <w:sz w:val="32"/>
                <w:szCs w:val="32"/>
              </w:rPr>
              <w:t xml:space="preserve">The Ask — Seed Funding &amp; Use of Capital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EEEE" w:sz="1"/>
              <w:left w:val="single" w:color="B7860A" w:sz="20"/>
              <w:bottom w:val="single" w:color="EEEEEE" w:sz="1"/>
              <w:right w:val="single" w:color="EEEEEE" w:sz="1"/>
            </w:tcBorders>
            <w:shd w:fill="FEF9E7" w:val="clear"/>
            <w:tcMar>
              <w:top w:type="dxa" w:w="160"/>
              <w:left w:type="dxa" w:w="260"/>
              <w:bottom w:type="dxa" w:w="160"/>
              <w:right w:type="dxa" w:w="260"/>
            </w:tcMar>
          </w:tcPr>
          <w:p>
            <w:pPr>
              <w:spacing w:after="60" w:before="0"/>
              <w:jc w:val="left"/>
            </w:pPr>
            <w:r>
              <w:rPr>
                <w:rFonts w:ascii="Arial" w:cs="Arial" w:eastAsia="Arial" w:hAnsi="Arial"/>
                <w:b/>
                <w:bCs/>
                <w:i w:val="false"/>
                <w:iCs w:val="false"/>
                <w:color w:val="B7860A"/>
                <w:sz w:val="22"/>
                <w:szCs w:val="22"/>
              </w:rPr>
              <w:t xml:space="preserve">Funding Ask</w:t>
            </w:r>
          </w:p>
          <w:p>
            <w:pPr>
              <w:spacing w:after="0" w:before="0"/>
              <w:jc w:val="left"/>
            </w:pPr>
            <w:r>
              <w:rPr>
                <w:rFonts w:ascii="Arial" w:cs="Arial" w:eastAsia="Arial" w:hAnsi="Arial"/>
                <w:b w:val="false"/>
                <w:bCs w:val="false"/>
                <w:i w:val="false"/>
                <w:iCs w:val="false"/>
                <w:color w:val="3D3D3D"/>
                <w:sz w:val="20"/>
                <w:szCs w:val="20"/>
              </w:rPr>
              <w:t xml:space="preserve">FinWise AI is seeking ₹1.5 Crore in Seed funding at a pre-money valuation of ₹8 Crore (approx 15.8% equity). This gives the company 18 months of runway to reach cash-flow positive and set up a Series A at significantly higher valuation.</w:t>
            </w:r>
          </w:p>
        </w:tc>
      </w:tr>
    </w:tbl>
    <w:p>
      <w:pPr>
        <w:spacing w:after="0" w:before="140"/>
      </w:pPr>
      <w:r>
        <w:t xml:space="preserve"/>
      </w:r>
    </w:p>
    <w:p>
      <w:pPr>
        <w:spacing w:after="80" w:before="80"/>
        <w:jc w:val="left"/>
      </w:pPr>
      <w:r>
        <w:rPr>
          <w:rFonts w:ascii="Arial" w:cs="Arial" w:eastAsia="Arial" w:hAnsi="Arial"/>
          <w:b/>
          <w:bCs/>
          <w:i w:val="false"/>
          <w:iCs w:val="false"/>
          <w:color w:val="0B2545"/>
          <w:sz w:val="24"/>
          <w:szCs w:val="24"/>
        </w:rPr>
        <w:t xml:space="preserve">13.1  Use of Capital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100"/>
        <w:gridCol w:w="4560"/>
      </w:tblGrid>
      <w:tr>
        <w:tc>
          <w:tcPr>
            <w:tcW w:type="dxa" w:w="28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Category</w:t>
            </w:r>
          </w:p>
        </w:tc>
        <w:tc>
          <w:tcPr>
            <w:tcW w:type="dxa" w:w="9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Amount</w:t>
            </w:r>
          </w:p>
        </w:tc>
        <w:tc>
          <w:tcPr>
            <w:tcW w:type="dxa" w:w="11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 of Raise</w:t>
            </w:r>
          </w:p>
        </w:tc>
        <w:tc>
          <w:tcPr>
            <w:tcW w:type="dxa" w:w="45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What It Buys</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Team (ML + Backend + Frontend)</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₹72L</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48%</w:t>
            </w:r>
          </w:p>
        </w:tc>
        <w:tc>
          <w:tcPr>
            <w:tcW w:type="dxa" w:w="4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3 core technical hires for 18 months — the engine of the product</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GPU Server (Training + Inference)</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₹15L</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w:t>
            </w:r>
          </w:p>
        </w:tc>
        <w:tc>
          <w:tcPr>
            <w:tcW w:type="dxa" w:w="4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NVIDIA RTX 4090 or A10G cloud instance + local server setup</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Marketing &amp; User Acquisition</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₹24L</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16%</w:t>
            </w:r>
          </w:p>
        </w:tc>
        <w:tc>
          <w:tcPr>
            <w:tcW w:type="dxa" w:w="4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SEO content production, influencer partnerships, WhatsApp bot growth</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Legal &amp; Regulatory</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₹10L</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6.7%</w:t>
            </w:r>
          </w:p>
        </w:tc>
        <w:tc>
          <w:tcPr>
            <w:tcW w:type="dxa" w:w="4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Fintech legal counsel, affiliate agreements, privacy compliance</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Product &amp; Design</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₹12L</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w:t>
            </w:r>
          </w:p>
        </w:tc>
        <w:tc>
          <w:tcPr>
            <w:tcW w:type="dxa" w:w="4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UI/UX design, Android app development, WhatsApp integration</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Operations &amp; Tools</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₹8L</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5.3%</w:t>
            </w:r>
          </w:p>
        </w:tc>
        <w:tc>
          <w:tcPr>
            <w:tcW w:type="dxa" w:w="4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SaaS tools, analytics, hosting, domain, miscellaneous</w:t>
            </w:r>
          </w:p>
        </w:tc>
      </w:tr>
      <w:tr>
        <w:tc>
          <w:tcPr>
            <w:tcW w:type="dxa" w:w="28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Buffer / Working Capital</w:t>
            </w:r>
          </w:p>
        </w:tc>
        <w:tc>
          <w:tcPr>
            <w:tcW w:type="dxa" w:w="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₹9L</w:t>
            </w:r>
          </w:p>
        </w:tc>
        <w:tc>
          <w:tcPr>
            <w:tcW w:type="dxa" w:w="11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w:t>
            </w:r>
          </w:p>
        </w:tc>
        <w:tc>
          <w:tcPr>
            <w:tcW w:type="dxa" w:w="4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Contingency and opportunity reserve</w:t>
            </w:r>
          </w:p>
        </w:tc>
      </w:tr>
      <w:tr>
        <w:tc>
          <w:tcPr>
            <w:tcW w:type="dxa" w:w="28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TOTAL</w:t>
            </w:r>
          </w:p>
        </w:tc>
        <w:tc>
          <w:tcPr>
            <w:tcW w:type="dxa" w:w="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₹1.5 Cr</w:t>
            </w:r>
          </w:p>
        </w:tc>
        <w:tc>
          <w:tcPr>
            <w:tcW w:type="dxa" w:w="11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100%</w:t>
            </w:r>
          </w:p>
        </w:tc>
        <w:tc>
          <w:tcPr>
            <w:tcW w:type="dxa" w:w="4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18 months to ₹25L/month revenue run rate</w:t>
            </w:r>
          </w:p>
        </w:tc>
      </w:tr>
    </w:tbl>
    <w:p>
      <w:pPr>
        <w:spacing w:after="0" w:before="140"/>
      </w:pPr>
      <w:r>
        <w:t xml:space="preserve"/>
      </w:r>
    </w:p>
    <w:p>
      <w:pPr>
        <w:spacing w:after="80" w:before="80"/>
        <w:jc w:val="left"/>
      </w:pPr>
      <w:r>
        <w:rPr>
          <w:rFonts w:ascii="Arial" w:cs="Arial" w:eastAsia="Arial" w:hAnsi="Arial"/>
          <w:b/>
          <w:bCs/>
          <w:i w:val="false"/>
          <w:iCs w:val="false"/>
          <w:color w:val="0B2545"/>
          <w:sz w:val="24"/>
          <w:szCs w:val="24"/>
        </w:rPr>
        <w:t xml:space="preserve">13.2  What We Achieve With This Capital</w:t>
      </w:r>
    </w:p>
    <w:p>
      <w:pPr>
        <w:spacing w:after="0" w:before="60"/>
      </w:pPr>
      <w:r>
        <w:t xml:space="preserve"/>
      </w:r>
    </w:p>
    <w:p>
      <w:pPr>
        <w:pStyle w:val="ListParagraph"/>
        <w:numPr>
          <w:ilvl w:val="0"/>
          <w:numId w:val="2"/>
        </w:numPr>
        <w:spacing w:after="55" w:before="55"/>
      </w:pPr>
      <w:r>
        <w:rPr>
          <w:rFonts w:ascii="Arial" w:cs="Arial" w:eastAsia="Arial" w:hAnsi="Arial"/>
          <w:color w:val="3D3D3D"/>
          <w:sz w:val="21"/>
          <w:szCs w:val="21"/>
        </w:rPr>
        <w:t xml:space="preserve">50,000 MAU and ₹25L/month revenue by Month 18 — clear path to Series A</w:t>
      </w:r>
    </w:p>
    <w:p>
      <w:pPr>
        <w:pStyle w:val="ListParagraph"/>
        <w:numPr>
          <w:ilvl w:val="0"/>
          <w:numId w:val="2"/>
        </w:numPr>
        <w:spacing w:after="55" w:before="55"/>
      </w:pPr>
      <w:r>
        <w:rPr>
          <w:rFonts w:ascii="Arial" w:cs="Arial" w:eastAsia="Arial" w:hAnsi="Arial"/>
          <w:color w:val="3D3D3D"/>
          <w:sz w:val="21"/>
          <w:szCs w:val="21"/>
        </w:rPr>
        <w:t xml:space="preserve">Fine-tuned local model live on web + Android + WhatsApp — three active channels</w:t>
      </w:r>
    </w:p>
    <w:p>
      <w:pPr>
        <w:pStyle w:val="ListParagraph"/>
        <w:numPr>
          <w:ilvl w:val="0"/>
          <w:numId w:val="2"/>
        </w:numPr>
        <w:spacing w:after="55" w:before="55"/>
      </w:pPr>
      <w:r>
        <w:rPr>
          <w:rFonts w:ascii="Arial" w:cs="Arial" w:eastAsia="Arial" w:hAnsi="Arial"/>
          <w:color w:val="3D3D3D"/>
          <w:sz w:val="21"/>
          <w:szCs w:val="21"/>
        </w:rPr>
        <w:t xml:space="preserve">5 bank + NBFC affiliate partnerships signed and generating commissions</w:t>
      </w:r>
    </w:p>
    <w:p>
      <w:pPr>
        <w:pStyle w:val="ListParagraph"/>
        <w:numPr>
          <w:ilvl w:val="0"/>
          <w:numId w:val="2"/>
        </w:numPr>
        <w:spacing w:after="55" w:before="55"/>
      </w:pPr>
      <w:r>
        <w:rPr>
          <w:rFonts w:ascii="Arial" w:cs="Arial" w:eastAsia="Arial" w:hAnsi="Arial"/>
          <w:color w:val="3D3D3D"/>
          <w:sz w:val="21"/>
          <w:szCs w:val="21"/>
        </w:rPr>
        <w:t xml:space="preserve">First B2B API pilot with an NBFC — revenue diversification proof point</w:t>
      </w:r>
    </w:p>
    <w:p>
      <w:pPr>
        <w:pStyle w:val="ListParagraph"/>
        <w:numPr>
          <w:ilvl w:val="0"/>
          <w:numId w:val="2"/>
        </w:numPr>
        <w:spacing w:after="55" w:before="55"/>
      </w:pPr>
      <w:r>
        <w:rPr>
          <w:rFonts w:ascii="Arial" w:cs="Arial" w:eastAsia="Arial" w:hAnsi="Arial"/>
          <w:color w:val="3D3D3D"/>
          <w:sz w:val="21"/>
          <w:szCs w:val="21"/>
        </w:rPr>
        <w:t xml:space="preserve">1,500–2,000 paying Pro/Elite subscribers — subscription revenue validation</w:t>
      </w:r>
    </w:p>
    <w:p>
      <w:pPr>
        <w:pStyle w:val="ListParagraph"/>
        <w:numPr>
          <w:ilvl w:val="0"/>
          <w:numId w:val="2"/>
        </w:numPr>
        <w:spacing w:after="55" w:before="55"/>
      </w:pPr>
      <w:r>
        <w:rPr>
          <w:rFonts w:ascii="Arial" w:cs="Arial" w:eastAsia="Arial" w:hAnsi="Arial"/>
          <w:color w:val="3D3D3D"/>
          <w:sz w:val="21"/>
          <w:szCs w:val="21"/>
        </w:rPr>
        <w:t xml:space="preserve">SEO content library of 200+ articles — compounding organic growth engine established</w:t>
      </w:r>
    </w:p>
    <w:p>
      <w:pPr>
        <w:spacing w:after="0" w:before="140"/>
      </w:pPr>
      <w:r>
        <w:t xml:space="preserve"/>
      </w:r>
    </w:p>
    <w:p>
      <w:pPr>
        <w:spacing w:after="80" w:before="80"/>
        <w:jc w:val="left"/>
      </w:pPr>
      <w:r>
        <w:rPr>
          <w:rFonts w:ascii="Arial" w:cs="Arial" w:eastAsia="Arial" w:hAnsi="Arial"/>
          <w:b/>
          <w:bCs/>
          <w:i w:val="false"/>
          <w:iCs w:val="false"/>
          <w:color w:val="0B2545"/>
          <w:sz w:val="24"/>
          <w:szCs w:val="24"/>
        </w:rPr>
        <w:t xml:space="preserve">13.3  Series A Pathway (Month 18–24)</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Target Raise (Series A)</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₹15–20 Crore</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Projected Valuation</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₹80–100 Crore (9-10x Y2 ARR multiple — standard for Indian fintech SaaS)</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Use of Series A</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Scale to 25L MAU; hire 15 more people; launch B2B API commercially; Tamil/Telugu expansion; NBFC co-lending pilot</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Lead Investor Profile</w:t>
            </w:r>
          </w:p>
        </w:tc>
        <w:tc>
          <w:tcPr>
            <w:tcW w:type="dxa" w:w="6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Fintech-focused VCs: Blume Ventures, Elevation Capital, Accel India, Matrix Partners India</w:t>
            </w:r>
          </w:p>
        </w:tc>
      </w:tr>
      <w:tr>
        <w:tc>
          <w:tcPr>
            <w:tcW w:type="dxa" w:w="2800"/>
            <w:tcBorders>
              <w:top w:val="single" w:color="DDDDDD" w:sz="1"/>
              <w:left w:val="single" w:color="DDDDDD" w:sz="1"/>
              <w:bottom w:val="single" w:color="DDDDDD" w:sz="1"/>
              <w:right w:val="single" w:color="DDDDDD" w:sz="1"/>
            </w:tcBorders>
            <w:shd w:fill="EAF0F6" w:val="clear"/>
            <w:tcMar>
              <w:top w:type="dxa" w:w="110"/>
              <w:left w:type="dxa" w:w="150"/>
              <w:bottom w:type="dxa" w:w="110"/>
              <w:right w:type="dxa" w:w="150"/>
            </w:tcMar>
          </w:tcPr>
          <w:p>
            <w:pPr>
              <w:jc w:val="left"/>
            </w:pPr>
            <w:r>
              <w:rPr>
                <w:rFonts w:ascii="Arial" w:cs="Arial" w:eastAsia="Arial" w:hAnsi="Arial"/>
                <w:b/>
                <w:bCs/>
                <w:color w:val="0B2545"/>
                <w:sz w:val="20"/>
                <w:szCs w:val="20"/>
              </w:rPr>
              <w:t xml:space="preserve">Revenue at Series A</w:t>
            </w:r>
          </w:p>
        </w:tc>
        <w:tc>
          <w:tcPr>
            <w:tcW w:type="dxa" w:w="6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₹8-10 Cr ARR — cash-flow positive, strong unit economics proven</w:t>
            </w:r>
          </w:p>
        </w:tc>
      </w:tr>
    </w:tbl>
    <w:p>
      <w:pPr>
        <w:spacing w:after="0" w:before="140"/>
      </w:pPr>
      <w:r>
        <w:t xml:space="preserve"/>
      </w:r>
    </w:p>
    <w:p>
      <w:pPr>
        <w:spacing w:after="80" w:before="80"/>
        <w:jc w:val="left"/>
      </w:pPr>
      <w:r>
        <w:rPr>
          <w:rFonts w:ascii="Arial" w:cs="Arial" w:eastAsia="Arial" w:hAnsi="Arial"/>
          <w:b/>
          <w:bCs/>
          <w:i w:val="false"/>
          <w:iCs w:val="false"/>
          <w:color w:val="0B2545"/>
          <w:sz w:val="24"/>
          <w:szCs w:val="24"/>
        </w:rPr>
        <w:t xml:space="preserve">13.4  5-Year Exit Scenarios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700"/>
        <w:gridCol w:w="1700"/>
        <w:gridCol w:w="1560"/>
      </w:tblGrid>
      <w:tr>
        <w:tc>
          <w:tcPr>
            <w:tcW w:type="dxa" w:w="15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Scenario</w:t>
            </w:r>
          </w:p>
        </w:tc>
        <w:tc>
          <w:tcPr>
            <w:tcW w:type="dxa" w:w="29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Path</w:t>
            </w:r>
          </w:p>
        </w:tc>
        <w:tc>
          <w:tcPr>
            <w:tcW w:type="dxa" w:w="17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Revenue (Y5)</w:t>
            </w:r>
          </w:p>
        </w:tc>
        <w:tc>
          <w:tcPr>
            <w:tcW w:type="dxa" w:w="170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Valuation Multiple</w:t>
            </w:r>
          </w:p>
        </w:tc>
        <w:tc>
          <w:tcPr>
            <w:tcW w:type="dxa" w:w="1560"/>
            <w:tcBorders>
              <w:top w:val="single" w:color="DDDDDD" w:sz="1"/>
              <w:left w:val="single" w:color="DDDDDD" w:sz="1"/>
              <w:bottom w:val="single" w:color="DDDDDD" w:sz="1"/>
              <w:right w:val="single" w:color="DDDDDD" w:sz="1"/>
            </w:tcBorders>
            <w:shd w:fill="0B2545" w:val="clear"/>
            <w:tcMar>
              <w:top w:type="dxa" w:w="110"/>
              <w:left w:type="dxa" w:w="150"/>
              <w:bottom w:type="dxa" w:w="110"/>
              <w:right w:type="dxa" w:w="150"/>
            </w:tcMar>
          </w:tcPr>
          <w:p>
            <w:pPr>
              <w:jc w:val="center"/>
            </w:pPr>
            <w:r>
              <w:rPr>
                <w:rFonts w:ascii="Arial" w:cs="Arial" w:eastAsia="Arial" w:hAnsi="Arial"/>
                <w:b/>
                <w:bCs/>
                <w:color w:val="FFFFFF"/>
                <w:sz w:val="20"/>
                <w:szCs w:val="20"/>
              </w:rPr>
              <w:t xml:space="preserve">Est. Valuation</w:t>
            </w:r>
          </w:p>
        </w:tc>
      </w:tr>
      <w:tr>
        <w:tc>
          <w:tcPr>
            <w:tcW w:type="dxa" w:w="15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Conservative</w:t>
            </w:r>
          </w:p>
        </w:tc>
        <w:tc>
          <w:tcPr>
            <w:tcW w:type="dxa" w:w="2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Advisory + SaaS platform, no lending</w:t>
            </w:r>
          </w:p>
        </w:tc>
        <w:tc>
          <w:tcPr>
            <w:tcW w:type="dxa" w:w="17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₹80 Cr ARR</w:t>
            </w:r>
          </w:p>
        </w:tc>
        <w:tc>
          <w:tcPr>
            <w:tcW w:type="dxa" w:w="17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8x ARR</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₹640 Cr (~$77M)</w:t>
            </w:r>
          </w:p>
        </w:tc>
      </w:tr>
      <w:tr>
        <w:tc>
          <w:tcPr>
            <w:tcW w:type="dxa" w:w="15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Base Case</w:t>
            </w:r>
          </w:p>
        </w:tc>
        <w:tc>
          <w:tcPr>
            <w:tcW w:type="dxa" w:w="2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Platform + B2B API + co-lending pilot</w:t>
            </w:r>
          </w:p>
        </w:tc>
        <w:tc>
          <w:tcPr>
            <w:tcW w:type="dxa" w:w="17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₹123 Cr ARR</w:t>
            </w:r>
          </w:p>
        </w:tc>
        <w:tc>
          <w:tcPr>
            <w:tcW w:type="dxa" w:w="17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12x ARR</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₹1,476 Cr (~$177M)</w:t>
            </w:r>
          </w:p>
        </w:tc>
      </w:tr>
      <w:tr>
        <w:tc>
          <w:tcPr>
            <w:tcW w:type="dxa" w:w="15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Optimistic</w:t>
            </w:r>
          </w:p>
        </w:tc>
        <w:tc>
          <w:tcPr>
            <w:tcW w:type="dxa" w:w="29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Platform + full NBFC license + loan book</w:t>
            </w:r>
          </w:p>
        </w:tc>
        <w:tc>
          <w:tcPr>
            <w:tcW w:type="dxa" w:w="17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₹180 Cr ARR</w:t>
            </w:r>
          </w:p>
        </w:tc>
        <w:tc>
          <w:tcPr>
            <w:tcW w:type="dxa" w:w="170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15–20x ARR</w:t>
            </w:r>
          </w:p>
        </w:tc>
        <w:tc>
          <w:tcPr>
            <w:tcW w:type="dxa" w:w="1560"/>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₹2,700–3,600 Cr ($325–430M)</w:t>
            </w:r>
          </w:p>
        </w:tc>
      </w:tr>
      <w:tr>
        <w:tc>
          <w:tcPr>
            <w:tcW w:type="dxa" w:w="15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Strategic Sale</w:t>
            </w:r>
          </w:p>
        </w:tc>
        <w:tc>
          <w:tcPr>
            <w:tcW w:type="dxa" w:w="29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Acquisition by major bank, NBFC, or fintech</w:t>
            </w:r>
          </w:p>
        </w:tc>
        <w:tc>
          <w:tcPr>
            <w:tcW w:type="dxa" w:w="17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₹100 Cr ARR</w:t>
            </w:r>
          </w:p>
        </w:tc>
        <w:tc>
          <w:tcPr>
            <w:tcW w:type="dxa" w:w="170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15–25x</w:t>
            </w:r>
          </w:p>
        </w:tc>
        <w:tc>
          <w:tcPr>
            <w:tcW w:type="dxa" w:w="1560"/>
            <w:tcBorders>
              <w:top w:val="single" w:color="DDDDDD" w:sz="1"/>
              <w:left w:val="single" w:color="DDDDDD" w:sz="1"/>
              <w:bottom w:val="single" w:color="DDDDDD" w:sz="1"/>
              <w:right w:val="single" w:color="DDDDDD" w:sz="1"/>
            </w:tcBorders>
            <w:shd w:fill="F8F9FA" w:val="clear"/>
            <w:tcMar>
              <w:top w:type="dxa" w:w="110"/>
              <w:left w:type="dxa" w:w="150"/>
              <w:bottom w:type="dxa" w:w="110"/>
              <w:right w:type="dxa" w:w="150"/>
            </w:tcMar>
          </w:tcPr>
          <w:p>
            <w:pPr>
              <w:jc w:val="left"/>
            </w:pPr>
            <w:r>
              <w:rPr>
                <w:rFonts w:ascii="Arial" w:cs="Arial" w:eastAsia="Arial" w:hAnsi="Arial"/>
                <w:b w:val="false"/>
                <w:bCs w:val="false"/>
                <w:color w:val="3D3D3D"/>
                <w:sz w:val="20"/>
                <w:szCs w:val="20"/>
              </w:rPr>
              <w:t xml:space="preserve">₹1,500–2,500 Cr</w:t>
            </w:r>
          </w:p>
        </w:tc>
      </w:tr>
    </w:tbl>
    <w:p>
      <w:pPr>
        <w:spacing w:after="0" w:before="160"/>
      </w:pPr>
      <w:r>
        <w:t xml:space="preserve"/>
      </w:r>
    </w:p>
    <w:p>
      <w:pPr>
        <w:pBdr>
          <w:bottom w:val="single" w:color="B7860A" w:sz="8" w:space="1"/>
        </w:pBdr>
        <w:spacing w:after="80" w:before="8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300"/>
              <w:left w:type="dxa" w:w="400"/>
              <w:bottom w:type="dxa" w:w="300"/>
              <w:right w:type="dxa" w:w="400"/>
            </w:tcMar>
          </w:tcPr>
          <w:p>
            <w:pPr>
              <w:spacing w:after="80" w:before="0"/>
              <w:jc w:val="center"/>
            </w:pPr>
            <w:r>
              <w:rPr>
                <w:rFonts w:ascii="Arial" w:cs="Arial" w:eastAsia="Arial" w:hAnsi="Arial"/>
                <w:b/>
                <w:bCs/>
                <w:i w:val="false"/>
                <w:iCs w:val="false"/>
                <w:color w:val="9BB8D4"/>
                <w:sz w:val="22"/>
                <w:szCs w:val="22"/>
              </w:rPr>
              <w:t xml:space="preserve">The Opportunity in One Sentence</w:t>
            </w:r>
          </w:p>
          <w:p>
            <w:pPr>
              <w:spacing w:after="120" w:before="0"/>
              <w:jc w:val="center"/>
            </w:pPr>
            <w:r>
              <w:rPr>
                <w:rFonts w:ascii="Arial" w:cs="Arial" w:eastAsia="Arial" w:hAnsi="Arial"/>
                <w:b/>
                <w:bCs/>
                <w:i w:val="false"/>
                <w:iCs w:val="false"/>
                <w:color w:val="FFFFFF"/>
                <w:sz w:val="26"/>
                <w:szCs w:val="26"/>
              </w:rPr>
              <w:t xml:space="preserve">900 million Indians are making credit and loan decisions without a trusted advisor — FinWise AI is that advisor, running locally on their phone, speaking their language, protecting their data, and getting smarter every day.</w:t>
            </w:r>
          </w:p>
          <w:p>
            <w:pPr>
              <w:pBdr>
                <w:bottom w:val="single" w:color="3D5A7A" w:sz="3" w:space="1"/>
              </w:pBdr>
              <w:spacing w:after="80" w:before="80"/>
            </w:pPr>
            <w:r>
              <w:t xml:space="preserve"/>
            </w:r>
          </w:p>
          <w:p>
            <w:pPr>
              <w:spacing w:after="0" w:before="80"/>
              <w:jc w:val="center"/>
            </w:pPr>
            <w:r>
              <w:rPr>
                <w:rFonts w:ascii="Arial" w:cs="Arial" w:eastAsia="Arial" w:hAnsi="Arial"/>
                <w:b w:val="false"/>
                <w:bCs w:val="false"/>
                <w:i w:val="false"/>
                <w:iCs w:val="false"/>
                <w:color w:val="7799BB"/>
                <w:sz w:val="18"/>
                <w:szCs w:val="18"/>
              </w:rPr>
              <w:t xml:space="preserve">FINWISE AI  —  Investor Pitch Document  |  May 2026  |  Confidential</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2026-05-01T12:33:47.733Z</dcterms:created>
  <dcterms:modified xsi:type="dcterms:W3CDTF">2026-05-01T12:33:47.733Z</dcterms:modified>
</cp:coreProperties>
</file>

<file path=docProps/custom.xml><?xml version="1.0" encoding="utf-8"?>
<Properties xmlns="http://schemas.openxmlformats.org/officeDocument/2006/custom-properties" xmlns:vt="http://schemas.openxmlformats.org/officeDocument/2006/docPropsVTypes"/>
</file>